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0CF" w:rsidRPr="00CD50CF" w:rsidRDefault="00CD50CF" w:rsidP="00CD50CF">
      <w:pPr>
        <w:widowControl w:val="0"/>
        <w:tabs>
          <w:tab w:val="left" w:leader="dot" w:pos="8424"/>
        </w:tabs>
        <w:autoSpaceDE w:val="0"/>
        <w:autoSpaceDN w:val="0"/>
        <w:spacing w:before="120" w:after="120" w:line="264" w:lineRule="auto"/>
        <w:ind w:firstLine="709"/>
        <w:jc w:val="both"/>
        <w:outlineLvl w:val="2"/>
        <w:rPr>
          <w:rFonts w:ascii="Times New Roman" w:eastAsia="Times New Roman" w:hAnsi="Times New Roman" w:cs="Times New Roman"/>
          <w:b/>
          <w:bCs/>
          <w:sz w:val="28"/>
          <w:szCs w:val="28"/>
          <w:lang w:val="es-ES"/>
        </w:rPr>
      </w:pPr>
      <w:r w:rsidRPr="00CD50CF">
        <w:rPr>
          <w:rFonts w:ascii="Times New Roman" w:eastAsia="Times New Roman" w:hAnsi="Times New Roman" w:cs="Times New Roman"/>
          <w:b/>
          <w:bCs/>
          <w:sz w:val="28"/>
          <w:szCs w:val="28"/>
          <w:lang w:val="es-ES"/>
        </w:rPr>
        <w:t>Mục 3. Tiêu chuẩn đánh giá về kỹ thuật</w:t>
      </w:r>
    </w:p>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Sử dụng tiêu chí đạt/không đạt hoặc phương pháp chấm điểm để xây dựng tiêu chuẩn đánh giá về kỹ thuật.</w:t>
      </w:r>
    </w:p>
    <w:p w:rsidR="00CD50CF" w:rsidRPr="00CD50CF" w:rsidRDefault="00CD50CF" w:rsidP="00CD50CF">
      <w:pPr>
        <w:spacing w:before="80" w:after="80" w:line="264" w:lineRule="auto"/>
        <w:ind w:firstLine="709"/>
        <w:jc w:val="both"/>
        <w:rPr>
          <w:rFonts w:ascii="Times New Roman" w:eastAsia="Calibri" w:hAnsi="Times New Roman" w:cs="Times New Roman"/>
          <w:spacing w:val="2"/>
          <w:sz w:val="28"/>
          <w:szCs w:val="28"/>
          <w:lang w:val="en-US"/>
        </w:rPr>
      </w:pPr>
      <w:r w:rsidRPr="00CD50CF">
        <w:rPr>
          <w:rFonts w:ascii="Times New Roman" w:eastAsia="Calibri" w:hAnsi="Times New Roman" w:cs="Times New Roman"/>
          <w:spacing w:val="2"/>
          <w:sz w:val="28"/>
          <w:szCs w:val="28"/>
        </w:rPr>
        <w:t xml:space="preserve">Việc xây dựng </w:t>
      </w:r>
      <w:r w:rsidRPr="00CD50CF">
        <w:rPr>
          <w:rFonts w:ascii="Times New Roman" w:eastAsia="Calibri" w:hAnsi="Times New Roman" w:cs="Times New Roman"/>
          <w:sz w:val="28"/>
          <w:szCs w:val="28"/>
        </w:rPr>
        <w:t>tiêu chuẩn đánh giá về kỹ thuật</w:t>
      </w:r>
      <w:r w:rsidRPr="00CD50CF">
        <w:rPr>
          <w:rFonts w:ascii="Times New Roman" w:eastAsia="Calibri" w:hAnsi="Times New Roman" w:cs="Times New Roman"/>
          <w:spacing w:val="2"/>
          <w:sz w:val="28"/>
          <w:szCs w:val="28"/>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D50CF">
        <w:rPr>
          <w:rFonts w:ascii="Times New Roman" w:eastAsia="Calibri" w:hAnsi="Times New Roman" w:cs="Times New Roman"/>
          <w:spacing w:val="2"/>
          <w:sz w:val="28"/>
          <w:szCs w:val="28"/>
          <w:lang w:val="en-US"/>
        </w:rPr>
        <w:t>Điều 19 và</w:t>
      </w:r>
      <w:bookmarkEnd w:id="0"/>
      <w:r w:rsidRPr="00CD50CF">
        <w:rPr>
          <w:rFonts w:ascii="Times New Roman" w:eastAsia="Calibri" w:hAnsi="Times New Roman" w:cs="Times New Roman"/>
          <w:spacing w:val="2"/>
          <w:sz w:val="28"/>
          <w:szCs w:val="28"/>
        </w:rPr>
        <w:t xml:space="preserve"> Điều </w:t>
      </w:r>
      <w:r w:rsidRPr="00CD50CF">
        <w:rPr>
          <w:rFonts w:ascii="Times New Roman" w:eastAsia="Calibri" w:hAnsi="Times New Roman" w:cs="Times New Roman"/>
          <w:spacing w:val="2"/>
          <w:sz w:val="28"/>
          <w:szCs w:val="28"/>
          <w:lang w:val="en-US"/>
        </w:rPr>
        <w:t>20</w:t>
      </w:r>
      <w:r w:rsidRPr="00CD50CF">
        <w:rPr>
          <w:rFonts w:ascii="Times New Roman" w:eastAsia="Calibri" w:hAnsi="Times New Roman" w:cs="Times New Roman"/>
          <w:spacing w:val="2"/>
          <w:sz w:val="28"/>
          <w:szCs w:val="28"/>
        </w:rPr>
        <w:t xml:space="preserve"> của Nghị định số</w:t>
      </w:r>
      <w:r w:rsidRPr="00CD50CF">
        <w:rPr>
          <w:rFonts w:ascii="Times New Roman" w:eastAsia="Calibri" w:hAnsi="Times New Roman" w:cs="Times New Roman"/>
          <w:spacing w:val="2"/>
          <w:sz w:val="28"/>
          <w:szCs w:val="28"/>
          <w:lang w:val="en-US"/>
        </w:rPr>
        <w:t xml:space="preserve"> 214</w:t>
      </w:r>
      <w:r w:rsidRPr="00CD50CF">
        <w:rPr>
          <w:rFonts w:ascii="Times New Roman" w:eastAsia="Calibri" w:hAnsi="Times New Roman" w:cs="Times New Roman"/>
          <w:spacing w:val="2"/>
          <w:sz w:val="28"/>
          <w:szCs w:val="28"/>
        </w:rPr>
        <w:t>/2025/NĐ-CP</w:t>
      </w:r>
      <w:r w:rsidRPr="00CD50CF">
        <w:rPr>
          <w:rFonts w:ascii="Times New Roman" w:eastAsia="Calibri" w:hAnsi="Times New Roman" w:cs="Times New Roman"/>
          <w:spacing w:val="2"/>
          <w:sz w:val="28"/>
          <w:szCs w:val="28"/>
          <w:lang w:val="en-US"/>
        </w:rPr>
        <w:t xml:space="preserve">, </w:t>
      </w:r>
      <w:r w:rsidRPr="00CD50CF">
        <w:rPr>
          <w:rFonts w:ascii="Times New Roman" w:eastAsia="Times New Roman" w:hAnsi="Times New Roman" w:cs="Times New Roman"/>
          <w:sz w:val="28"/>
          <w:szCs w:val="28"/>
        </w:rPr>
        <w:t xml:space="preserve">chất lượng hàng hóa tương tự được công khai theo quy định tại Điều </w:t>
      </w:r>
      <w:r w:rsidRPr="00CD50CF">
        <w:rPr>
          <w:rFonts w:ascii="Times New Roman" w:eastAsia="Times New Roman" w:hAnsi="Times New Roman" w:cs="Times New Roman"/>
          <w:sz w:val="28"/>
          <w:szCs w:val="28"/>
          <w:lang w:val="en-US"/>
        </w:rPr>
        <w:t>20</w:t>
      </w:r>
      <w:r w:rsidRPr="00CD50CF">
        <w:rPr>
          <w:rFonts w:ascii="Times New Roman" w:eastAsia="Times New Roman" w:hAnsi="Times New Roman" w:cs="Times New Roman"/>
          <w:sz w:val="28"/>
          <w:szCs w:val="28"/>
        </w:rPr>
        <w:t xml:space="preserve"> của Nghị định số</w:t>
      </w:r>
      <w:r w:rsidRPr="00CD50CF">
        <w:rPr>
          <w:rFonts w:ascii="Times New Roman" w:eastAsia="Times New Roman" w:hAnsi="Times New Roman" w:cs="Times New Roman"/>
          <w:sz w:val="28"/>
          <w:szCs w:val="28"/>
          <w:lang w:val="en-US"/>
        </w:rPr>
        <w:t xml:space="preserve"> 214</w:t>
      </w:r>
      <w:r w:rsidRPr="00CD50CF">
        <w:rPr>
          <w:rFonts w:ascii="Times New Roman" w:eastAsia="Times New Roman" w:hAnsi="Times New Roman" w:cs="Times New Roman"/>
          <w:sz w:val="28"/>
          <w:szCs w:val="28"/>
        </w:rPr>
        <w:t>/2025/NĐ-CP (nếu có)</w:t>
      </w:r>
      <w:r w:rsidRPr="00CD50CF" w:rsidDel="009A4DEF">
        <w:rPr>
          <w:rFonts w:ascii="Times New Roman" w:eastAsia="Calibri" w:hAnsi="Times New Roman" w:cs="Times New Roman"/>
          <w:spacing w:val="2"/>
          <w:sz w:val="28"/>
          <w:szCs w:val="28"/>
        </w:rPr>
        <w:t xml:space="preserve"> </w:t>
      </w:r>
      <w:r w:rsidRPr="00CD50CF">
        <w:rPr>
          <w:rFonts w:ascii="Times New Roman" w:eastAsia="Calibri" w:hAnsi="Times New Roman" w:cs="Times New Roman"/>
          <w:spacing w:val="2"/>
          <w:sz w:val="28"/>
          <w:szCs w:val="28"/>
        </w:rPr>
        <w:t>và các yêu cầu khác nêu trong Chương V. Căn cứ từng gói thầu cụ thể, khi lập E-HSMT phải cụ thể hóa các tiêu chí làm cơ sở để đánh giá về kỹ thuật bao gồm:</w:t>
      </w:r>
    </w:p>
    <w:p w:rsidR="00CD50CF" w:rsidRPr="00CD50CF" w:rsidRDefault="00CD50CF" w:rsidP="00CD50CF">
      <w:pPr>
        <w:widowControl w:val="0"/>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Đặc tính, thông số kỹ thuật của hàng hóa, tiêu chuẩn sản xuất, tiêu chuẩn chế tạo và công nghệ;</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Tính hợp lý và hiệu quả kinh tế của các giải pháp kỹ thuật, biện pháp tổ chức cung cấp, lắp đặt hàng hóa;</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lang w:val="en-US"/>
        </w:rPr>
      </w:pPr>
      <w:r w:rsidRPr="00CD50CF">
        <w:rPr>
          <w:rFonts w:ascii="Times New Roman" w:eastAsia="Times New Roman" w:hAnsi="Times New Roman" w:cs="Times New Roman"/>
          <w:sz w:val="28"/>
          <w:szCs w:val="28"/>
        </w:rPr>
        <w:t>- Mức độ đáp ứng các yêu cầu về bảo hành, bảo trì: nhà thầu phải trình bày được kế hoạch cung cấp dịch vụ bảo hành, bảo trì;</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lang w:val="en-US"/>
        </w:rPr>
      </w:pPr>
      <w:r w:rsidRPr="00CD50CF">
        <w:rPr>
          <w:rFonts w:ascii="Times New Roman" w:eastAsia="Times New Roman" w:hAnsi="Times New Roman" w:cs="Times New Roman"/>
          <w:sz w:val="28"/>
          <w:szCs w:val="28"/>
          <w:lang w:val="en-US"/>
        </w:rPr>
        <w:t>-</w:t>
      </w:r>
      <w:r w:rsidRPr="00CD50CF">
        <w:rPr>
          <w:rFonts w:ascii="Times New Roman" w:eastAsia="Times New Roman" w:hAnsi="Times New Roman" w:cs="Times New Roman"/>
          <w:sz w:val="28"/>
          <w:szCs w:val="28"/>
        </w:rPr>
        <w:t xml:space="preserve"> </w:t>
      </w:r>
      <w:r w:rsidRPr="00CD50CF">
        <w:rPr>
          <w:rFonts w:ascii="Times New Roman" w:eastAsia="Times New Roman" w:hAnsi="Times New Roman" w:cs="Times New Roman"/>
          <w:sz w:val="28"/>
          <w:szCs w:val="28"/>
          <w:lang w:val="en-US"/>
        </w:rPr>
        <w:t>M</w:t>
      </w:r>
      <w:r w:rsidRPr="00CD50CF">
        <w:rPr>
          <w:rFonts w:ascii="Times New Roman" w:eastAsia="Times New Roman" w:hAnsi="Times New Roman" w:cs="Times New Roman"/>
          <w:sz w:val="28"/>
          <w:szCs w:val="28"/>
        </w:rPr>
        <w:t xml:space="preserve">ức độ đáp ứng các yêu cầu về cung cấp vật tư, thiết bị thay thế và các dịch vụ liên quan khác (nếu có) trong toàn bộ quá trình sử dụng của hàng hóa. </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xml:space="preserve">- Khả năng thích ứng về </w:t>
      </w:r>
      <w:r w:rsidRPr="00CD50CF">
        <w:rPr>
          <w:rFonts w:ascii="Times New Roman" w:eastAsia="Times New Roman" w:hAnsi="Times New Roman" w:cs="Times New Roman"/>
          <w:sz w:val="28"/>
          <w:szCs w:val="28"/>
          <w:lang w:val="en-US"/>
        </w:rPr>
        <w:t xml:space="preserve">mặt </w:t>
      </w:r>
      <w:r w:rsidRPr="00CD50CF">
        <w:rPr>
          <w:rFonts w:ascii="Times New Roman" w:eastAsia="Times New Roman" w:hAnsi="Times New Roman" w:cs="Times New Roman"/>
          <w:sz w:val="28"/>
          <w:szCs w:val="28"/>
        </w:rPr>
        <w:t>địa lý, môi trường;</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Tác động đối với môi trường và biện pháp giải quyết;</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Tiêu chí đấu thầu bền vững (nếu có);</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Các yếu tố về điều kiện thương mại, thời gian giao hàng, đào tạo chuyển giao công nghệ, cung cấp các dịch vụ sau bán hàng;</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lang w:val="en-US"/>
        </w:rPr>
      </w:pPr>
      <w:r w:rsidRPr="00CD50CF">
        <w:rPr>
          <w:rFonts w:ascii="Times New Roman" w:eastAsia="Times New Roman" w:hAnsi="Times New Roman" w:cs="Times New Roman"/>
          <w:sz w:val="28"/>
          <w:szCs w:val="28"/>
        </w:rPr>
        <w:t>- Tiến độ cung cấp hàng hóa;</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lang w:val="en-US"/>
        </w:rPr>
      </w:pPr>
      <w:r w:rsidRPr="00CD50CF">
        <w:rPr>
          <w:rFonts w:ascii="Times New Roman" w:eastAsia="Times New Roman" w:hAnsi="Times New Roman" w:cs="Times New Roman"/>
          <w:sz w:val="28"/>
          <w:szCs w:val="28"/>
          <w:lang w:val="en-US"/>
        </w:rPr>
        <w:t>- Yếu tố thân thiện môi trường;</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lang w:val="en-US"/>
        </w:rPr>
      </w:pPr>
      <w:r w:rsidRPr="00CD50CF">
        <w:rPr>
          <w:rFonts w:ascii="Times New Roman" w:eastAsia="Times New Roman" w:hAnsi="Times New Roman" w:cs="Times New Roman"/>
          <w:sz w:val="28"/>
          <w:szCs w:val="28"/>
        </w:rPr>
        <w:t xml:space="preserve">- Kết quả thực hiện hợp đồng của nhà thầu đối với gói thầu cung cấp hàng hóa, EPC, EP, PC, chìa khóa trao tay theo quy định tại </w:t>
      </w:r>
      <w:r w:rsidRPr="00CD50CF">
        <w:rPr>
          <w:rFonts w:ascii="Times New Roman" w:eastAsia="Calibri" w:hAnsi="Times New Roman" w:cs="Times New Roman"/>
          <w:spacing w:val="2"/>
          <w:sz w:val="28"/>
          <w:szCs w:val="28"/>
          <w:lang w:val="en-US"/>
        </w:rPr>
        <w:t>Điều 19 và</w:t>
      </w:r>
      <w:r w:rsidRPr="00CD50CF">
        <w:rPr>
          <w:rFonts w:ascii="Times New Roman" w:eastAsia="Times New Roman" w:hAnsi="Times New Roman" w:cs="Times New Roman"/>
          <w:sz w:val="28"/>
          <w:szCs w:val="28"/>
        </w:rPr>
        <w:t xml:space="preserve"> Điều </w:t>
      </w:r>
      <w:r w:rsidRPr="00CD50CF">
        <w:rPr>
          <w:rFonts w:ascii="Times New Roman" w:eastAsia="Times New Roman" w:hAnsi="Times New Roman" w:cs="Times New Roman"/>
          <w:sz w:val="28"/>
          <w:szCs w:val="28"/>
          <w:lang w:val="en-US"/>
        </w:rPr>
        <w:t>20</w:t>
      </w:r>
      <w:r w:rsidRPr="00CD50CF">
        <w:rPr>
          <w:rFonts w:ascii="Times New Roman" w:eastAsia="Times New Roman" w:hAnsi="Times New Roman" w:cs="Times New Roman"/>
          <w:sz w:val="28"/>
          <w:szCs w:val="28"/>
        </w:rPr>
        <w:t xml:space="preserve"> của Nghị định số</w:t>
      </w:r>
      <w:r w:rsidRPr="00CD50CF">
        <w:rPr>
          <w:rFonts w:ascii="Times New Roman" w:eastAsia="Times New Roman" w:hAnsi="Times New Roman" w:cs="Times New Roman"/>
          <w:sz w:val="28"/>
          <w:szCs w:val="28"/>
          <w:lang w:val="en-US"/>
        </w:rPr>
        <w:t xml:space="preserve"> 214</w:t>
      </w:r>
      <w:r w:rsidRPr="00CD50CF">
        <w:rPr>
          <w:rFonts w:ascii="Times New Roman" w:eastAsia="Times New Roman" w:hAnsi="Times New Roman" w:cs="Times New Roman"/>
          <w:sz w:val="28"/>
          <w:szCs w:val="28"/>
        </w:rPr>
        <w:t xml:space="preserve">/2025/NĐ-CP, chất lượng hàng hóa tương tự được công khai theo quy định tại Điều </w:t>
      </w:r>
      <w:r w:rsidRPr="00CD50CF">
        <w:rPr>
          <w:rFonts w:ascii="Times New Roman" w:eastAsia="Times New Roman" w:hAnsi="Times New Roman" w:cs="Times New Roman"/>
          <w:sz w:val="28"/>
          <w:szCs w:val="28"/>
          <w:lang w:val="en-US"/>
        </w:rPr>
        <w:t>20</w:t>
      </w:r>
      <w:r w:rsidRPr="00CD50CF">
        <w:rPr>
          <w:rFonts w:ascii="Times New Roman" w:eastAsia="Times New Roman" w:hAnsi="Times New Roman" w:cs="Times New Roman"/>
          <w:sz w:val="28"/>
          <w:szCs w:val="28"/>
        </w:rPr>
        <w:t xml:space="preserve"> của Nghị định số</w:t>
      </w:r>
      <w:r w:rsidRPr="00CD50CF">
        <w:rPr>
          <w:rFonts w:ascii="Times New Roman" w:eastAsia="Times New Roman" w:hAnsi="Times New Roman" w:cs="Times New Roman"/>
          <w:sz w:val="28"/>
          <w:szCs w:val="28"/>
          <w:lang w:val="en-US"/>
        </w:rPr>
        <w:t xml:space="preserve"> 214</w:t>
      </w:r>
      <w:r w:rsidRPr="00CD50CF">
        <w:rPr>
          <w:rFonts w:ascii="Times New Roman" w:eastAsia="Times New Roman" w:hAnsi="Times New Roman" w:cs="Times New Roman"/>
          <w:sz w:val="28"/>
          <w:szCs w:val="28"/>
        </w:rPr>
        <w:t>/2025/NĐ-CP (nếu có);</w:t>
      </w:r>
    </w:p>
    <w:p w:rsidR="00CD50CF" w:rsidRPr="00CD50CF" w:rsidRDefault="00CD50CF" w:rsidP="00CD50CF">
      <w:pPr>
        <w:widowControl w:val="0"/>
        <w:tabs>
          <w:tab w:val="left" w:pos="851"/>
        </w:tabs>
        <w:spacing w:before="80" w:after="80" w:line="264" w:lineRule="auto"/>
        <w:ind w:firstLine="709"/>
        <w:jc w:val="both"/>
        <w:rPr>
          <w:rFonts w:ascii="Times New Roman" w:eastAsia="Times New Roman" w:hAnsi="Times New Roman" w:cs="Times New Roman"/>
          <w:sz w:val="28"/>
          <w:szCs w:val="28"/>
        </w:rPr>
      </w:pPr>
      <w:r w:rsidRPr="00CD50CF">
        <w:rPr>
          <w:rFonts w:ascii="Times New Roman" w:eastAsia="Times New Roman" w:hAnsi="Times New Roman" w:cs="Times New Roman"/>
          <w:sz w:val="28"/>
          <w:szCs w:val="28"/>
        </w:rPr>
        <w:t>- Các yếu tố cần thiết khác.</w:t>
      </w:r>
    </w:p>
    <w:p w:rsidR="00CD50CF" w:rsidRPr="00CD50CF" w:rsidRDefault="00CD50CF" w:rsidP="00CD50CF">
      <w:pPr>
        <w:spacing w:before="80" w:after="80" w:line="264" w:lineRule="auto"/>
        <w:ind w:firstLine="709"/>
        <w:jc w:val="both"/>
        <w:rPr>
          <w:rFonts w:ascii="Times New Roman" w:eastAsia="Times New Roman" w:hAnsi="Times New Roman" w:cs="Times New Roman"/>
          <w:b/>
          <w:iCs/>
          <w:sz w:val="28"/>
          <w:szCs w:val="28"/>
          <w:lang w:val="es-ES"/>
        </w:rPr>
      </w:pPr>
    </w:p>
    <w:p w:rsidR="00CD50CF" w:rsidRPr="00CD50CF" w:rsidRDefault="00CD50CF" w:rsidP="00CD50CF">
      <w:pPr>
        <w:spacing w:before="80" w:after="80" w:line="264" w:lineRule="auto"/>
        <w:ind w:firstLine="709"/>
        <w:jc w:val="both"/>
        <w:rPr>
          <w:rFonts w:ascii="Times New Roman" w:eastAsia="Times New Roman" w:hAnsi="Times New Roman" w:cs="Times New Roman"/>
          <w:b/>
          <w:iCs/>
          <w:sz w:val="28"/>
          <w:szCs w:val="28"/>
          <w:lang w:val="es-ES"/>
        </w:rPr>
        <w:sectPr w:rsidR="00CD50CF" w:rsidRPr="00CD50CF"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b/>
          <w:iCs/>
          <w:sz w:val="28"/>
          <w:szCs w:val="28"/>
          <w:lang w:val="es-ES"/>
        </w:rPr>
        <w:lastRenderedPageBreak/>
        <w:t>Đánh giá theo phương pháp</w:t>
      </w:r>
      <w:r w:rsidRPr="00CD50CF" w:rsidDel="00BE4476">
        <w:rPr>
          <w:rFonts w:ascii="Times New Roman" w:eastAsia="Times New Roman" w:hAnsi="Times New Roman" w:cs="Times New Roman"/>
          <w:b/>
          <w:iCs/>
          <w:sz w:val="28"/>
          <w:szCs w:val="28"/>
          <w:lang w:val="es-ES"/>
        </w:rPr>
        <w:t xml:space="preserve"> </w:t>
      </w:r>
      <w:r w:rsidRPr="00CD50CF">
        <w:rPr>
          <w:rFonts w:ascii="Times New Roman" w:eastAsia="Times New Roman" w:hAnsi="Times New Roman" w:cs="Times New Roman"/>
          <w:b/>
          <w:iCs/>
          <w:sz w:val="28"/>
          <w:szCs w:val="28"/>
          <w:lang w:val="es-ES"/>
        </w:rPr>
        <w:t>đạt/không đạt</w:t>
      </w:r>
      <w:r w:rsidRPr="00CD50CF">
        <w:rPr>
          <w:rFonts w:ascii="Times New Roman" w:eastAsia="Times New Roman" w:hAnsi="Times New Roman" w:cs="Times New Roman"/>
          <w:b/>
          <w:sz w:val="28"/>
          <w:szCs w:val="28"/>
          <w:lang w:val="es-ES"/>
        </w:rPr>
        <w:t>:</w:t>
      </w:r>
    </w:p>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rsidR="00CD50CF" w:rsidRPr="00CD50CF" w:rsidRDefault="00CD50CF">
      <w:pPr>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br w:type="page"/>
      </w:r>
    </w:p>
    <w:p w:rsidR="00CD50CF" w:rsidRPr="00CD50CF" w:rsidRDefault="00CD50CF" w:rsidP="00CD50CF">
      <w:pPr>
        <w:spacing w:before="60" w:after="60" w:line="240" w:lineRule="auto"/>
        <w:ind w:left="-144" w:right="-144"/>
        <w:jc w:val="center"/>
        <w:rPr>
          <w:rFonts w:ascii="Times New Roman" w:eastAsia="Times New Roman" w:hAnsi="Times New Roman" w:cs="Times New Roman"/>
          <w:b/>
          <w:sz w:val="26"/>
          <w:szCs w:val="26"/>
          <w:lang w:val="en-US"/>
        </w:rPr>
        <w:sectPr w:rsidR="00CD50CF" w:rsidRPr="00CD50CF">
          <w:pgSz w:w="12240" w:h="15840"/>
          <w:pgMar w:top="1440" w:right="1440" w:bottom="1440" w:left="1440" w:header="720" w:footer="720" w:gutter="0"/>
          <w:cols w:space="720"/>
          <w:docGrid w:linePitch="360"/>
        </w:sect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10"/>
        <w:gridCol w:w="7267"/>
        <w:gridCol w:w="2813"/>
      </w:tblGrid>
      <w:tr w:rsidR="00CD50CF" w:rsidRPr="00CD50CF" w:rsidTr="00CD50CF">
        <w:trPr>
          <w:trHeight w:val="20"/>
          <w:tblHeader/>
          <w:jc w:val="center"/>
        </w:trPr>
        <w:tc>
          <w:tcPr>
            <w:tcW w:w="810" w:type="dxa"/>
            <w:vMerge w:val="restart"/>
            <w:vAlign w:val="center"/>
          </w:tcPr>
          <w:p w:rsidR="00CD50CF" w:rsidRPr="00CD50CF" w:rsidRDefault="00CD50CF" w:rsidP="00CD50CF">
            <w:pPr>
              <w:spacing w:before="60" w:after="60" w:line="240" w:lineRule="auto"/>
              <w:ind w:left="-144" w:right="-144"/>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lastRenderedPageBreak/>
              <w:t>STT</w:t>
            </w:r>
          </w:p>
        </w:tc>
        <w:tc>
          <w:tcPr>
            <w:tcW w:w="3510" w:type="dxa"/>
            <w:vMerge w:val="restart"/>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Nội dung yêu cầu</w:t>
            </w:r>
          </w:p>
        </w:tc>
        <w:tc>
          <w:tcPr>
            <w:tcW w:w="10080" w:type="dxa"/>
            <w:gridSpan w:val="2"/>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Mức độ đáp ứng</w:t>
            </w:r>
          </w:p>
        </w:tc>
      </w:tr>
      <w:tr w:rsidR="00CD50CF" w:rsidRPr="00CD50CF" w:rsidTr="00CD50CF">
        <w:trPr>
          <w:trHeight w:val="20"/>
          <w:tblHeader/>
          <w:jc w:val="center"/>
        </w:trPr>
        <w:tc>
          <w:tcPr>
            <w:tcW w:w="810" w:type="dxa"/>
            <w:vMerge/>
            <w:vAlign w:val="center"/>
          </w:tcPr>
          <w:p w:rsidR="00CD50CF" w:rsidRPr="00CD50CF" w:rsidRDefault="00CD50CF" w:rsidP="00CD50CF">
            <w:pPr>
              <w:spacing w:before="60" w:after="60" w:line="240" w:lineRule="auto"/>
              <w:ind w:left="360"/>
              <w:jc w:val="center"/>
              <w:rPr>
                <w:rFonts w:ascii="Times New Roman" w:eastAsia="Times New Roman" w:hAnsi="Times New Roman" w:cs="Times New Roman"/>
                <w:sz w:val="26"/>
                <w:szCs w:val="26"/>
                <w:lang w:val="en-US"/>
              </w:rPr>
            </w:pPr>
          </w:p>
        </w:tc>
        <w:tc>
          <w:tcPr>
            <w:tcW w:w="3510" w:type="dxa"/>
            <w:vMerge/>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p>
        </w:tc>
        <w:tc>
          <w:tcPr>
            <w:tcW w:w="7267" w:type="dxa"/>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Đạt</w:t>
            </w:r>
          </w:p>
        </w:tc>
        <w:tc>
          <w:tcPr>
            <w:tcW w:w="2813" w:type="dxa"/>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Không đạt</w:t>
            </w:r>
          </w:p>
        </w:tc>
      </w:tr>
      <w:tr w:rsidR="00CD50CF" w:rsidRPr="00CD50CF" w:rsidTr="00CD50CF">
        <w:trPr>
          <w:trHeight w:val="20"/>
          <w:tblHeader/>
          <w:jc w:val="center"/>
        </w:trPr>
        <w:tc>
          <w:tcPr>
            <w:tcW w:w="810" w:type="dxa"/>
            <w:vAlign w:val="center"/>
          </w:tcPr>
          <w:p w:rsidR="00CD50CF" w:rsidRPr="00CD50CF" w:rsidRDefault="00CD50CF" w:rsidP="00CD50CF">
            <w:pPr>
              <w:spacing w:before="60" w:after="60" w:line="240" w:lineRule="auto"/>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(1)</w:t>
            </w:r>
          </w:p>
        </w:tc>
        <w:tc>
          <w:tcPr>
            <w:tcW w:w="3510" w:type="dxa"/>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(2)</w:t>
            </w:r>
          </w:p>
        </w:tc>
        <w:tc>
          <w:tcPr>
            <w:tcW w:w="7267" w:type="dxa"/>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(3)</w:t>
            </w:r>
          </w:p>
        </w:tc>
        <w:tc>
          <w:tcPr>
            <w:tcW w:w="2813" w:type="dxa"/>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bookmarkStart w:id="1" w:name="_GoBack"/>
            <w:bookmarkEnd w:id="1"/>
            <w:r w:rsidRPr="00CD50CF">
              <w:rPr>
                <w:rFonts w:ascii="Times New Roman" w:eastAsia="Times New Roman" w:hAnsi="Times New Roman" w:cs="Times New Roman"/>
                <w:b/>
                <w:sz w:val="26"/>
                <w:szCs w:val="26"/>
                <w:lang w:val="en-US"/>
              </w:rPr>
              <w:t>(4)</w:t>
            </w:r>
          </w:p>
        </w:tc>
      </w:tr>
      <w:tr w:rsidR="00CD50CF" w:rsidRPr="00CD50CF" w:rsidTr="00CD50CF">
        <w:trPr>
          <w:trHeight w:val="20"/>
          <w:jc w:val="center"/>
        </w:trPr>
        <w:tc>
          <w:tcPr>
            <w:tcW w:w="810" w:type="dxa"/>
            <w:vAlign w:val="center"/>
          </w:tcPr>
          <w:p w:rsidR="00CD50CF" w:rsidRPr="00CD50CF" w:rsidRDefault="00CD50CF" w:rsidP="00CD50CF">
            <w:pPr>
              <w:numPr>
                <w:ilvl w:val="0"/>
                <w:numId w:val="1"/>
              </w:numPr>
              <w:spacing w:before="60" w:after="60" w:line="240" w:lineRule="auto"/>
              <w:ind w:left="504"/>
              <w:contextualSpacing/>
              <w:jc w:val="center"/>
              <w:rPr>
                <w:rFonts w:ascii="Times New Roman" w:eastAsia="Times New Roman" w:hAnsi="Times New Roman" w:cs="Times New Roman"/>
                <w:b/>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Đặc tính, thông số kỹ thuật của hàng hóa, tiêu chuẩn sản xuất, tiêu chuẩn chế tạo và công nghệ</w:t>
            </w:r>
          </w:p>
        </w:tc>
        <w:tc>
          <w:tcPr>
            <w:tcW w:w="7267" w:type="dxa"/>
            <w:vAlign w:val="center"/>
          </w:tcPr>
          <w:p w:rsidR="00CD50CF" w:rsidRPr="00CD50CF" w:rsidRDefault="00CD50CF" w:rsidP="00CD50CF">
            <w:pPr>
              <w:spacing w:before="60" w:after="60" w:line="240" w:lineRule="auto"/>
              <w:jc w:val="both"/>
              <w:rPr>
                <w:rFonts w:ascii="Times New Roman" w:eastAsia="Times New Roman" w:hAnsi="Times New Roman" w:cs="Times New Roman"/>
                <w:iCs/>
                <w:sz w:val="26"/>
                <w:szCs w:val="26"/>
                <w:lang w:val="nl-NL"/>
              </w:rPr>
            </w:pPr>
            <w:r w:rsidRPr="00CD50CF">
              <w:rPr>
                <w:rFonts w:ascii="Times New Roman" w:eastAsia="Times New Roman" w:hAnsi="Times New Roman" w:cs="Times New Roman"/>
                <w:iCs/>
                <w:sz w:val="26"/>
                <w:szCs w:val="26"/>
                <w:lang w:val="nl-NL"/>
              </w:rPr>
              <w:t>Các tiêu chí cơ bản (tiêu chí cơ bản của mục 1 có STT từ 1.1 đến 1.2) được đánh giá là đạt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≥01 tiêu chí cơ bản </w:t>
            </w:r>
            <w:r w:rsidRPr="00CD50CF">
              <w:rPr>
                <w:rFonts w:ascii="Times New Roman" w:eastAsia="Times New Roman" w:hAnsi="Times New Roman" w:cs="Times New Roman"/>
                <w:iCs/>
                <w:sz w:val="26"/>
                <w:szCs w:val="26"/>
                <w:lang w:val="nl-NL"/>
              </w:rPr>
              <w:t>(tiêu chí cơ bản của mục 1 có STT từ 1.1 đến 1.2)</w:t>
            </w:r>
          </w:p>
        </w:tc>
      </w:tr>
      <w:tr w:rsidR="00CD50CF" w:rsidRPr="00CD50CF" w:rsidTr="00CD50CF">
        <w:trPr>
          <w:trHeight w:val="20"/>
          <w:jc w:val="center"/>
        </w:trPr>
        <w:tc>
          <w:tcPr>
            <w:tcW w:w="810" w:type="dxa"/>
            <w:vMerge w:val="restart"/>
            <w:vAlign w:val="center"/>
          </w:tcPr>
          <w:p w:rsidR="00CD50CF" w:rsidRPr="00CD50CF" w:rsidRDefault="00CD50CF" w:rsidP="00CD50CF">
            <w:pPr>
              <w:numPr>
                <w:ilvl w:val="1"/>
                <w:numId w:val="2"/>
              </w:numPr>
              <w:spacing w:before="60" w:after="60" w:line="240" w:lineRule="auto"/>
              <w:ind w:left="576"/>
              <w:contextualSpacing/>
              <w:jc w:val="both"/>
              <w:rPr>
                <w:rFonts w:ascii="Times New Roman" w:eastAsia="Times New Roman" w:hAnsi="Times New Roman" w:cs="Times New Roman"/>
                <w:bCs/>
                <w:sz w:val="26"/>
                <w:szCs w:val="26"/>
                <w:lang w:val="en-US"/>
              </w:rPr>
            </w:pPr>
          </w:p>
        </w:tc>
        <w:tc>
          <w:tcPr>
            <w:tcW w:w="3510" w:type="dxa"/>
            <w:vMerge w:val="restart"/>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Đặc tính, tiêu chuẩn kỹ thuật</w:t>
            </w:r>
          </w:p>
        </w:tc>
        <w:tc>
          <w:tcPr>
            <w:tcW w:w="7267" w:type="dxa"/>
          </w:tcPr>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Thông số, tiêu chuẩn kỹ thuật của hàng hóa chào thầu đáp ứng yêu cầu của E-HSMT quy định tại mục 1.2 chương V thuộc E-HSMT hoặc được đánh giá là tương đương.</w:t>
            </w:r>
          </w:p>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Phải có tài liệu kỹ thuật để chứng minh các thông tin dự thầu </w:t>
            </w:r>
            <w:r w:rsidRPr="00CD50CF">
              <w:rPr>
                <w:rFonts w:ascii="Times New Roman" w:eastAsia="Times New Roman" w:hAnsi="Times New Roman" w:cs="Times New Roman"/>
                <w:i/>
                <w:iCs/>
                <w:sz w:val="26"/>
                <w:szCs w:val="26"/>
                <w:lang w:val="en-US"/>
              </w:rPr>
              <w:t>(Không chấp nhận các tài liệu chứng minh thông số như: sản xuất theo kích cỡ theo yêu cầu của người sử dụng hoặc các nội dung sản xuất theo nhu cầu của người sử dụng).</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yêu cầu cột (3) </w:t>
            </w:r>
          </w:p>
        </w:tc>
      </w:tr>
      <w:tr w:rsidR="00CD50CF" w:rsidRPr="00CD50CF" w:rsidTr="00CD50CF">
        <w:trPr>
          <w:trHeight w:val="20"/>
          <w:jc w:val="center"/>
        </w:trPr>
        <w:tc>
          <w:tcPr>
            <w:tcW w:w="810" w:type="dxa"/>
            <w:vMerge/>
            <w:vAlign w:val="center"/>
          </w:tcPr>
          <w:p w:rsidR="00CD50CF" w:rsidRPr="00CD50CF" w:rsidRDefault="00CD50CF" w:rsidP="00CD50CF">
            <w:pPr>
              <w:numPr>
                <w:ilvl w:val="0"/>
                <w:numId w:val="1"/>
              </w:numPr>
              <w:spacing w:before="60" w:after="60" w:line="240" w:lineRule="auto"/>
              <w:contextualSpacing/>
              <w:jc w:val="center"/>
              <w:rPr>
                <w:rFonts w:ascii="Times New Roman" w:eastAsia="Times New Roman" w:hAnsi="Times New Roman" w:cs="Times New Roman"/>
                <w:b/>
                <w:sz w:val="26"/>
                <w:szCs w:val="26"/>
                <w:lang w:val="en-US"/>
              </w:rPr>
            </w:pPr>
          </w:p>
        </w:tc>
        <w:tc>
          <w:tcPr>
            <w:tcW w:w="3510" w:type="dxa"/>
            <w:vMerge/>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p>
        </w:tc>
        <w:tc>
          <w:tcPr>
            <w:tcW w:w="10080" w:type="dxa"/>
            <w:gridSpan w:val="2"/>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b/>
                <w:sz w:val="26"/>
                <w:szCs w:val="26"/>
                <w:u w:val="single"/>
                <w:lang w:val="en-US"/>
              </w:rPr>
              <w:t>Lưu ý:</w:t>
            </w:r>
          </w:p>
          <w:p w:rsidR="00CD50CF" w:rsidRPr="00CD50CF" w:rsidRDefault="00CD50CF" w:rsidP="00CD50CF">
            <w:pPr>
              <w:spacing w:before="60" w:after="60" w:line="240" w:lineRule="auto"/>
              <w:ind w:right="43"/>
              <w:jc w:val="both"/>
              <w:rPr>
                <w:rFonts w:ascii="Times New Roman" w:eastAsia="Times New Roman" w:hAnsi="Times New Roman" w:cs="Times New Roman"/>
                <w:i/>
                <w:sz w:val="26"/>
                <w:szCs w:val="26"/>
                <w:lang w:val="en-US"/>
              </w:rPr>
            </w:pPr>
            <w:r w:rsidRPr="00CD50CF">
              <w:rPr>
                <w:rFonts w:ascii="Times New Roman" w:eastAsia="Times New Roman" w:hAnsi="Times New Roman" w:cs="Times New Roman"/>
                <w:sz w:val="26"/>
                <w:szCs w:val="26"/>
                <w:lang w:val="en-US"/>
              </w:rPr>
              <w:t>- Đối với các hàng hoá chào thầu,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CD50CF">
              <w:rPr>
                <w:rFonts w:ascii="Times New Roman" w:eastAsia="Times New Roman" w:hAnsi="Times New Roman" w:cs="Times New Roman"/>
                <w:i/>
                <w:sz w:val="26"/>
                <w:szCs w:val="26"/>
                <w:lang w:val="en-US"/>
              </w:rPr>
              <w:t>.</w:t>
            </w:r>
          </w:p>
          <w:p w:rsidR="00CD50CF" w:rsidRPr="00CD50CF" w:rsidRDefault="00CD50CF" w:rsidP="00CD50CF">
            <w:pPr>
              <w:widowControl w:val="0"/>
              <w:spacing w:before="120" w:after="12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Cách ghi model/mã ký hiệu của hàng hóa dự thầu:</w:t>
            </w:r>
          </w:p>
          <w:p w:rsidR="00CD50CF" w:rsidRPr="00CD50CF" w:rsidRDefault="00CD50CF" w:rsidP="00CD50CF">
            <w:pPr>
              <w:widowControl w:val="0"/>
              <w:spacing w:before="120" w:after="12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Trường hợp tổng số ký tự (đã bao gồm ký tự trống và dấu cách) của các ký mã hiệu (nếu có), nhãn hiệu dự thầu đối với từng danh mục hàng hóa trong giới hạn ký tự cho phép của webform: Nhà thầu phải liệt kê cụ thể các ký mã hiệu (nếu có), nhãn hiệu.</w:t>
            </w:r>
          </w:p>
          <w:p w:rsidR="00CD50CF" w:rsidRPr="00CD50CF" w:rsidRDefault="00CD50CF" w:rsidP="00CD50CF">
            <w:pPr>
              <w:widowControl w:val="0"/>
              <w:spacing w:before="120" w:after="12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w:t>
            </w:r>
            <w:r w:rsidRPr="00CD50CF">
              <w:rPr>
                <w:rFonts w:ascii="Times New Roman" w:eastAsia="Times New Roman" w:hAnsi="Times New Roman" w:cs="Times New Roman"/>
                <w:sz w:val="26"/>
                <w:szCs w:val="26"/>
                <w:lang w:val="en-US"/>
              </w:rPr>
              <w:lastRenderedPageBreak/>
              <w:t>hiệu. Ví dụ: VSA-aaa05TP; VSA-aaa10TP (aaa= 100, 125, 150, 175, 200, 225, 250, 275, 300, 325, 350, 375, 400, 425, 450, 475, 500).</w:t>
            </w:r>
          </w:p>
          <w:p w:rsidR="00CD50CF" w:rsidRPr="00CD50CF" w:rsidRDefault="00CD50CF" w:rsidP="00CD50CF">
            <w:pPr>
              <w:widowControl w:val="0"/>
              <w:spacing w:before="120" w:after="12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Nhà thầu không ghi model/mã ký hiệu, nhãn hiệu của hàng hóa dự thầu theo nguyên tắc nêu trên được coi là không đề xuất cụ thể ký mã hiệu và không được xem xét, đánh giá.</w:t>
            </w:r>
          </w:p>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Tài liệu kỹ thuật là một trong số các tài liệu như sau: tài liệu được công khai trên trang web của Bộ Y tế (</w:t>
            </w:r>
            <w:hyperlink r:id="rId7" w:history="1">
              <w:r w:rsidRPr="00CD50CF">
                <w:rPr>
                  <w:rFonts w:ascii="Times New Roman" w:eastAsia="Times New Roman" w:hAnsi="Times New Roman" w:cs="Times New Roman"/>
                  <w:sz w:val="26"/>
                  <w:szCs w:val="26"/>
                  <w:u w:val="single"/>
                  <w:lang w:val="en-US"/>
                </w:rPr>
                <w:t>https://imda.moh.gov.vn/web/guest/van-ban-cong-bo</w:t>
              </w:r>
            </w:hyperlink>
            <w:r w:rsidRPr="00CD50CF">
              <w:rPr>
                <w:rFonts w:ascii="Times New Roman" w:eastAsia="Times New Roman" w:hAnsi="Times New Roman" w:cs="Times New Roman"/>
                <w:sz w:val="26"/>
                <w:szCs w:val="26"/>
                <w:lang w:val="en-US"/>
              </w:rPr>
              <w:t xml:space="preserve">), tài liệu kỹ thuật của nhà sản xuất </w:t>
            </w:r>
            <w:r w:rsidRPr="00CD50CF">
              <w:rPr>
                <w:rFonts w:ascii="Times New Roman" w:eastAsia="Times New Roman" w:hAnsi="Times New Roman" w:cs="Times New Roman"/>
                <w:i/>
                <w:iCs/>
                <w:sz w:val="26"/>
                <w:szCs w:val="26"/>
                <w:lang w:val="en-US"/>
              </w:rPr>
              <w:t>(kèm bản dịch sang tiếng Việt nếu là hàng hóa nhập khẩu)</w:t>
            </w:r>
            <w:r w:rsidRPr="00CD50CF">
              <w:rPr>
                <w:rFonts w:ascii="Times New Roman" w:eastAsia="Times New Roman" w:hAnsi="Times New Roman" w:cs="Times New Roman"/>
                <w:sz w:val="26"/>
                <w:szCs w:val="26"/>
                <w:lang w:val="en-US"/>
              </w:rPr>
              <w:t xml:space="preserve">; catalô; hình ảnh chụp của vỏ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 </w:t>
            </w:r>
          </w:p>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Tài liệu không đáp ứng quy định nêu trên sẽ được coi là không hợp lệ và không được đưa vào đánh giá.</w:t>
            </w:r>
          </w:p>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Thứ tự ưu tiên của các tài liệu để đánh giá đáp ứng yêu cầu kỹ thuật của hàng hoá dự thầu so với yêu cầu của E-HSMT: (1) tài liệu được công khai trên trang web của Bộ Y tế (</w:t>
            </w:r>
            <w:hyperlink r:id="rId8" w:history="1">
              <w:r w:rsidRPr="00CD50CF">
                <w:rPr>
                  <w:rFonts w:ascii="Times New Roman" w:eastAsia="Times New Roman" w:hAnsi="Times New Roman" w:cs="Times New Roman"/>
                  <w:sz w:val="26"/>
                  <w:szCs w:val="26"/>
                  <w:u w:val="single"/>
                  <w:lang w:val="en-US"/>
                </w:rPr>
                <w:t>https://imda.moh.gov.vn/web/guest/van-ban-cong-bo</w:t>
              </w:r>
            </w:hyperlink>
            <w:r w:rsidRPr="00CD50CF">
              <w:rPr>
                <w:rFonts w:ascii="Times New Roman" w:eastAsia="Times New Roman" w:hAnsi="Times New Roman" w:cs="Times New Roman"/>
                <w:sz w:val="26"/>
                <w:szCs w:val="26"/>
                <w:lang w:val="en-US"/>
              </w:rPr>
              <w:t>); (2) Tài liệu kỹ thuật tham chiếu gốc, hình ảnh sản phẩm; trích yếu hướng dẫn sử dụng; (3)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s-ES"/>
              </w:rPr>
              <w:t>- Trường hợp Nhà thầu chào hàng hoá với tính năng, công nghệ “tương đương” hoặc “tốt hơn”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CD50CF" w:rsidRPr="00CD50CF" w:rsidTr="00CD50CF">
        <w:trPr>
          <w:trHeight w:val="20"/>
          <w:jc w:val="center"/>
        </w:trPr>
        <w:tc>
          <w:tcPr>
            <w:tcW w:w="810" w:type="dxa"/>
            <w:vAlign w:val="center"/>
          </w:tcPr>
          <w:p w:rsidR="00CD50CF" w:rsidRPr="00CD50CF" w:rsidRDefault="00CD50CF" w:rsidP="00CD50CF">
            <w:pPr>
              <w:numPr>
                <w:ilvl w:val="1"/>
                <w:numId w:val="2"/>
              </w:numPr>
              <w:spacing w:before="60" w:after="60" w:line="240" w:lineRule="auto"/>
              <w:ind w:left="576"/>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Tính hợp lệ của hàng hóa:</w:t>
            </w:r>
          </w:p>
        </w:tc>
        <w:tc>
          <w:tcPr>
            <w:tcW w:w="7267" w:type="dxa"/>
            <w:vAlign w:val="center"/>
          </w:tcPr>
          <w:p w:rsidR="00CD50CF" w:rsidRPr="00CD50CF" w:rsidRDefault="00CD50CF" w:rsidP="00CD50CF">
            <w:pPr>
              <w:spacing w:before="60" w:after="60" w:line="240" w:lineRule="auto"/>
              <w:jc w:val="both"/>
              <w:rPr>
                <w:rFonts w:ascii="Times New Roman" w:eastAsia="Times New Roman" w:hAnsi="Times New Roman" w:cs="Times New Roman"/>
                <w:iCs/>
                <w:sz w:val="26"/>
                <w:szCs w:val="26"/>
                <w:lang w:val="nl-NL"/>
              </w:rPr>
            </w:pPr>
            <w:r w:rsidRPr="00CD50CF">
              <w:rPr>
                <w:rFonts w:ascii="Times New Roman" w:eastAsia="Times New Roman" w:hAnsi="Times New Roman" w:cs="Times New Roman"/>
                <w:iCs/>
                <w:sz w:val="26"/>
                <w:szCs w:val="26"/>
                <w:lang w:val="nl-NL"/>
              </w:rPr>
              <w:t>Các tiêu chí cơ bản (tiêu chí cơ bản của mục 1.2 có STT từ 1.2.1 đến 1.2.2) được đánh giá là đạt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≥01 tiêu chí cơ bản </w:t>
            </w:r>
            <w:r w:rsidRPr="00CD50CF">
              <w:rPr>
                <w:rFonts w:ascii="Times New Roman" w:eastAsia="Times New Roman" w:hAnsi="Times New Roman" w:cs="Times New Roman"/>
                <w:iCs/>
                <w:sz w:val="26"/>
                <w:szCs w:val="26"/>
                <w:lang w:val="nl-NL"/>
              </w:rPr>
              <w:t>(tiêu chí cơ bản của mục 1.2 có STT từ 1.2.1 đến 1.2.2)</w:t>
            </w:r>
          </w:p>
        </w:tc>
      </w:tr>
      <w:tr w:rsidR="00CD50CF" w:rsidRPr="00CD50CF" w:rsidTr="00CD50CF">
        <w:trPr>
          <w:trHeight w:val="20"/>
          <w:jc w:val="center"/>
        </w:trPr>
        <w:tc>
          <w:tcPr>
            <w:tcW w:w="810" w:type="dxa"/>
            <w:vAlign w:val="center"/>
          </w:tcPr>
          <w:p w:rsidR="00CD50CF" w:rsidRPr="00CD50CF" w:rsidRDefault="00CD50CF" w:rsidP="00CD50CF">
            <w:pPr>
              <w:numPr>
                <w:ilvl w:val="2"/>
                <w:numId w:val="2"/>
              </w:numPr>
              <w:spacing w:before="60" w:after="60" w:line="240" w:lineRule="auto"/>
              <w:ind w:left="504"/>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Về ký mã hiệu/nhãn mác, tên nhà sản xuất, nước sản xuất</w:t>
            </w:r>
          </w:p>
        </w:tc>
        <w:tc>
          <w:tcPr>
            <w:tcW w:w="7267"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i/>
                <w:sz w:val="26"/>
                <w:szCs w:val="26"/>
                <w:lang w:val="en-US"/>
              </w:rPr>
            </w:pPr>
            <w:r w:rsidRPr="00CD50CF">
              <w:rPr>
                <w:rFonts w:ascii="Times New Roman" w:eastAsia="Times New Roman" w:hAnsi="Times New Roman" w:cs="Times New Roman"/>
                <w:sz w:val="26"/>
                <w:szCs w:val="26"/>
                <w:lang w:val="en-US"/>
              </w:rPr>
              <w:t>Chào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CD50CF">
              <w:rPr>
                <w:rFonts w:ascii="Times New Roman" w:eastAsia="Times New Roman" w:hAnsi="Times New Roman" w:cs="Times New Roman"/>
                <w:i/>
                <w:sz w:val="26"/>
                <w:szCs w:val="26"/>
                <w:lang w:val="en-US"/>
              </w:rPr>
              <w: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yêu cầu cột (3) </w:t>
            </w:r>
          </w:p>
        </w:tc>
      </w:tr>
      <w:tr w:rsidR="00CD50CF" w:rsidRPr="00CD50CF" w:rsidTr="00CD50CF">
        <w:trPr>
          <w:trHeight w:val="20"/>
          <w:jc w:val="center"/>
        </w:trPr>
        <w:tc>
          <w:tcPr>
            <w:tcW w:w="810" w:type="dxa"/>
            <w:vAlign w:val="center"/>
          </w:tcPr>
          <w:p w:rsidR="00CD50CF" w:rsidRPr="00CD50CF" w:rsidRDefault="00CD50CF" w:rsidP="00CD50CF">
            <w:pPr>
              <w:numPr>
                <w:ilvl w:val="2"/>
                <w:numId w:val="2"/>
              </w:numPr>
              <w:spacing w:before="60" w:after="60" w:line="240" w:lineRule="auto"/>
              <w:ind w:left="504"/>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Điều kiện lưu hành đối với trang thiết bị y tế theo quy định của Nghị định 98/2021/NĐ-CP, được sửa đổi bổ sung bởi Nghị định 07/2023/NĐ-CP và Nghị định 04/2025/NĐ-CP</w:t>
            </w:r>
          </w:p>
        </w:tc>
        <w:tc>
          <w:tcPr>
            <w:tcW w:w="7267"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 Cam kết hàng hóa dự thầu đủ điều kiện lưu hành đối với trang thiết bị y tế theo quy định của Nghị định 98/2021/NĐ-CP, được sửa đổi bổ sung bởi Nghị định 07/2023/NĐ-CP và Nghị định 04/2025/NĐ-CP; và </w:t>
            </w:r>
          </w:p>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Cung cấp số lưu hành hoặc giấy phép nhập khẩu hoặc các tài liệu có giá trị tương đương</w:t>
            </w:r>
            <w:r w:rsidRPr="00CD50CF">
              <w:rPr>
                <w:rFonts w:ascii="Times New Roman" w:eastAsia="Times New Roman" w:hAnsi="Times New Roman" w:cs="Times New Roman"/>
                <w:sz w:val="26"/>
                <w:szCs w:val="26"/>
                <w:vertAlign w:val="superscript"/>
                <w:lang w:val="en-US"/>
              </w:rPr>
              <w:footnoteReference w:id="1"/>
            </w:r>
            <w:r w:rsidRPr="00CD50CF">
              <w:rPr>
                <w:rFonts w:ascii="Times New Roman" w:eastAsia="Times New Roman" w:hAnsi="Times New Roman" w:cs="Times New Roman"/>
                <w:sz w:val="26"/>
                <w:szCs w:val="26"/>
                <w:lang w:val="en-US"/>
              </w:rPr>
              <w: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một trong các yêu cầu cột (3) </w:t>
            </w:r>
          </w:p>
        </w:tc>
      </w:tr>
      <w:tr w:rsidR="00CD50CF" w:rsidRPr="00CD50CF" w:rsidTr="00CD50CF">
        <w:trPr>
          <w:trHeight w:val="20"/>
          <w:jc w:val="center"/>
        </w:trPr>
        <w:tc>
          <w:tcPr>
            <w:tcW w:w="810" w:type="dxa"/>
            <w:vAlign w:val="center"/>
          </w:tcPr>
          <w:p w:rsidR="00CD50CF" w:rsidRPr="00CD50CF" w:rsidRDefault="00CD50CF" w:rsidP="00CD50CF">
            <w:pPr>
              <w:numPr>
                <w:ilvl w:val="0"/>
                <w:numId w:val="1"/>
              </w:numPr>
              <w:spacing w:before="60" w:after="60" w:line="240" w:lineRule="auto"/>
              <w:ind w:left="504"/>
              <w:contextualSpacing/>
              <w:jc w:val="center"/>
              <w:rPr>
                <w:rFonts w:ascii="Times New Roman" w:eastAsia="Times New Roman" w:hAnsi="Times New Roman" w:cs="Times New Roman"/>
                <w:b/>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Tính hợp lý và hiệu quả kinh tế của các giải pháp kỹ thuật, biện pháp tổ chức cung cấp, lắp đặt hàng hóa; tiến độ cung cấp hàng hóa</w:t>
            </w:r>
          </w:p>
        </w:tc>
        <w:tc>
          <w:tcPr>
            <w:tcW w:w="7267" w:type="dxa"/>
            <w:vAlign w:val="center"/>
          </w:tcPr>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Giao thành nhiều đợt trong suốt thời gian thực hiện hợp đồng theo yêu cầu của Chủ đầu tư, cụ thể:</w:t>
            </w:r>
          </w:p>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Cam kết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sau khi nhận được dự trù của bên mua (bằng fax, email hoặc điện thoại).</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yêu cầu cột (3) </w:t>
            </w:r>
          </w:p>
        </w:tc>
      </w:tr>
      <w:tr w:rsidR="00CD50CF" w:rsidRPr="00CD50CF" w:rsidTr="00CD50CF">
        <w:trPr>
          <w:trHeight w:val="20"/>
          <w:jc w:val="center"/>
        </w:trPr>
        <w:tc>
          <w:tcPr>
            <w:tcW w:w="810" w:type="dxa"/>
            <w:vAlign w:val="center"/>
          </w:tcPr>
          <w:p w:rsidR="00CD50CF" w:rsidRPr="00CD50CF" w:rsidRDefault="00CD50CF" w:rsidP="00CD50CF">
            <w:pPr>
              <w:numPr>
                <w:ilvl w:val="0"/>
                <w:numId w:val="1"/>
              </w:numPr>
              <w:spacing w:before="60" w:after="60" w:line="240" w:lineRule="auto"/>
              <w:ind w:left="504"/>
              <w:contextualSpacing/>
              <w:jc w:val="center"/>
              <w:rPr>
                <w:rFonts w:ascii="Times New Roman" w:eastAsia="Times New Roman" w:hAnsi="Times New Roman" w:cs="Times New Roman"/>
                <w:b/>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Bảo hành hàng hóa</w:t>
            </w:r>
          </w:p>
        </w:tc>
        <w:tc>
          <w:tcPr>
            <w:tcW w:w="7267" w:type="dxa"/>
            <w:vAlign w:val="center"/>
          </w:tcPr>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Có cam kết bảo hành 1 đổi 1 đối với trường hợp sau:</w:t>
            </w:r>
          </w:p>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Hàng hóa kiểm tra và thử nghiệm không phù hợp với đặc tính kỹ thuật đã chào thầu;</w:t>
            </w:r>
          </w:p>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yêu cầu cột (3) </w:t>
            </w:r>
          </w:p>
        </w:tc>
      </w:tr>
      <w:tr w:rsidR="00CD50CF" w:rsidRPr="00CD50CF" w:rsidTr="00CD50CF">
        <w:trPr>
          <w:trHeight w:val="20"/>
          <w:jc w:val="center"/>
        </w:trPr>
        <w:tc>
          <w:tcPr>
            <w:tcW w:w="810" w:type="dxa"/>
            <w:vAlign w:val="center"/>
          </w:tcPr>
          <w:p w:rsidR="00CD50CF" w:rsidRPr="00CD50CF" w:rsidRDefault="00CD50CF" w:rsidP="00CD50CF">
            <w:pPr>
              <w:numPr>
                <w:ilvl w:val="0"/>
                <w:numId w:val="1"/>
              </w:numPr>
              <w:spacing w:before="60" w:after="60" w:line="240" w:lineRule="auto"/>
              <w:ind w:left="504"/>
              <w:contextualSpacing/>
              <w:jc w:val="center"/>
              <w:rPr>
                <w:rFonts w:ascii="Times New Roman" w:eastAsia="Times New Roman" w:hAnsi="Times New Roman" w:cs="Times New Roman"/>
                <w:b/>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công </w:t>
            </w:r>
            <w:r w:rsidRPr="00CD50CF">
              <w:rPr>
                <w:rFonts w:ascii="Times New Roman" w:eastAsia="Times New Roman" w:hAnsi="Times New Roman" w:cs="Times New Roman"/>
                <w:b/>
                <w:sz w:val="26"/>
                <w:szCs w:val="26"/>
                <w:lang w:val="en-US"/>
              </w:rPr>
              <w:lastRenderedPageBreak/>
              <w:t>khai theo quy định tại Điều 20 của Nghị định số 214/2025/NĐ-CP (nếu có)</w:t>
            </w:r>
          </w:p>
        </w:tc>
        <w:tc>
          <w:tcPr>
            <w:tcW w:w="7267" w:type="dxa"/>
            <w:vAlign w:val="center"/>
          </w:tcPr>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lastRenderedPageBreak/>
              <w:t>Kể từ 01/01/2022 đến thời điểm đóng thầu: Nhà thầu cam kết không có từ 02 hợp đồng cung cấp hàng hóa vi phạm theo quy định tại khoản 3, 5, 6 Điều 20 Nghị định số 214/2025/NĐ-CP ngày 04/08/2025.</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có một trong các cam kết theo yêu cầu cột (3) hoặc có từ 02 hợp đồng cung cấp hàng hóa vi phạm theo quy định tại khoản 3, 5, 6 Điều 20 Nghị định số </w:t>
            </w:r>
            <w:r w:rsidRPr="00CD50CF">
              <w:rPr>
                <w:rFonts w:ascii="Times New Roman" w:eastAsia="Times New Roman" w:hAnsi="Times New Roman" w:cs="Times New Roman"/>
                <w:sz w:val="26"/>
                <w:szCs w:val="26"/>
                <w:lang w:val="en-US"/>
              </w:rPr>
              <w:lastRenderedPageBreak/>
              <w:t>214/2025/NĐ-CP ngày 04/08/2025.</w:t>
            </w:r>
          </w:p>
        </w:tc>
      </w:tr>
      <w:tr w:rsidR="00CD50CF" w:rsidRPr="00CD50CF" w:rsidTr="00CD50CF">
        <w:trPr>
          <w:trHeight w:val="20"/>
          <w:jc w:val="center"/>
        </w:trPr>
        <w:tc>
          <w:tcPr>
            <w:tcW w:w="810" w:type="dxa"/>
            <w:vAlign w:val="center"/>
          </w:tcPr>
          <w:p w:rsidR="00CD50CF" w:rsidRPr="00CD50CF" w:rsidRDefault="00CD50CF" w:rsidP="00CD50CF">
            <w:pPr>
              <w:numPr>
                <w:ilvl w:val="0"/>
                <w:numId w:val="1"/>
              </w:numPr>
              <w:spacing w:before="60" w:after="60" w:line="240" w:lineRule="auto"/>
              <w:ind w:left="504"/>
              <w:contextualSpacing/>
              <w:jc w:val="center"/>
              <w:rPr>
                <w:rFonts w:ascii="Times New Roman" w:eastAsia="Times New Roman" w:hAnsi="Times New Roman" w:cs="Times New Roman"/>
                <w:b/>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Yếu tố cần thiết khác</w:t>
            </w:r>
          </w:p>
        </w:tc>
        <w:tc>
          <w:tcPr>
            <w:tcW w:w="7267" w:type="dxa"/>
            <w:vAlign w:val="center"/>
          </w:tcPr>
          <w:p w:rsidR="00CD50CF" w:rsidRPr="00CD50CF" w:rsidRDefault="00CD50CF" w:rsidP="00CD50CF">
            <w:pPr>
              <w:widowControl w:val="0"/>
              <w:spacing w:before="60" w:after="60" w:line="240" w:lineRule="auto"/>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iCs/>
                <w:sz w:val="26"/>
                <w:szCs w:val="26"/>
                <w:lang w:val="nl-NL"/>
              </w:rPr>
              <w:t>Các tiêu chí cơ bản (tiêu chí cơ bản của mục 5 có STT từ 5.1 đến 5.4) được đánh giá là đạt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≥01 tiêu chí cơ bản </w:t>
            </w:r>
            <w:r w:rsidRPr="00CD50CF">
              <w:rPr>
                <w:rFonts w:ascii="Times New Roman" w:eastAsia="Times New Roman" w:hAnsi="Times New Roman" w:cs="Times New Roman"/>
                <w:iCs/>
                <w:sz w:val="26"/>
                <w:szCs w:val="26"/>
                <w:lang w:val="nl-NL"/>
              </w:rPr>
              <w:t>(tiêu chí cơ bản của mục 5 có STT từ 5.1 đến 5.4)</w:t>
            </w:r>
          </w:p>
        </w:tc>
      </w:tr>
      <w:tr w:rsidR="00CD50CF" w:rsidRPr="00CD50CF" w:rsidTr="00CD50CF">
        <w:trPr>
          <w:trHeight w:val="20"/>
          <w:jc w:val="center"/>
        </w:trPr>
        <w:tc>
          <w:tcPr>
            <w:tcW w:w="810" w:type="dxa"/>
            <w:vAlign w:val="center"/>
          </w:tcPr>
          <w:p w:rsidR="00CD50CF" w:rsidRPr="00CD50CF" w:rsidRDefault="00CD50CF" w:rsidP="00CD50CF">
            <w:pPr>
              <w:numPr>
                <w:ilvl w:val="1"/>
                <w:numId w:val="3"/>
              </w:numPr>
              <w:spacing w:before="60" w:after="60" w:line="240" w:lineRule="auto"/>
              <w:ind w:left="576"/>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Cs/>
                <w:sz w:val="26"/>
                <w:szCs w:val="26"/>
                <w:lang w:val="en-US"/>
              </w:rPr>
            </w:pPr>
            <w:r w:rsidRPr="00CD50CF">
              <w:rPr>
                <w:rFonts w:ascii="Times New Roman" w:eastAsia="Times New Roman" w:hAnsi="Times New Roman" w:cs="Times New Roman"/>
                <w:bCs/>
                <w:sz w:val="26"/>
                <w:szCs w:val="26"/>
                <w:lang w:val="en-US"/>
              </w:rPr>
              <w:t>Phạm vi cung cấp</w:t>
            </w:r>
          </w:p>
        </w:tc>
        <w:tc>
          <w:tcPr>
            <w:tcW w:w="7267"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iCs/>
                <w:sz w:val="26"/>
                <w:szCs w:val="26"/>
                <w:lang w:val="nl-NL"/>
              </w:rPr>
              <w:t>Đối với mỗi phần tham dự: Cung cấp đúng chủng loại và đầy đủ số lượng hàng hóa theo Biểu phạm vi cung cấp (Chương IV, E-HSMT).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Không đáp ứng một trong các yêu cầu cột (3)</w:t>
            </w:r>
          </w:p>
        </w:tc>
      </w:tr>
      <w:tr w:rsidR="00CD50CF" w:rsidRPr="00CD50CF" w:rsidTr="00CD50CF">
        <w:trPr>
          <w:trHeight w:val="20"/>
          <w:jc w:val="center"/>
        </w:trPr>
        <w:tc>
          <w:tcPr>
            <w:tcW w:w="810" w:type="dxa"/>
            <w:vAlign w:val="center"/>
          </w:tcPr>
          <w:p w:rsidR="00CD50CF" w:rsidRPr="00CD50CF" w:rsidRDefault="00CD50CF" w:rsidP="00CD50CF">
            <w:pPr>
              <w:numPr>
                <w:ilvl w:val="1"/>
                <w:numId w:val="3"/>
              </w:numPr>
              <w:spacing w:before="60" w:after="60" w:line="240" w:lineRule="auto"/>
              <w:ind w:left="576"/>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Cam kết</w:t>
            </w:r>
          </w:p>
        </w:tc>
        <w:tc>
          <w:tcPr>
            <w:tcW w:w="7267"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Nhà thầu có Bản cam kết với đầy đủ nội dung theo Mẫu B Chương V E-HSMT.</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Không có cam kết hoặc không có ≥01 nội dung cam kết tại Mẫu B Chương V E-HSMT</w:t>
            </w:r>
          </w:p>
        </w:tc>
      </w:tr>
      <w:tr w:rsidR="00CD50CF" w:rsidRPr="00CD50CF" w:rsidTr="00CD50CF">
        <w:trPr>
          <w:trHeight w:val="20"/>
          <w:jc w:val="center"/>
        </w:trPr>
        <w:tc>
          <w:tcPr>
            <w:tcW w:w="810" w:type="dxa"/>
            <w:vAlign w:val="center"/>
          </w:tcPr>
          <w:p w:rsidR="00CD50CF" w:rsidRPr="00CD50CF" w:rsidRDefault="00CD50CF" w:rsidP="00CD50CF">
            <w:pPr>
              <w:numPr>
                <w:ilvl w:val="1"/>
                <w:numId w:val="3"/>
              </w:numPr>
              <w:spacing w:before="60" w:after="60" w:line="240" w:lineRule="auto"/>
              <w:ind w:left="576"/>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Đối với việc mua bán các hàng hóa thuộc loại B, C, D</w:t>
            </w:r>
            <w:r w:rsidRPr="00CD50CF">
              <w:rPr>
                <w:rFonts w:ascii="Times New Roman" w:eastAsia="Times New Roman" w:hAnsi="Times New Roman" w:cs="Times New Roman"/>
                <w:sz w:val="26"/>
                <w:szCs w:val="26"/>
                <w:vertAlign w:val="superscript"/>
                <w:lang w:val="en-US"/>
              </w:rPr>
              <w:footnoteReference w:id="2"/>
            </w:r>
          </w:p>
        </w:tc>
        <w:tc>
          <w:tcPr>
            <w:tcW w:w="7267"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Nhà thầu tham dự thầu phải được công bố đủ điều kiện mua bán trang thiết bị y tế </w:t>
            </w:r>
            <w:r w:rsidRPr="00CD50CF">
              <w:rPr>
                <w:rFonts w:ascii="Times New Roman" w:eastAsia="Times New Roman" w:hAnsi="Times New Roman" w:cs="Times New Roman"/>
                <w:i/>
                <w:iCs/>
                <w:sz w:val="26"/>
                <w:szCs w:val="26"/>
                <w:lang w:val="en-US"/>
              </w:rPr>
              <w:t>(các mặt hàng thiết bị y tế dự thầu)</w:t>
            </w:r>
            <w:r w:rsidRPr="00CD50CF">
              <w:rPr>
                <w:rFonts w:ascii="Times New Roman" w:eastAsia="Times New Roman" w:hAnsi="Times New Roman" w:cs="Times New Roman"/>
                <w:sz w:val="26"/>
                <w:szCs w:val="26"/>
                <w:lang w:val="en-US"/>
              </w:rPr>
              <w:t xml:space="preserve"> theo quy định tại Nghị định 98/2021/NĐ-CP</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yêu cầu cột (3) </w:t>
            </w:r>
          </w:p>
        </w:tc>
      </w:tr>
      <w:tr w:rsidR="00CD50CF" w:rsidRPr="00CD50CF" w:rsidTr="00CD50CF">
        <w:trPr>
          <w:trHeight w:val="20"/>
          <w:jc w:val="center"/>
        </w:trPr>
        <w:tc>
          <w:tcPr>
            <w:tcW w:w="810" w:type="dxa"/>
            <w:vAlign w:val="center"/>
          </w:tcPr>
          <w:p w:rsidR="00CD50CF" w:rsidRPr="00CD50CF" w:rsidRDefault="00CD50CF" w:rsidP="00CD50CF">
            <w:pPr>
              <w:numPr>
                <w:ilvl w:val="1"/>
                <w:numId w:val="3"/>
              </w:numPr>
              <w:spacing w:before="60" w:after="60" w:line="240" w:lineRule="auto"/>
              <w:ind w:left="576"/>
              <w:contextualSpacing/>
              <w:jc w:val="both"/>
              <w:rPr>
                <w:rFonts w:ascii="Times New Roman" w:eastAsia="Times New Roman" w:hAnsi="Times New Roman" w:cs="Times New Roman"/>
                <w:bCs/>
                <w:sz w:val="26"/>
                <w:szCs w:val="26"/>
                <w:lang w:val="en-US"/>
              </w:rPr>
            </w:pPr>
          </w:p>
        </w:tc>
        <w:tc>
          <w:tcPr>
            <w:tcW w:w="3510"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Đối với trang thiết bị y tế sản xuất trong nước</w:t>
            </w:r>
          </w:p>
        </w:tc>
        <w:tc>
          <w:tcPr>
            <w:tcW w:w="7267"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Cung cấp Số công bố (hoặc Phiếu thông tin) hồ sơ công bố đủ điều kiện sản xuất trang thiết bị y tế </w:t>
            </w:r>
            <w:r w:rsidRPr="00CD50CF">
              <w:rPr>
                <w:rFonts w:ascii="Times New Roman" w:eastAsia="Times New Roman" w:hAnsi="Times New Roman" w:cs="Times New Roman"/>
                <w:i/>
                <w:iCs/>
                <w:sz w:val="26"/>
                <w:szCs w:val="26"/>
                <w:lang w:val="en-US"/>
              </w:rPr>
              <w:t>(các mặt hàng thiết bị y tế dự thầu)</w:t>
            </w:r>
            <w:r w:rsidRPr="00CD50CF">
              <w:rPr>
                <w:rFonts w:ascii="Times New Roman" w:eastAsia="Times New Roman" w:hAnsi="Times New Roman" w:cs="Times New Roman"/>
                <w:sz w:val="26"/>
                <w:szCs w:val="26"/>
                <w:lang w:val="en-US"/>
              </w:rPr>
              <w:t xml:space="preserve"> của nhà sản xuất hàng hóa theo quy định tại Nghị định số 98/2021/NĐ-CP.</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sz w:val="26"/>
                <w:szCs w:val="26"/>
                <w:lang w:val="en-US"/>
              </w:rPr>
            </w:pPr>
            <w:r w:rsidRPr="00CD50CF">
              <w:rPr>
                <w:rFonts w:ascii="Times New Roman" w:eastAsia="Times New Roman" w:hAnsi="Times New Roman" w:cs="Times New Roman"/>
                <w:sz w:val="26"/>
                <w:szCs w:val="26"/>
                <w:lang w:val="en-US"/>
              </w:rPr>
              <w:t xml:space="preserve">Không đáp ứng yêu cầu cột (3) </w:t>
            </w:r>
          </w:p>
        </w:tc>
      </w:tr>
      <w:tr w:rsidR="00CD50CF" w:rsidRPr="00CD50CF" w:rsidTr="00CD50CF">
        <w:trPr>
          <w:trHeight w:val="20"/>
          <w:jc w:val="center"/>
        </w:trPr>
        <w:tc>
          <w:tcPr>
            <w:tcW w:w="4320" w:type="dxa"/>
            <w:gridSpan w:val="2"/>
            <w:vAlign w:val="center"/>
          </w:tcPr>
          <w:p w:rsidR="00CD50CF" w:rsidRPr="00CD50CF" w:rsidRDefault="00CD50CF" w:rsidP="00CD50CF">
            <w:pPr>
              <w:spacing w:before="60" w:after="60" w:line="240" w:lineRule="auto"/>
              <w:ind w:right="43"/>
              <w:jc w:val="center"/>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lastRenderedPageBreak/>
              <w:t>KẾT LUẬN</w:t>
            </w:r>
          </w:p>
        </w:tc>
        <w:tc>
          <w:tcPr>
            <w:tcW w:w="7267" w:type="dxa"/>
            <w:vAlign w:val="center"/>
          </w:tcPr>
          <w:p w:rsidR="00CD50CF" w:rsidRPr="00CD50CF" w:rsidRDefault="00CD50CF" w:rsidP="00CD50CF">
            <w:pPr>
              <w:widowControl w:val="0"/>
              <w:spacing w:before="60" w:after="60" w:line="240" w:lineRule="auto"/>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E-HSDT được đánh giá “đạt” tất cả các tiêu chí nêu trên.</w:t>
            </w:r>
          </w:p>
        </w:tc>
        <w:tc>
          <w:tcPr>
            <w:tcW w:w="2813" w:type="dxa"/>
            <w:vAlign w:val="center"/>
          </w:tcPr>
          <w:p w:rsidR="00CD50CF" w:rsidRPr="00CD50CF" w:rsidRDefault="00CD50CF" w:rsidP="00CD50CF">
            <w:pPr>
              <w:spacing w:before="60" w:after="60" w:line="240" w:lineRule="auto"/>
              <w:ind w:right="43"/>
              <w:jc w:val="both"/>
              <w:rPr>
                <w:rFonts w:ascii="Times New Roman" w:eastAsia="Times New Roman" w:hAnsi="Times New Roman" w:cs="Times New Roman"/>
                <w:b/>
                <w:sz w:val="26"/>
                <w:szCs w:val="26"/>
                <w:lang w:val="en-US"/>
              </w:rPr>
            </w:pPr>
            <w:r w:rsidRPr="00CD50CF">
              <w:rPr>
                <w:rFonts w:ascii="Times New Roman" w:eastAsia="Times New Roman" w:hAnsi="Times New Roman" w:cs="Times New Roman"/>
                <w:b/>
                <w:sz w:val="26"/>
                <w:szCs w:val="26"/>
                <w:lang w:val="en-US"/>
              </w:rPr>
              <w:t>E-HSDT có ≥01 tiêu chí được đánh giá là “không đạt”.</w:t>
            </w:r>
          </w:p>
        </w:tc>
      </w:tr>
    </w:tbl>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lang w:val="es-ES"/>
        </w:rPr>
      </w:pPr>
    </w:p>
    <w:p w:rsidR="00CD50CF" w:rsidRPr="00CD50CF" w:rsidRDefault="00CD50CF" w:rsidP="00CD50CF">
      <w:pPr>
        <w:widowControl w:val="0"/>
        <w:tabs>
          <w:tab w:val="left" w:leader="dot" w:pos="8424"/>
        </w:tabs>
        <w:autoSpaceDE w:val="0"/>
        <w:autoSpaceDN w:val="0"/>
        <w:spacing w:before="120" w:after="120" w:line="264" w:lineRule="auto"/>
        <w:ind w:firstLine="709"/>
        <w:jc w:val="both"/>
        <w:outlineLvl w:val="2"/>
        <w:rPr>
          <w:rFonts w:ascii="Times New Roman" w:eastAsia="Times New Roman" w:hAnsi="Times New Roman" w:cs="Times New Roman"/>
          <w:b/>
          <w:bCs/>
          <w:sz w:val="28"/>
          <w:szCs w:val="28"/>
          <w:lang w:val="es-ES"/>
        </w:rPr>
      </w:pPr>
      <w:r w:rsidRPr="00CD50CF">
        <w:rPr>
          <w:rFonts w:ascii="Times New Roman" w:eastAsia="Times New Roman" w:hAnsi="Times New Roman" w:cs="Times New Roman"/>
          <w:b/>
          <w:bCs/>
          <w:sz w:val="28"/>
          <w:szCs w:val="28"/>
          <w:lang w:val="es-ES"/>
        </w:rPr>
        <w:t>Mục 4. Tiêu chuẩn đánh giá về tài chính</w:t>
      </w:r>
    </w:p>
    <w:p w:rsidR="00CD50CF" w:rsidRPr="00CD50CF" w:rsidRDefault="00CD50CF" w:rsidP="00CD50CF">
      <w:pPr>
        <w:spacing w:before="80" w:after="80" w:line="264" w:lineRule="auto"/>
        <w:ind w:firstLine="709"/>
        <w:jc w:val="both"/>
        <w:rPr>
          <w:rFonts w:ascii="Times New Roman" w:eastAsia="Times New Roman" w:hAnsi="Times New Roman" w:cs="Times New Roman"/>
          <w:i/>
          <w:sz w:val="28"/>
          <w:szCs w:val="28"/>
          <w:lang w:val="es-ES"/>
        </w:rPr>
      </w:pPr>
      <w:r w:rsidRPr="00CD50CF">
        <w:rPr>
          <w:rFonts w:ascii="Times New Roman" w:eastAsia="Times New Roman" w:hAnsi="Times New Roman" w:cs="Times New Roman"/>
          <w:i/>
          <w:sz w:val="28"/>
          <w:szCs w:val="28"/>
          <w:lang w:val="es-ES"/>
        </w:rPr>
        <w:t>Căn cứ tính chất, quy mô của từng gói thầu cụ thể mà lựa chọn một trong các phương pháp dưới đây cho phù hợp:</w:t>
      </w:r>
    </w:p>
    <w:p w:rsidR="00CD50CF" w:rsidRPr="00CD50CF" w:rsidRDefault="00CD50CF" w:rsidP="00CD50CF">
      <w:pPr>
        <w:spacing w:before="80" w:after="80" w:line="264" w:lineRule="auto"/>
        <w:ind w:firstLine="709"/>
        <w:jc w:val="both"/>
        <w:rPr>
          <w:rFonts w:ascii="Times New Roman" w:eastAsia="Times New Roman" w:hAnsi="Times New Roman" w:cs="Times New Roman"/>
          <w:b/>
          <w:sz w:val="28"/>
          <w:szCs w:val="28"/>
          <w:lang w:val="es-ES"/>
        </w:rPr>
      </w:pPr>
      <w:r w:rsidRPr="00CD50CF">
        <w:rPr>
          <w:rFonts w:ascii="Times New Roman" w:eastAsia="Times New Roman" w:hAnsi="Times New Roman" w:cs="Times New Roman"/>
          <w:b/>
          <w:sz w:val="28"/>
          <w:szCs w:val="28"/>
          <w:lang w:val="es-ES"/>
        </w:rPr>
        <w:t>Phương pháp giá thấp nhất:</w:t>
      </w:r>
    </w:p>
    <w:p w:rsidR="00CD50CF" w:rsidRPr="00CD50CF" w:rsidRDefault="00CD50CF" w:rsidP="00CD50CF">
      <w:pPr>
        <w:spacing w:before="80" w:after="8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t>Cách xác định giá thấp nhất theo các bước sau đây:</w:t>
      </w:r>
    </w:p>
    <w:p w:rsidR="00CD50CF" w:rsidRPr="00CD50CF" w:rsidRDefault="00CD50CF" w:rsidP="00CD50CF">
      <w:pPr>
        <w:spacing w:before="120" w:after="12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t>Bước 1. Xác định giá dự thầu, giá dự thầu sau giảm giá (nếu có);</w:t>
      </w:r>
    </w:p>
    <w:p w:rsidR="00CD50CF" w:rsidRPr="00CD50CF" w:rsidRDefault="00CD50CF" w:rsidP="00CD50CF">
      <w:pPr>
        <w:spacing w:before="120" w:after="120" w:line="264" w:lineRule="auto"/>
        <w:ind w:firstLine="709"/>
        <w:jc w:val="both"/>
        <w:rPr>
          <w:rFonts w:ascii="Times New Roman" w:eastAsia="Times New Roman" w:hAnsi="Times New Roman" w:cs="Times New Roman"/>
          <w:sz w:val="28"/>
          <w:szCs w:val="28"/>
          <w:lang w:val="es-ES"/>
        </w:rPr>
      </w:pPr>
      <w:r w:rsidRPr="00CD50CF">
        <w:rPr>
          <w:rFonts w:ascii="Times New Roman" w:eastAsia="Times New Roman" w:hAnsi="Times New Roman" w:cs="Times New Roman"/>
          <w:sz w:val="28"/>
          <w:szCs w:val="28"/>
          <w:lang w:val="es-ES"/>
        </w:rPr>
        <w:t>Bước 2. Xác định giá trị ưu đãi (nếu có) theo quy định tại Mục 28 E-CDNT;</w:t>
      </w:r>
    </w:p>
    <w:p w:rsidR="00CD50CF" w:rsidRPr="00CD50CF" w:rsidRDefault="00CD50CF" w:rsidP="00CD50CF">
      <w:pPr>
        <w:tabs>
          <w:tab w:val="center" w:pos="4961"/>
        </w:tabs>
        <w:spacing w:before="120" w:after="120" w:line="264" w:lineRule="auto"/>
        <w:ind w:firstLine="709"/>
        <w:jc w:val="both"/>
        <w:rPr>
          <w:rFonts w:ascii="Times New Roman" w:eastAsia="Times New Roman" w:hAnsi="Times New Roman" w:cs="Times New Roman"/>
          <w:spacing w:val="-6"/>
          <w:sz w:val="28"/>
          <w:szCs w:val="28"/>
          <w:lang w:val="es-ES"/>
        </w:rPr>
      </w:pPr>
      <w:r w:rsidRPr="00CD50CF">
        <w:rPr>
          <w:rFonts w:ascii="Times New Roman" w:eastAsia="Times New Roman" w:hAnsi="Times New Roman" w:cs="Times New Roman"/>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CD50CF" w:rsidRPr="00CD50CF" w:rsidRDefault="00CD50CF" w:rsidP="00CD50CF">
      <w:pPr>
        <w:widowControl w:val="0"/>
        <w:tabs>
          <w:tab w:val="left" w:leader="dot" w:pos="8424"/>
        </w:tabs>
        <w:autoSpaceDE w:val="0"/>
        <w:autoSpaceDN w:val="0"/>
        <w:spacing w:before="120" w:after="120" w:line="264" w:lineRule="auto"/>
        <w:ind w:firstLine="709"/>
        <w:jc w:val="both"/>
        <w:outlineLvl w:val="2"/>
        <w:rPr>
          <w:rFonts w:ascii="Times New Roman" w:eastAsia="Times New Roman" w:hAnsi="Times New Roman" w:cs="Times New Roman"/>
          <w:b/>
          <w:bCs/>
          <w:sz w:val="28"/>
          <w:szCs w:val="28"/>
          <w:lang w:val="es-ES"/>
        </w:rPr>
      </w:pPr>
      <w:r w:rsidRPr="00CD50CF">
        <w:rPr>
          <w:rFonts w:ascii="Times New Roman" w:eastAsia="Times New Roman" w:hAnsi="Times New Roman" w:cs="Times New Roman"/>
          <w:b/>
          <w:bCs/>
          <w:sz w:val="28"/>
          <w:szCs w:val="28"/>
          <w:lang w:val="es-ES"/>
        </w:rPr>
        <w:t>Mục 5. Phương án kỹ thuật thay thế trong E-HSDT (nếu có)</w:t>
      </w:r>
    </w:p>
    <w:p w:rsidR="00CD50CF" w:rsidRPr="00CD50CF" w:rsidRDefault="00CD50CF" w:rsidP="00CD50CF">
      <w:pPr>
        <w:widowControl w:val="0"/>
        <w:spacing w:before="80" w:after="80" w:line="264" w:lineRule="auto"/>
        <w:ind w:firstLine="709"/>
        <w:jc w:val="both"/>
        <w:rPr>
          <w:rFonts w:ascii="Times New Roman" w:eastAsia="Times New Roman" w:hAnsi="Times New Roman" w:cs="Times New Roman"/>
          <w:i/>
          <w:sz w:val="28"/>
          <w:szCs w:val="28"/>
          <w:lang w:val="en-US"/>
        </w:rPr>
      </w:pPr>
      <w:r w:rsidRPr="00CD50CF">
        <w:rPr>
          <w:rFonts w:ascii="Times New Roman" w:eastAsia="Times New Roman" w:hAnsi="Times New Roman" w:cs="Times New Roman"/>
          <w:sz w:val="28"/>
          <w:szCs w:val="28"/>
          <w:lang w:val="en-US"/>
        </w:rPr>
        <w:t>Trường hợp cho phép nhà thầu đề xuất phương án kỹ thuật thay thế theo quy định tại Mục 12 E-CDNT, E-HSDT sẽ được đánh giá như sau:</w:t>
      </w:r>
      <w:r w:rsidRPr="00CD50CF">
        <w:rPr>
          <w:rFonts w:ascii="Times New Roman" w:eastAsia="Times New Roman" w:hAnsi="Times New Roman" w:cs="Times New Roman"/>
          <w:sz w:val="28"/>
          <w:szCs w:val="28"/>
          <w:u w:val="single"/>
          <w:lang w:val="en-US"/>
        </w:rPr>
        <w:t xml:space="preserve"> ___</w:t>
      </w:r>
      <w:r w:rsidRPr="00CD50CF">
        <w:rPr>
          <w:rFonts w:ascii="Times New Roman" w:eastAsia="Times New Roman" w:hAnsi="Times New Roman" w:cs="Times New Roman"/>
          <w:sz w:val="28"/>
          <w:szCs w:val="28"/>
          <w:lang w:val="en-US"/>
        </w:rPr>
        <w:t xml:space="preserve"> </w:t>
      </w:r>
      <w:r w:rsidRPr="00CD50CF">
        <w:rPr>
          <w:rFonts w:ascii="Times New Roman" w:eastAsia="Times New Roman" w:hAnsi="Times New Roman" w:cs="Times New Roman"/>
          <w:i/>
          <w:sz w:val="28"/>
          <w:szCs w:val="28"/>
          <w:lang w:val="en-US"/>
        </w:rPr>
        <w:t>[ghi các tiêu chí, tiêu chuẩn đánh giá đối với phương án kỹ thuật thay thế].</w:t>
      </w:r>
    </w:p>
    <w:p w:rsidR="00CD50CF" w:rsidRPr="00CD50CF" w:rsidRDefault="00CD50CF" w:rsidP="00CD50CF">
      <w:pPr>
        <w:widowControl w:val="0"/>
        <w:tabs>
          <w:tab w:val="left" w:leader="dot" w:pos="8424"/>
        </w:tabs>
        <w:autoSpaceDE w:val="0"/>
        <w:autoSpaceDN w:val="0"/>
        <w:spacing w:before="120" w:after="120" w:line="264" w:lineRule="auto"/>
        <w:ind w:firstLine="709"/>
        <w:jc w:val="both"/>
        <w:outlineLvl w:val="2"/>
        <w:rPr>
          <w:rFonts w:ascii="Times New Roman" w:eastAsia="Times New Roman" w:hAnsi="Times New Roman" w:cs="Times New Roman"/>
          <w:b/>
          <w:bCs/>
          <w:sz w:val="28"/>
          <w:szCs w:val="28"/>
          <w:lang w:val="es-ES"/>
        </w:rPr>
      </w:pPr>
      <w:r w:rsidRPr="00CD50CF">
        <w:rPr>
          <w:rFonts w:ascii="Times New Roman" w:eastAsia="Times New Roman" w:hAnsi="Times New Roman" w:cs="Times New Roman"/>
          <w:b/>
          <w:bCs/>
          <w:sz w:val="28"/>
          <w:szCs w:val="28"/>
          <w:lang w:val="es-ES"/>
        </w:rPr>
        <w:t xml:space="preserve">Mục 6. Trường hợp gói thầu chia thành nhiều phần độc lập (nếu có) </w:t>
      </w:r>
    </w:p>
    <w:p w:rsidR="00CD50CF" w:rsidRPr="00CD50CF" w:rsidRDefault="00CD50CF" w:rsidP="00CD50CF">
      <w:pPr>
        <w:widowControl w:val="0"/>
        <w:spacing w:before="80" w:after="80" w:line="264" w:lineRule="auto"/>
        <w:ind w:firstLine="709"/>
        <w:jc w:val="both"/>
        <w:rPr>
          <w:rFonts w:ascii="Times New Roman" w:eastAsia="Calibri" w:hAnsi="Times New Roman" w:cs="Times New Roman"/>
          <w:sz w:val="28"/>
          <w:szCs w:val="28"/>
          <w:lang w:val="en-US"/>
        </w:rPr>
      </w:pPr>
      <w:r w:rsidRPr="00CD50CF">
        <w:rPr>
          <w:rFonts w:ascii="Times New Roman" w:eastAsia="Times New Roman" w:hAnsi="Times New Roman" w:cs="Times New Roman"/>
          <w:sz w:val="28"/>
          <w:szCs w:val="28"/>
          <w:lang w:val="en-US"/>
        </w:rPr>
        <w:t>Trường hợp gói thầu được chia thành nhiều phần độc lập thì t</w:t>
      </w:r>
      <w:r w:rsidRPr="00CD50CF">
        <w:rPr>
          <w:rFonts w:ascii="Times New Roman" w:eastAsia="Calibri" w:hAnsi="Times New Roman" w:cs="Times New Roman"/>
          <w:sz w:val="28"/>
          <w:szCs w:val="28"/>
          <w:lang w:val="en-US"/>
        </w:rPr>
        <w:t xml:space="preserve">rong E-HSMT phải nêu rõ tiêu chuẩn và phương pháp đánh giá đối với từng phần hoặc nhiều phần để các nhà thầu tính toán phương án chào thầu theo khả năng của </w:t>
      </w:r>
      <w:r w:rsidRPr="00CD50CF">
        <w:rPr>
          <w:rFonts w:ascii="Times New Roman" w:eastAsia="Calibri" w:hAnsi="Times New Roman" w:cs="Times New Roman"/>
          <w:sz w:val="28"/>
          <w:szCs w:val="28"/>
          <w:lang w:val="en-US"/>
        </w:rPr>
        <w:lastRenderedPageBreak/>
        <w:t xml:space="preserve">mình. Việc đánh giá E-HSDT và xét duyệt trúng thầu sẽ được thực hiện trên cơ sở bảo đảm </w:t>
      </w:r>
      <w:r w:rsidRPr="00CD50CF">
        <w:rPr>
          <w:rFonts w:ascii="Times New Roman" w:eastAsia="Calibri" w:hAnsi="Times New Roman" w:cs="Times New Roman"/>
          <w:bCs/>
          <w:iCs/>
          <w:sz w:val="28"/>
          <w:szCs w:val="28"/>
          <w:lang w:val="es-ES"/>
        </w:rPr>
        <w:t>tổng giá đề nghị trúng thầu của gói thầu là thấp nhất (đối với gói thầu áp dụng phương pháp giá thấp nhất)</w:t>
      </w:r>
      <w:r w:rsidRPr="00CD50CF">
        <w:rPr>
          <w:rFonts w:ascii="Times New Roman" w:eastAsia="Calibri" w:hAnsi="Times New Roman" w:cs="Times New Roman"/>
          <w:sz w:val="28"/>
          <w:szCs w:val="28"/>
          <w:lang w:val="en-U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CD50CF" w:rsidRPr="00CD50CF" w:rsidRDefault="00CD50CF">
      <w:pPr>
        <w:sectPr w:rsidR="00CD50CF" w:rsidRPr="00CD50CF" w:rsidSect="00CD50CF">
          <w:pgSz w:w="15840" w:h="12240" w:orient="landscape"/>
          <w:pgMar w:top="1440" w:right="1440" w:bottom="1440" w:left="1440" w:header="720" w:footer="720" w:gutter="0"/>
          <w:cols w:space="720"/>
          <w:docGrid w:linePitch="360"/>
        </w:sectPr>
      </w:pPr>
    </w:p>
    <w:p w:rsidR="001047DE" w:rsidRPr="00CD50CF" w:rsidRDefault="001047DE"/>
    <w:sectPr w:rsidR="001047DE" w:rsidRPr="00CD50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FB" w:rsidRDefault="009119FB" w:rsidP="00CD50CF">
      <w:pPr>
        <w:spacing w:after="0" w:line="240" w:lineRule="auto"/>
      </w:pPr>
      <w:r>
        <w:separator/>
      </w:r>
    </w:p>
  </w:endnote>
  <w:endnote w:type="continuationSeparator" w:id="0">
    <w:p w:rsidR="009119FB" w:rsidRDefault="009119FB" w:rsidP="00CD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FB" w:rsidRDefault="009119FB" w:rsidP="00CD50CF">
      <w:pPr>
        <w:spacing w:after="0" w:line="240" w:lineRule="auto"/>
      </w:pPr>
      <w:r>
        <w:separator/>
      </w:r>
    </w:p>
  </w:footnote>
  <w:footnote w:type="continuationSeparator" w:id="0">
    <w:p w:rsidR="009119FB" w:rsidRDefault="009119FB" w:rsidP="00CD50CF">
      <w:pPr>
        <w:spacing w:after="0" w:line="240" w:lineRule="auto"/>
      </w:pPr>
      <w:r>
        <w:continuationSeparator/>
      </w:r>
    </w:p>
  </w:footnote>
  <w:footnote w:id="1">
    <w:p w:rsidR="00CD50CF" w:rsidRPr="00D90B91" w:rsidRDefault="00CD50CF" w:rsidP="00CD50CF">
      <w:pPr>
        <w:rPr>
          <w:bCs/>
          <w:color w:val="000000" w:themeColor="text1"/>
          <w:sz w:val="20"/>
          <w:lang w:val="es-ES"/>
        </w:rPr>
      </w:pPr>
      <w:r w:rsidRPr="00D90B91">
        <w:rPr>
          <w:rStyle w:val="FootnoteReference"/>
          <w:sz w:val="20"/>
        </w:rPr>
        <w:footnoteRef/>
      </w:r>
      <w:r w:rsidRPr="00D90B91">
        <w:rPr>
          <w:sz w:val="20"/>
        </w:rPr>
        <w:t xml:space="preserve"> </w:t>
      </w:r>
      <w:r w:rsidRPr="00D90B91">
        <w:rPr>
          <w:bCs/>
          <w:color w:val="000000" w:themeColor="text1"/>
          <w:sz w:val="20"/>
          <w:lang w:val="es-ES"/>
        </w:rPr>
        <w:t>- Đối với trang thiết bị y tế loại A, B: Số công bố tiêu chuẩn áp dụng trang thiết bị y tế thuộc loại A, B</w:t>
      </w:r>
      <w:r>
        <w:rPr>
          <w:bCs/>
          <w:color w:val="000000" w:themeColor="text1"/>
          <w:sz w:val="20"/>
          <w:lang w:val="es-ES"/>
        </w:rPr>
        <w:t xml:space="preserve"> hoặc Giấy phép nhập khẩu</w:t>
      </w:r>
    </w:p>
    <w:p w:rsidR="00CD50CF" w:rsidRPr="00D90B91" w:rsidRDefault="00CD50CF" w:rsidP="00CD50CF">
      <w:pPr>
        <w:rPr>
          <w:bCs/>
          <w:color w:val="000000" w:themeColor="text1"/>
          <w:sz w:val="20"/>
          <w:lang w:val="es-ES"/>
        </w:rPr>
      </w:pPr>
      <w:r w:rsidRPr="00D90B91">
        <w:rPr>
          <w:bCs/>
          <w:color w:val="000000" w:themeColor="text1"/>
          <w:sz w:val="20"/>
          <w:lang w:val="es-ES"/>
        </w:rPr>
        <w:t>- Đối với trang thiết bị y tế, vật tư loại C, D:</w:t>
      </w:r>
    </w:p>
    <w:p w:rsidR="00CD50CF" w:rsidRPr="00D90B91" w:rsidRDefault="00CD50CF" w:rsidP="00CD50CF">
      <w:pPr>
        <w:ind w:left="270"/>
        <w:rPr>
          <w:bCs/>
          <w:i/>
          <w:color w:val="000000" w:themeColor="text1"/>
          <w:sz w:val="20"/>
          <w:lang w:val="es-ES"/>
        </w:rPr>
      </w:pPr>
      <w:r w:rsidRPr="00D90B91">
        <w:rPr>
          <w:bCs/>
          <w:color w:val="000000" w:themeColor="text1"/>
          <w:sz w:val="20"/>
          <w:lang w:val="es-ES"/>
        </w:rPr>
        <w:t xml:space="preserve">+ Nếu là hàng hóa nhập khẩu phải có số đăng ký lưu hành hoặc giấy phép nhập khẩu của Bộ Y tế đối với hàng hóa được quy định tại Thông tư số 05/2022/TT-BYT ngày 01/8/2022 </w:t>
      </w:r>
      <w:r w:rsidRPr="00D90B91">
        <w:rPr>
          <w:bCs/>
          <w:i/>
          <w:color w:val="000000" w:themeColor="text1"/>
          <w:sz w:val="20"/>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CD50CF" w:rsidRPr="00D90B91" w:rsidRDefault="00CD50CF" w:rsidP="00CD50CF">
      <w:pPr>
        <w:ind w:left="270"/>
      </w:pPr>
      <w:r w:rsidRPr="00D90B91">
        <w:rPr>
          <w:bCs/>
          <w:color w:val="000000" w:themeColor="text1"/>
          <w:sz w:val="20"/>
          <w:lang w:val="es-ES"/>
        </w:rPr>
        <w:t xml:space="preserve">+ Đối với trang thiết bị y tế sản xuất trong nước: Nhà thầu phải cung cấp giấy phép lưu hành của sản phẩm do Bộ Y tế cấp còn hiệu lực </w:t>
      </w:r>
      <w:r w:rsidRPr="00D90B91">
        <w:rPr>
          <w:bCs/>
          <w:i/>
          <w:color w:val="000000" w:themeColor="text1"/>
          <w:sz w:val="20"/>
          <w:lang w:val="es-ES"/>
        </w:rPr>
        <w:t>(trừ trường hợp nhà thầu có tài liệu chứng minh mặt hàng dự thầu nằm ngoài quy định phải có giấy chứng nhận lưu hành).</w:t>
      </w:r>
    </w:p>
  </w:footnote>
  <w:footnote w:id="2">
    <w:p w:rsidR="00CD50CF" w:rsidRPr="000C7CD5" w:rsidRDefault="00CD50CF" w:rsidP="00CD50CF">
      <w:pPr>
        <w:pStyle w:val="FootnoteText"/>
        <w:rPr>
          <w:i/>
          <w:sz w:val="24"/>
        </w:rPr>
      </w:pPr>
      <w:r w:rsidRPr="000C7CD5">
        <w:rPr>
          <w:rStyle w:val="FootnoteReference"/>
          <w:i/>
        </w:rPr>
        <w:footnoteRef/>
      </w:r>
      <w:r w:rsidRPr="000C7CD5">
        <w:rPr>
          <w:i/>
          <w:sz w:val="24"/>
        </w:rPr>
        <w:t xml:space="preserve">Trường hợp nhà thầu chào các trang thiết bị y tế thuộc loại A </w:t>
      </w:r>
      <w:r>
        <w:rPr>
          <w:i/>
          <w:sz w:val="24"/>
        </w:rPr>
        <w:t xml:space="preserve">hoặc các </w:t>
      </w:r>
      <w:r w:rsidRPr="0020339D">
        <w:rPr>
          <w:i/>
          <w:sz w:val="24"/>
        </w:rPr>
        <w:t>trang thiết bị y tế thuộc loại B, C, D được mua, bán như các hàng hóa thông thường theo quy định tại khoản 1 Điều 42 Nghị định số 98/2021/NĐ-CP</w:t>
      </w:r>
      <w:r>
        <w:rPr>
          <w:i/>
          <w:sz w:val="24"/>
        </w:rPr>
        <w:t xml:space="preserve"> </w:t>
      </w:r>
      <w:r w:rsidRPr="000C7CD5">
        <w:rPr>
          <w:i/>
          <w:sz w:val="24"/>
        </w:rPr>
        <w:t>thì không áp dụng tiêu chí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CF"/>
    <w:rsid w:val="001047DE"/>
    <w:rsid w:val="009119FB"/>
    <w:rsid w:val="00CD50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B1E4B-C7B1-4A73-9124-649A7448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50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0CF"/>
    <w:rPr>
      <w:sz w:val="20"/>
      <w:szCs w:val="20"/>
    </w:rPr>
  </w:style>
  <w:style w:type="character" w:styleId="FootnoteReference">
    <w:name w:val="footnote reference"/>
    <w:aliases w:val="callout"/>
    <w:qFormat/>
    <w:rsid w:val="00CD50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web/guest/van-ban-cong-bo" TargetMode="External"/><Relationship Id="rId3" Type="http://schemas.openxmlformats.org/officeDocument/2006/relationships/settings" Target="settings.xml"/><Relationship Id="rId7" Type="http://schemas.openxmlformats.org/officeDocument/2006/relationships/hyperlink" Target="https://imda.moh.gov.vn/web/guest/van-ban-cong-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2026-01-05T08:14:00Z</dcterms:created>
  <dcterms:modified xsi:type="dcterms:W3CDTF">2026-01-05T08:16:00Z</dcterms:modified>
</cp:coreProperties>
</file>