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84" w:rsidRPr="00317B84" w:rsidRDefault="00317B84" w:rsidP="00317B84">
      <w:pPr>
        <w:jc w:val="center"/>
        <w:outlineLvl w:val="0"/>
        <w:rPr>
          <w:b/>
          <w:sz w:val="28"/>
          <w:szCs w:val="28"/>
          <w:lang w:val="nl-NL"/>
        </w:rPr>
      </w:pPr>
      <w:r w:rsidRPr="00317B84">
        <w:rPr>
          <w:b/>
          <w:sz w:val="28"/>
          <w:szCs w:val="28"/>
          <w:lang w:val="nl-NL"/>
        </w:rPr>
        <w:t>Phần 2. YÊU CẦU VỀ KỸ THUẬT</w:t>
      </w:r>
    </w:p>
    <w:p w:rsidR="00317B84" w:rsidRPr="00317B84" w:rsidRDefault="00317B84" w:rsidP="00317B84">
      <w:pPr>
        <w:widowControl w:val="0"/>
        <w:spacing w:before="120" w:after="120" w:line="264" w:lineRule="auto"/>
        <w:jc w:val="center"/>
        <w:outlineLvl w:val="1"/>
        <w:rPr>
          <w:sz w:val="28"/>
          <w:szCs w:val="28"/>
          <w:lang w:val="nl-NL"/>
        </w:rPr>
      </w:pPr>
      <w:r w:rsidRPr="00317B84">
        <w:rPr>
          <w:b/>
          <w:sz w:val="28"/>
          <w:szCs w:val="28"/>
          <w:lang w:val="nl-NL"/>
        </w:rPr>
        <w:t>Chương V. YÊU CẦU VỀ KỸ THUẬT</w:t>
      </w:r>
    </w:p>
    <w:p w:rsidR="00317B84" w:rsidRPr="00317B84" w:rsidRDefault="00317B84" w:rsidP="00317B84">
      <w:pPr>
        <w:widowControl w:val="0"/>
        <w:spacing w:before="120"/>
        <w:ind w:firstLine="567"/>
        <w:rPr>
          <w:b/>
          <w:sz w:val="28"/>
          <w:szCs w:val="28"/>
          <w:lang w:val="nl-NL"/>
        </w:rPr>
      </w:pPr>
      <w:r w:rsidRPr="00317B84">
        <w:rPr>
          <w:b/>
          <w:sz w:val="28"/>
          <w:szCs w:val="28"/>
          <w:lang w:val="nl-NL"/>
        </w:rPr>
        <w:t>Mục 1. Yêu cầu về kỹ thuật</w:t>
      </w:r>
    </w:p>
    <w:p w:rsidR="00317B84" w:rsidRPr="00317B84" w:rsidRDefault="00317B84" w:rsidP="00317B84">
      <w:pPr>
        <w:widowControl w:val="0"/>
        <w:spacing w:before="120" w:after="120" w:line="264" w:lineRule="auto"/>
        <w:ind w:firstLine="567"/>
        <w:rPr>
          <w:b/>
          <w:sz w:val="28"/>
          <w:szCs w:val="28"/>
          <w:lang w:val="nl-NL"/>
        </w:rPr>
      </w:pPr>
      <w:r w:rsidRPr="00317B84">
        <w:rPr>
          <w:b/>
          <w:sz w:val="28"/>
          <w:szCs w:val="28"/>
          <w:lang w:val="nl-NL"/>
        </w:rPr>
        <w:t>1. Giới thiệu chung về dự án/</w:t>
      </w:r>
      <w:r w:rsidRPr="00317B84">
        <w:rPr>
          <w:b/>
          <w:sz w:val="28"/>
          <w:szCs w:val="28"/>
        </w:rPr>
        <w:t>dự toán mua sắm</w:t>
      </w:r>
      <w:r w:rsidRPr="00317B84">
        <w:rPr>
          <w:b/>
          <w:sz w:val="28"/>
          <w:szCs w:val="28"/>
          <w:lang w:val="nl-NL"/>
        </w:rPr>
        <w:t>, gói thầu</w:t>
      </w:r>
    </w:p>
    <w:p w:rsidR="00317B84" w:rsidRPr="00317B84" w:rsidRDefault="00317B84" w:rsidP="00317B84">
      <w:pPr>
        <w:widowControl w:val="0"/>
        <w:spacing w:before="120" w:after="120" w:line="264" w:lineRule="auto"/>
        <w:ind w:firstLine="567"/>
        <w:rPr>
          <w:b/>
          <w:i/>
          <w:sz w:val="28"/>
          <w:szCs w:val="28"/>
          <w:lang w:val="nl-NL"/>
        </w:rPr>
      </w:pPr>
      <w:r w:rsidRPr="00317B84">
        <w:rPr>
          <w:b/>
          <w:i/>
          <w:sz w:val="28"/>
          <w:szCs w:val="28"/>
          <w:lang w:val="nl-NL"/>
        </w:rPr>
        <w:t>1.1. Tóm tắt về dự án/</w:t>
      </w:r>
      <w:r w:rsidRPr="00317B84">
        <w:rPr>
          <w:b/>
          <w:i/>
          <w:sz w:val="28"/>
          <w:szCs w:val="28"/>
        </w:rPr>
        <w:t>dự toán mua sắm</w:t>
      </w:r>
      <w:r w:rsidRPr="00317B84">
        <w:rPr>
          <w:b/>
          <w:i/>
          <w:sz w:val="28"/>
          <w:szCs w:val="28"/>
          <w:lang w:val="nl-NL"/>
        </w:rPr>
        <w:t>:</w:t>
      </w:r>
    </w:p>
    <w:p w:rsidR="00317B84" w:rsidRPr="00317B84" w:rsidRDefault="00317B84" w:rsidP="00317B84">
      <w:pPr>
        <w:widowControl w:val="0"/>
        <w:spacing w:before="120"/>
        <w:ind w:firstLine="567"/>
        <w:rPr>
          <w:sz w:val="28"/>
          <w:szCs w:val="28"/>
          <w:lang w:val="nl-NL"/>
        </w:rPr>
      </w:pPr>
      <w:r w:rsidRPr="00317B84">
        <w:rPr>
          <w:sz w:val="28"/>
          <w:szCs w:val="28"/>
          <w:lang w:val="nl-NL"/>
        </w:rPr>
        <w:t>- Tên dự toán: Mua sắm vật tư, trang thiết bị hộ đê, tuyến đê biển Đông.</w:t>
      </w:r>
    </w:p>
    <w:p w:rsidR="00317B84" w:rsidRPr="00317B84" w:rsidRDefault="00317B84" w:rsidP="00317B84">
      <w:pPr>
        <w:widowControl w:val="0"/>
        <w:spacing w:before="120"/>
        <w:ind w:firstLine="567"/>
        <w:rPr>
          <w:sz w:val="28"/>
          <w:szCs w:val="28"/>
          <w:lang w:val="nl-NL"/>
        </w:rPr>
      </w:pPr>
      <w:r w:rsidRPr="00317B84">
        <w:rPr>
          <w:sz w:val="28"/>
          <w:szCs w:val="28"/>
          <w:lang w:val="nl-NL"/>
        </w:rPr>
        <w:t xml:space="preserve">- Chủ đầu tư: </w:t>
      </w:r>
      <w:r w:rsidRPr="00317B84">
        <w:rPr>
          <w:bCs/>
          <w:sz w:val="28"/>
          <w:szCs w:val="28"/>
          <w:lang w:val="nl-NL"/>
        </w:rPr>
        <w:t>Sở Nông nghiệp và Môi trường tỉnh Cà Mau.</w:t>
      </w:r>
    </w:p>
    <w:p w:rsidR="00317B84" w:rsidRPr="00317B84" w:rsidRDefault="00317B84" w:rsidP="00317B84">
      <w:pPr>
        <w:widowControl w:val="0"/>
        <w:spacing w:before="120"/>
        <w:ind w:firstLine="567"/>
        <w:rPr>
          <w:sz w:val="28"/>
          <w:szCs w:val="28"/>
          <w:lang w:val="nl-NL"/>
        </w:rPr>
      </w:pPr>
      <w:r w:rsidRPr="00317B84">
        <w:rPr>
          <w:sz w:val="28"/>
          <w:szCs w:val="28"/>
          <w:lang w:val="nl-NL"/>
        </w:rPr>
        <w:t xml:space="preserve">- Hình thức đầu tư: </w:t>
      </w:r>
      <w:r w:rsidRPr="00317B84">
        <w:rPr>
          <w:bCs/>
          <w:sz w:val="28"/>
          <w:szCs w:val="28"/>
          <w:lang w:val="nl-NL"/>
        </w:rPr>
        <w:t>Mua sắm mới.</w:t>
      </w:r>
    </w:p>
    <w:p w:rsidR="00317B84" w:rsidRPr="00317B84" w:rsidRDefault="00317B84" w:rsidP="00317B84">
      <w:pPr>
        <w:widowControl w:val="0"/>
        <w:spacing w:before="120"/>
        <w:ind w:firstLine="567"/>
        <w:rPr>
          <w:sz w:val="28"/>
          <w:szCs w:val="28"/>
          <w:lang w:val="nl-NL"/>
        </w:rPr>
      </w:pPr>
      <w:r w:rsidRPr="00317B84">
        <w:rPr>
          <w:sz w:val="28"/>
          <w:szCs w:val="28"/>
          <w:lang w:val="nl-NL"/>
        </w:rPr>
        <w:t>- Thời gian thực hiện: Năm 2025.</w:t>
      </w:r>
    </w:p>
    <w:p w:rsidR="00317B84" w:rsidRPr="00317B84" w:rsidRDefault="00317B84" w:rsidP="00317B84">
      <w:pPr>
        <w:widowControl w:val="0"/>
        <w:spacing w:before="120"/>
        <w:ind w:firstLine="567"/>
        <w:rPr>
          <w:bCs/>
          <w:sz w:val="28"/>
          <w:szCs w:val="28"/>
          <w:lang w:val="nl-NL"/>
        </w:rPr>
      </w:pPr>
      <w:r w:rsidRPr="00317B84">
        <w:rPr>
          <w:sz w:val="28"/>
          <w:szCs w:val="28"/>
          <w:lang w:val="nl-NL"/>
        </w:rPr>
        <w:t xml:space="preserve">- Địa điểm thực hiện: </w:t>
      </w:r>
      <w:r w:rsidRPr="00317B84">
        <w:rPr>
          <w:bCs/>
          <w:sz w:val="28"/>
          <w:szCs w:val="28"/>
          <w:lang w:val="nl-NL"/>
        </w:rPr>
        <w:t>Trên địa bàn tỉnh Cà Mau.</w:t>
      </w:r>
    </w:p>
    <w:p w:rsidR="00317B84" w:rsidRPr="00317B84" w:rsidRDefault="00317B84" w:rsidP="00317B84">
      <w:pPr>
        <w:widowControl w:val="0"/>
        <w:spacing w:before="120"/>
        <w:ind w:firstLine="567"/>
        <w:rPr>
          <w:bCs/>
          <w:sz w:val="28"/>
          <w:szCs w:val="28"/>
          <w:lang w:val="nl-NL"/>
        </w:rPr>
      </w:pPr>
      <w:r w:rsidRPr="00317B84">
        <w:rPr>
          <w:sz w:val="28"/>
          <w:szCs w:val="28"/>
          <w:lang w:val="nl-NL"/>
        </w:rPr>
        <w:t>- Nguồn vốn: Quỹ Phòng chống thiên tai tỉnh Cà Mau.</w:t>
      </w:r>
    </w:p>
    <w:p w:rsidR="00317B84" w:rsidRPr="00317B84" w:rsidRDefault="00317B84" w:rsidP="00317B84">
      <w:pPr>
        <w:widowControl w:val="0"/>
        <w:spacing w:before="120" w:after="120" w:line="264" w:lineRule="auto"/>
        <w:ind w:firstLine="567"/>
        <w:rPr>
          <w:b/>
          <w:i/>
          <w:sz w:val="28"/>
          <w:szCs w:val="28"/>
          <w:lang w:val="nl-NL"/>
        </w:rPr>
      </w:pPr>
      <w:r w:rsidRPr="00317B84">
        <w:rPr>
          <w:b/>
          <w:i/>
          <w:sz w:val="28"/>
          <w:szCs w:val="28"/>
          <w:lang w:val="nl-NL"/>
        </w:rPr>
        <w:t>1.2. Các quyết định đầu tư:</w:t>
      </w:r>
    </w:p>
    <w:p w:rsidR="00317B84" w:rsidRPr="00317B84" w:rsidRDefault="00317B84" w:rsidP="00317B84">
      <w:pPr>
        <w:widowControl w:val="0"/>
        <w:spacing w:before="120" w:after="120" w:line="264" w:lineRule="auto"/>
        <w:ind w:firstLine="567"/>
        <w:rPr>
          <w:sz w:val="28"/>
          <w:szCs w:val="28"/>
        </w:rPr>
      </w:pPr>
      <w:r w:rsidRPr="00317B84">
        <w:rPr>
          <w:sz w:val="28"/>
          <w:szCs w:val="28"/>
        </w:rPr>
        <w:t>Căn cứ Công văn số 07544/UBND-NNXD ngày 13/11/2025 của Chủ tịch Ủy ban nhân dân tỉnh Cà Mau về việc mua sắm vật tư, trang thiết bị hộ đê tuyến đê biển Đông;</w:t>
      </w:r>
    </w:p>
    <w:p w:rsidR="00317B84" w:rsidRPr="00317B84" w:rsidRDefault="00317B84" w:rsidP="00317B84">
      <w:pPr>
        <w:widowControl w:val="0"/>
        <w:spacing w:before="120" w:after="120" w:line="264" w:lineRule="auto"/>
        <w:ind w:firstLine="567"/>
        <w:rPr>
          <w:sz w:val="28"/>
          <w:szCs w:val="28"/>
          <w:lang w:val="nl-NL"/>
        </w:rPr>
      </w:pPr>
      <w:r w:rsidRPr="00317B84">
        <w:rPr>
          <w:sz w:val="28"/>
          <w:szCs w:val="28"/>
          <w:lang w:val="nl-NL"/>
        </w:rPr>
        <w:t>Căn cứ Quyết định số 1826/QĐ-SNNMT ngày 18/12/2025 của Giám đốc Sở Nông nghiệp và Môi trường tỉnh Cà Mau về việc Phê duyệt dự toán chi phí (giai đoạn chuẩn bị đầu tư): Mua sắm vật tư, trang thiết bị hộ đê, tuyến đê biển Đông;</w:t>
      </w:r>
    </w:p>
    <w:p w:rsidR="00317B84" w:rsidRPr="00317B84" w:rsidRDefault="00317B84" w:rsidP="00317B84">
      <w:pPr>
        <w:widowControl w:val="0"/>
        <w:spacing w:before="120" w:after="120" w:line="264" w:lineRule="auto"/>
        <w:ind w:firstLine="567"/>
        <w:rPr>
          <w:sz w:val="28"/>
          <w:szCs w:val="28"/>
          <w:lang w:val="nl-NL"/>
        </w:rPr>
      </w:pPr>
      <w:r w:rsidRPr="00317B84">
        <w:rPr>
          <w:sz w:val="28"/>
          <w:szCs w:val="28"/>
          <w:lang w:val="nl-NL"/>
        </w:rPr>
        <w:t>Căn cứ Quyết định số 1825/QĐ-SNNMT ngày 18/12/2025 của Giám đốc Sở Nông nghiệp và Môi trường tỉnh Cà Mau về việc phê duyệt Kế hoạch lựa chọn nhà thầu: Mua sắm vật tư, trang thiết bị hộ đê, tuyến đê biển Đông</w:t>
      </w:r>
    </w:p>
    <w:p w:rsidR="00317B84" w:rsidRPr="00317B84" w:rsidRDefault="00317B84" w:rsidP="00317B84">
      <w:pPr>
        <w:widowControl w:val="0"/>
        <w:spacing w:before="120" w:after="120" w:line="264" w:lineRule="auto"/>
        <w:ind w:firstLine="567"/>
        <w:rPr>
          <w:b/>
          <w:i/>
          <w:sz w:val="28"/>
          <w:szCs w:val="28"/>
        </w:rPr>
      </w:pPr>
      <w:r w:rsidRPr="00317B84">
        <w:rPr>
          <w:b/>
          <w:i/>
          <w:sz w:val="28"/>
          <w:szCs w:val="28"/>
        </w:rPr>
        <w:t xml:space="preserve">1.3. Tóm tắt về gói thầu: </w:t>
      </w:r>
    </w:p>
    <w:p w:rsidR="00317B84" w:rsidRPr="00317B84" w:rsidRDefault="00317B84" w:rsidP="00317B84">
      <w:pPr>
        <w:widowControl w:val="0"/>
        <w:spacing w:before="120"/>
        <w:ind w:firstLine="567"/>
        <w:rPr>
          <w:sz w:val="28"/>
          <w:szCs w:val="28"/>
          <w:lang w:val="nl-NL"/>
        </w:rPr>
      </w:pPr>
      <w:r w:rsidRPr="00317B84">
        <w:rPr>
          <w:sz w:val="28"/>
          <w:szCs w:val="28"/>
          <w:lang w:val="nl-NL"/>
        </w:rPr>
        <w:t>- Tên gói thầu: Gói thầu số 04: Mua sắm vật tư.</w:t>
      </w:r>
    </w:p>
    <w:p w:rsidR="00317B84" w:rsidRPr="00317B84" w:rsidRDefault="00317B84" w:rsidP="00317B84">
      <w:pPr>
        <w:widowControl w:val="0"/>
        <w:spacing w:before="120"/>
        <w:ind w:firstLine="567"/>
        <w:rPr>
          <w:bCs/>
          <w:sz w:val="28"/>
          <w:szCs w:val="28"/>
          <w:lang w:val="nl-NL"/>
        </w:rPr>
      </w:pPr>
      <w:r w:rsidRPr="00317B84">
        <w:rPr>
          <w:sz w:val="28"/>
          <w:szCs w:val="28"/>
          <w:lang w:val="nl-NL"/>
        </w:rPr>
        <w:t xml:space="preserve">- Địa điểm giao hàng: </w:t>
      </w:r>
      <w:r w:rsidRPr="00317B84">
        <w:rPr>
          <w:bCs/>
          <w:sz w:val="28"/>
          <w:szCs w:val="28"/>
          <w:lang w:val="nl-NL"/>
        </w:rPr>
        <w:t>Nhà quản lý đê kè biển Đông, xã Vĩnh Hậu, tỉnh Cà Mau.</w:t>
      </w:r>
    </w:p>
    <w:p w:rsidR="00317B84" w:rsidRPr="00317B84" w:rsidRDefault="00317B84" w:rsidP="00317B84">
      <w:pPr>
        <w:widowControl w:val="0"/>
        <w:spacing w:before="120"/>
        <w:ind w:firstLine="567"/>
        <w:rPr>
          <w:bCs/>
          <w:sz w:val="28"/>
          <w:szCs w:val="28"/>
          <w:lang w:val="nl-NL"/>
        </w:rPr>
      </w:pPr>
      <w:r w:rsidRPr="00317B84">
        <w:rPr>
          <w:bCs/>
          <w:sz w:val="28"/>
          <w:szCs w:val="28"/>
          <w:lang w:val="nl-NL"/>
        </w:rPr>
        <w:t>- Giá gói thầu theo dự toán được duyệt: 715.900.000 đồng (Mức giá trên đã bao gồm thuế GTGT và chi phí vận chuyển đối với vật tư, trang thiết bị).</w:t>
      </w:r>
    </w:p>
    <w:p w:rsidR="00317B84" w:rsidRPr="00317B84" w:rsidRDefault="00317B84" w:rsidP="00317B84">
      <w:pPr>
        <w:suppressAutoHyphens/>
        <w:spacing w:before="60" w:after="60" w:line="276" w:lineRule="auto"/>
        <w:ind w:firstLine="567"/>
        <w:rPr>
          <w:sz w:val="28"/>
          <w:szCs w:val="28"/>
        </w:rPr>
      </w:pPr>
      <w:r w:rsidRPr="00317B84">
        <w:rPr>
          <w:sz w:val="28"/>
          <w:szCs w:val="28"/>
        </w:rPr>
        <w:t>- Hình thức; phương thức lựa chọn nhà thầu: Chào hàng cạnh tranh trong nước theo quy trình thông thường, qua mạng; một giai đoạn, một túi hồ sơ.</w:t>
      </w:r>
    </w:p>
    <w:p w:rsidR="00317B84" w:rsidRPr="00317B84" w:rsidRDefault="00317B84" w:rsidP="00317B84">
      <w:pPr>
        <w:suppressAutoHyphens/>
        <w:spacing w:before="60" w:after="60" w:line="276" w:lineRule="auto"/>
        <w:ind w:firstLine="567"/>
        <w:rPr>
          <w:sz w:val="28"/>
          <w:szCs w:val="28"/>
        </w:rPr>
      </w:pPr>
      <w:r w:rsidRPr="00317B84">
        <w:rPr>
          <w:sz w:val="28"/>
          <w:szCs w:val="28"/>
        </w:rPr>
        <w:t>- Thời gian bắt đầu tổ chức lựa chọn nhà thầu: Quý I, năm 2026.</w:t>
      </w:r>
    </w:p>
    <w:p w:rsidR="00317B84" w:rsidRPr="00317B84" w:rsidRDefault="00317B84" w:rsidP="00317B84">
      <w:pPr>
        <w:suppressAutoHyphens/>
        <w:spacing w:before="60" w:after="60" w:line="276" w:lineRule="auto"/>
        <w:ind w:firstLine="567"/>
        <w:rPr>
          <w:sz w:val="28"/>
          <w:szCs w:val="28"/>
        </w:rPr>
      </w:pPr>
      <w:r w:rsidRPr="00317B84">
        <w:rPr>
          <w:sz w:val="28"/>
          <w:szCs w:val="28"/>
        </w:rPr>
        <w:t>- Loại hợp đồng: Hợp đồng trọn gói.</w:t>
      </w:r>
    </w:p>
    <w:p w:rsidR="00317B84" w:rsidRPr="00317B84" w:rsidRDefault="00317B84" w:rsidP="00317B84">
      <w:pPr>
        <w:suppressAutoHyphens/>
        <w:spacing w:before="60" w:after="60" w:line="276" w:lineRule="auto"/>
        <w:ind w:firstLine="567"/>
        <w:rPr>
          <w:sz w:val="28"/>
          <w:szCs w:val="28"/>
        </w:rPr>
      </w:pPr>
      <w:r w:rsidRPr="00317B84">
        <w:rPr>
          <w:sz w:val="28"/>
          <w:szCs w:val="28"/>
        </w:rPr>
        <w:t>- Thời gian thực hiện hợp đồng: 20 ngày.</w:t>
      </w:r>
    </w:p>
    <w:p w:rsidR="00317B84" w:rsidRPr="00317B84" w:rsidRDefault="00317B84" w:rsidP="00317B84">
      <w:pPr>
        <w:suppressAutoHyphens/>
        <w:spacing w:before="60" w:after="60" w:line="276" w:lineRule="auto"/>
        <w:ind w:firstLine="567"/>
        <w:rPr>
          <w:b/>
          <w:i/>
          <w:sz w:val="28"/>
          <w:szCs w:val="28"/>
          <w:lang w:val="nl-NL"/>
        </w:rPr>
      </w:pPr>
      <w:r w:rsidRPr="00317B84">
        <w:rPr>
          <w:sz w:val="28"/>
          <w:szCs w:val="28"/>
        </w:rPr>
        <w:t>- Nguồn vốn: Quỹ Phòng chống thiên tai tỉnh Cà Mau.</w:t>
      </w:r>
    </w:p>
    <w:p w:rsidR="00317B84" w:rsidRPr="00317B84" w:rsidRDefault="00317B84" w:rsidP="00317B84">
      <w:pPr>
        <w:widowControl w:val="0"/>
        <w:spacing w:before="120"/>
        <w:ind w:firstLine="567"/>
        <w:rPr>
          <w:b/>
          <w:i/>
          <w:sz w:val="28"/>
          <w:szCs w:val="28"/>
          <w:lang w:val="nl-NL"/>
        </w:rPr>
      </w:pPr>
      <w:r w:rsidRPr="00317B84">
        <w:rPr>
          <w:b/>
          <w:i/>
          <w:sz w:val="28"/>
          <w:szCs w:val="28"/>
          <w:lang w:val="nl-NL"/>
        </w:rPr>
        <w:lastRenderedPageBreak/>
        <w:t>2. Yêu cầu về kỹ thuật</w:t>
      </w:r>
    </w:p>
    <w:p w:rsidR="00317B84" w:rsidRPr="00317B84" w:rsidRDefault="00317B84" w:rsidP="00317B84">
      <w:pPr>
        <w:widowControl w:val="0"/>
        <w:spacing w:before="120"/>
        <w:ind w:firstLine="567"/>
        <w:rPr>
          <w:b/>
          <w:i/>
          <w:spacing w:val="-2"/>
          <w:sz w:val="28"/>
          <w:szCs w:val="28"/>
          <w:lang w:val="nl-NL"/>
        </w:rPr>
      </w:pPr>
      <w:r w:rsidRPr="00317B84">
        <w:rPr>
          <w:b/>
          <w:i/>
          <w:spacing w:val="-2"/>
          <w:sz w:val="28"/>
          <w:szCs w:val="28"/>
          <w:lang w:val="nl-NL"/>
        </w:rPr>
        <w:t>a. Yêu cầu về kỹ thuật chung:</w:t>
      </w:r>
    </w:p>
    <w:p w:rsidR="00317B84" w:rsidRPr="00317B84" w:rsidRDefault="00317B84" w:rsidP="00317B84">
      <w:pPr>
        <w:spacing w:before="120"/>
        <w:ind w:firstLine="567"/>
        <w:rPr>
          <w:sz w:val="28"/>
          <w:szCs w:val="26"/>
          <w:lang w:val="nl-NL"/>
        </w:rPr>
      </w:pPr>
      <w:r w:rsidRPr="00317B84">
        <w:rPr>
          <w:sz w:val="28"/>
          <w:szCs w:val="26"/>
          <w:lang w:val="nl-NL"/>
        </w:rPr>
        <w:t>- Chất lượng đá hộc phải đảm mới 100%, chưa qua sử dụng.</w:t>
      </w:r>
    </w:p>
    <w:p w:rsidR="00317B84" w:rsidRPr="00317B84" w:rsidRDefault="00317B84" w:rsidP="00317B84">
      <w:pPr>
        <w:spacing w:before="120"/>
        <w:ind w:firstLine="567"/>
        <w:rPr>
          <w:sz w:val="28"/>
          <w:szCs w:val="26"/>
          <w:lang w:val="nl-NL"/>
        </w:rPr>
      </w:pPr>
      <w:r w:rsidRPr="00317B84">
        <w:rPr>
          <w:sz w:val="28"/>
          <w:szCs w:val="26"/>
          <w:lang w:val="nl-NL"/>
        </w:rPr>
        <w:t>- Hàng hóa cung cấp cho gói thầu phải có nguồn gốc rõ ràng theo quy định của pháp luật.</w:t>
      </w:r>
    </w:p>
    <w:p w:rsidR="00317B84" w:rsidRPr="00317B84" w:rsidRDefault="00317B84" w:rsidP="00317B84">
      <w:pPr>
        <w:spacing w:before="120"/>
        <w:ind w:firstLine="567"/>
        <w:rPr>
          <w:sz w:val="28"/>
          <w:szCs w:val="26"/>
          <w:lang w:val="nl-NL"/>
        </w:rPr>
      </w:pPr>
      <w:r w:rsidRPr="00317B84">
        <w:rPr>
          <w:sz w:val="28"/>
          <w:szCs w:val="26"/>
          <w:lang w:val="nl-NL"/>
        </w:rPr>
        <w:t>- Vận chuyển và xếp gọn gàng đá hộc đúng nơi quy định.</w:t>
      </w:r>
    </w:p>
    <w:p w:rsidR="00317B84" w:rsidRPr="00317B84" w:rsidRDefault="00317B84" w:rsidP="00317B84">
      <w:pPr>
        <w:widowControl w:val="0"/>
        <w:spacing w:before="120"/>
        <w:ind w:firstLine="567"/>
        <w:rPr>
          <w:b/>
          <w:i/>
          <w:spacing w:val="-2"/>
          <w:sz w:val="28"/>
          <w:szCs w:val="28"/>
          <w:lang w:val="nl-NL"/>
        </w:rPr>
      </w:pPr>
      <w:r w:rsidRPr="00317B84">
        <w:rPr>
          <w:b/>
          <w:i/>
          <w:spacing w:val="-2"/>
          <w:sz w:val="28"/>
          <w:szCs w:val="28"/>
          <w:lang w:val="nl-NL"/>
        </w:rPr>
        <w:t>b. Yêu cầu kỹ thuật cụ thể:</w:t>
      </w:r>
    </w:p>
    <w:p w:rsidR="00317B84" w:rsidRPr="00317B84" w:rsidRDefault="00317B84" w:rsidP="00317B84">
      <w:pPr>
        <w:widowControl w:val="0"/>
        <w:spacing w:before="120"/>
        <w:ind w:firstLine="567"/>
        <w:rPr>
          <w:kern w:val="2"/>
          <w:sz w:val="28"/>
          <w:szCs w:val="28"/>
          <w:lang w:val="vi-VN" w:eastAsia="zh-CN"/>
        </w:rPr>
      </w:pPr>
      <w:r w:rsidRPr="00317B84">
        <w:rPr>
          <w:kern w:val="2"/>
          <w:sz w:val="28"/>
          <w:szCs w:val="28"/>
          <w:lang w:val="vi-VN" w:eastAsia="zh-CN"/>
        </w:rPr>
        <w:t xml:space="preserve">Bất kỳ thương hiệu, nhãn hiệu nào (nếu có) trong bảng yêu cầu kỹ thuật đều mang tính chất minh họa các tiêu chuẩn chất lượng, tính năng kỹ thuật yêu cầu. Nhà thầu có thể chào hàng hóa dự thầu có nguồn gốc, xuất xứ, nhà sản xuất, thương hiệu khác nhưng phải đảm bảo yêu cầu có thông số kỹ thuật, tiêu chuẩn công nghệ tương đương hoặc tốt hơn so với các yêu cầu cụ thể ở bảng dưới đây. </w:t>
      </w:r>
    </w:p>
    <w:p w:rsidR="00317B84" w:rsidRPr="00317B84" w:rsidRDefault="00317B84" w:rsidP="00317B84">
      <w:pPr>
        <w:widowControl w:val="0"/>
        <w:spacing w:before="120"/>
        <w:ind w:firstLine="567"/>
        <w:rPr>
          <w:sz w:val="28"/>
          <w:szCs w:val="28"/>
          <w:lang w:val="vi-VN" w:eastAsia="zh-CN"/>
        </w:rPr>
      </w:pPr>
      <w:r w:rsidRPr="00317B84">
        <w:rPr>
          <w:sz w:val="28"/>
          <w:szCs w:val="28"/>
          <w:lang w:val="vi-VN" w:eastAsia="zh-CN"/>
        </w:rPr>
        <w:t>Yêu cầu về tương đương: “tương đương” có nghĩa là có đặc tính kỹ thuật tương tự, có tính năng sử dụng, tiêu chuẩn công nghệ tương đương với hàng hóa nêu dưới đây.</w:t>
      </w:r>
    </w:p>
    <w:p w:rsidR="00317B84" w:rsidRPr="00317B84" w:rsidRDefault="00317B84" w:rsidP="00317B84">
      <w:pPr>
        <w:widowControl w:val="0"/>
        <w:spacing w:before="120"/>
        <w:ind w:firstLine="567"/>
        <w:rPr>
          <w:kern w:val="2"/>
          <w:sz w:val="28"/>
          <w:szCs w:val="28"/>
          <w:lang w:val="vi-VN" w:eastAsia="zh-CN"/>
        </w:rPr>
      </w:pPr>
      <w:r w:rsidRPr="00317B84">
        <w:rPr>
          <w:kern w:val="2"/>
          <w:sz w:val="28"/>
          <w:szCs w:val="28"/>
          <w:lang w:val="vi-VN" w:eastAsia="zh-CN"/>
        </w:rPr>
        <w:t>Trường hợp nhà thầu chào hàng hóa có đặc tính, thông số kỹ thuật “tương đương bằng hoặc tốt hơn” so với các yêu cầu của E-HSMT thì nhà thầu phải kèm theo các tài liệu chứng minh, giải thích cho thấy hàng hóa do nhà thầu chào là tương đương bằng hoặc tốt hơn.</w:t>
      </w:r>
    </w:p>
    <w:p w:rsidR="00317B84" w:rsidRPr="00317B84" w:rsidRDefault="00317B84" w:rsidP="00317B84">
      <w:pPr>
        <w:widowControl w:val="0"/>
        <w:spacing w:before="120" w:after="120"/>
        <w:ind w:firstLine="567"/>
        <w:rPr>
          <w:iCs/>
          <w:spacing w:val="-2"/>
          <w:sz w:val="28"/>
          <w:szCs w:val="28"/>
          <w:lang w:val="nl-NL"/>
        </w:rPr>
      </w:pPr>
      <w:r w:rsidRPr="00317B84">
        <w:rPr>
          <w:iCs/>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000" w:type="pct"/>
        <w:jc w:val="center"/>
        <w:tblCellMar>
          <w:left w:w="28" w:type="dxa"/>
          <w:right w:w="28" w:type="dxa"/>
        </w:tblCellMar>
        <w:tblLook w:val="04A0" w:firstRow="1" w:lastRow="0" w:firstColumn="1" w:lastColumn="0" w:noHBand="0" w:noVBand="1"/>
      </w:tblPr>
      <w:tblGrid>
        <w:gridCol w:w="600"/>
        <w:gridCol w:w="1250"/>
        <w:gridCol w:w="5589"/>
        <w:gridCol w:w="759"/>
        <w:gridCol w:w="929"/>
      </w:tblGrid>
      <w:tr w:rsidR="00317B84" w:rsidRPr="00317B84" w:rsidTr="004014C2">
        <w:trPr>
          <w:trHeight w:val="690"/>
          <w:jc w:val="center"/>
        </w:trPr>
        <w:tc>
          <w:tcPr>
            <w:tcW w:w="157" w:type="pct"/>
            <w:tcBorders>
              <w:top w:val="single" w:sz="4" w:space="0" w:color="auto"/>
              <w:left w:val="single" w:sz="4" w:space="0" w:color="auto"/>
              <w:bottom w:val="single" w:sz="4" w:space="0" w:color="auto"/>
              <w:right w:val="single" w:sz="4" w:space="0" w:color="auto"/>
            </w:tcBorders>
            <w:shd w:val="clear" w:color="auto" w:fill="D9D9D9"/>
            <w:vAlign w:val="center"/>
          </w:tcPr>
          <w:p w:rsidR="00317B84" w:rsidRPr="00317B84" w:rsidRDefault="00317B84" w:rsidP="004014C2">
            <w:pPr>
              <w:spacing w:before="40" w:after="40"/>
              <w:ind w:left="113" w:right="113"/>
              <w:jc w:val="center"/>
              <w:rPr>
                <w:b/>
                <w:bCs/>
                <w:sz w:val="26"/>
                <w:szCs w:val="26"/>
                <w:lang w:val="vi-VN"/>
              </w:rPr>
            </w:pPr>
            <w:r w:rsidRPr="00317B84">
              <w:rPr>
                <w:b/>
                <w:bCs/>
                <w:sz w:val="26"/>
                <w:szCs w:val="26"/>
              </w:rPr>
              <w:t>S</w:t>
            </w:r>
            <w:r w:rsidRPr="00317B84">
              <w:rPr>
                <w:b/>
                <w:bCs/>
                <w:sz w:val="26"/>
                <w:szCs w:val="26"/>
                <w:lang w:val="vi-VN"/>
              </w:rPr>
              <w:t>tt</w:t>
            </w:r>
          </w:p>
        </w:tc>
        <w:tc>
          <w:tcPr>
            <w:tcW w:w="413" w:type="pct"/>
            <w:tcBorders>
              <w:top w:val="single" w:sz="4" w:space="0" w:color="auto"/>
              <w:left w:val="nil"/>
              <w:bottom w:val="single" w:sz="4" w:space="0" w:color="auto"/>
              <w:right w:val="single" w:sz="4" w:space="0" w:color="auto"/>
            </w:tcBorders>
            <w:shd w:val="clear" w:color="auto" w:fill="D9D9D9"/>
            <w:vAlign w:val="center"/>
          </w:tcPr>
          <w:p w:rsidR="00317B84" w:rsidRPr="00317B84" w:rsidRDefault="00317B84" w:rsidP="004014C2">
            <w:pPr>
              <w:spacing w:before="40" w:after="40"/>
              <w:ind w:left="113" w:right="113"/>
              <w:jc w:val="center"/>
              <w:rPr>
                <w:b/>
                <w:bCs/>
                <w:sz w:val="26"/>
                <w:szCs w:val="26"/>
              </w:rPr>
            </w:pPr>
            <w:r w:rsidRPr="00317B84">
              <w:rPr>
                <w:b/>
                <w:bCs/>
                <w:sz w:val="26"/>
                <w:szCs w:val="26"/>
              </w:rPr>
              <w:t>Tên tài sản</w:t>
            </w:r>
          </w:p>
        </w:tc>
        <w:tc>
          <w:tcPr>
            <w:tcW w:w="3926" w:type="pct"/>
            <w:tcBorders>
              <w:top w:val="single" w:sz="4" w:space="0" w:color="auto"/>
              <w:left w:val="nil"/>
              <w:bottom w:val="single" w:sz="4" w:space="0" w:color="auto"/>
              <w:right w:val="single" w:sz="4" w:space="0" w:color="auto"/>
            </w:tcBorders>
            <w:shd w:val="clear" w:color="auto" w:fill="D9D9D9"/>
            <w:vAlign w:val="center"/>
          </w:tcPr>
          <w:p w:rsidR="00317B84" w:rsidRPr="00317B84" w:rsidRDefault="00317B84" w:rsidP="004014C2">
            <w:pPr>
              <w:spacing w:before="40" w:after="40"/>
              <w:ind w:left="113" w:right="113"/>
              <w:jc w:val="center"/>
              <w:rPr>
                <w:b/>
                <w:bCs/>
                <w:sz w:val="26"/>
                <w:szCs w:val="26"/>
              </w:rPr>
            </w:pPr>
            <w:r w:rsidRPr="00317B84">
              <w:rPr>
                <w:b/>
                <w:bCs/>
                <w:sz w:val="26"/>
                <w:szCs w:val="26"/>
              </w:rPr>
              <w:t>Đặc điểm – Kỹ thuật</w:t>
            </w:r>
          </w:p>
        </w:tc>
        <w:tc>
          <w:tcPr>
            <w:tcW w:w="219" w:type="pct"/>
            <w:tcBorders>
              <w:top w:val="single" w:sz="4" w:space="0" w:color="auto"/>
              <w:left w:val="nil"/>
              <w:bottom w:val="single" w:sz="4" w:space="0" w:color="auto"/>
              <w:right w:val="single" w:sz="4" w:space="0" w:color="auto"/>
            </w:tcBorders>
            <w:shd w:val="clear" w:color="auto" w:fill="D9D9D9"/>
            <w:vAlign w:val="center"/>
          </w:tcPr>
          <w:p w:rsidR="00317B84" w:rsidRPr="00317B84" w:rsidRDefault="00317B84" w:rsidP="004014C2">
            <w:pPr>
              <w:spacing w:before="40" w:after="40"/>
              <w:ind w:left="113" w:right="113"/>
              <w:jc w:val="center"/>
              <w:rPr>
                <w:b/>
                <w:bCs/>
                <w:sz w:val="26"/>
                <w:szCs w:val="26"/>
              </w:rPr>
            </w:pPr>
            <w:r w:rsidRPr="00317B84">
              <w:rPr>
                <w:b/>
                <w:bCs/>
                <w:sz w:val="26"/>
                <w:szCs w:val="26"/>
              </w:rPr>
              <w:t>Đơn vị tính</w:t>
            </w:r>
          </w:p>
        </w:tc>
        <w:tc>
          <w:tcPr>
            <w:tcW w:w="286" w:type="pct"/>
            <w:tcBorders>
              <w:top w:val="single" w:sz="4" w:space="0" w:color="auto"/>
              <w:left w:val="nil"/>
              <w:bottom w:val="single" w:sz="4" w:space="0" w:color="auto"/>
              <w:right w:val="single" w:sz="4" w:space="0" w:color="auto"/>
            </w:tcBorders>
            <w:shd w:val="clear" w:color="auto" w:fill="D9D9D9"/>
            <w:vAlign w:val="center"/>
          </w:tcPr>
          <w:p w:rsidR="00317B84" w:rsidRPr="00317B84" w:rsidRDefault="00317B84" w:rsidP="004014C2">
            <w:pPr>
              <w:spacing w:before="40" w:after="40"/>
              <w:ind w:left="113" w:right="113"/>
              <w:jc w:val="center"/>
              <w:rPr>
                <w:b/>
                <w:bCs/>
                <w:sz w:val="26"/>
                <w:szCs w:val="26"/>
              </w:rPr>
            </w:pPr>
            <w:r w:rsidRPr="00317B84">
              <w:rPr>
                <w:b/>
                <w:bCs/>
                <w:sz w:val="26"/>
                <w:szCs w:val="26"/>
              </w:rPr>
              <w:t>Số lượng</w:t>
            </w:r>
          </w:p>
        </w:tc>
      </w:tr>
      <w:tr w:rsidR="00317B84" w:rsidRPr="00317B84" w:rsidTr="004014C2">
        <w:trPr>
          <w:trHeight w:val="353"/>
          <w:jc w:val="center"/>
        </w:trPr>
        <w:tc>
          <w:tcPr>
            <w:tcW w:w="157" w:type="pct"/>
            <w:tcBorders>
              <w:top w:val="single" w:sz="4" w:space="0" w:color="auto"/>
              <w:left w:val="single" w:sz="4" w:space="0" w:color="auto"/>
              <w:bottom w:val="single" w:sz="4" w:space="0" w:color="auto"/>
              <w:right w:val="single" w:sz="4" w:space="0" w:color="auto"/>
            </w:tcBorders>
            <w:vAlign w:val="center"/>
          </w:tcPr>
          <w:p w:rsidR="00317B84" w:rsidRPr="00317B84" w:rsidRDefault="00317B84" w:rsidP="004014C2">
            <w:pPr>
              <w:spacing w:before="40" w:after="40"/>
              <w:ind w:left="113" w:right="113"/>
              <w:jc w:val="center"/>
              <w:rPr>
                <w:sz w:val="26"/>
                <w:szCs w:val="26"/>
              </w:rPr>
            </w:pPr>
            <w:r w:rsidRPr="00317B84">
              <w:rPr>
                <w:sz w:val="26"/>
                <w:szCs w:val="26"/>
              </w:rPr>
              <w:t>1</w:t>
            </w:r>
          </w:p>
        </w:tc>
        <w:tc>
          <w:tcPr>
            <w:tcW w:w="413"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ind w:left="113" w:right="113"/>
              <w:jc w:val="center"/>
              <w:rPr>
                <w:rFonts w:eastAsia="Calibri"/>
                <w:noProof/>
                <w:sz w:val="26"/>
                <w:szCs w:val="26"/>
                <w:lang w:val="fr-FR"/>
              </w:rPr>
            </w:pPr>
            <w:r w:rsidRPr="00317B84">
              <w:rPr>
                <w:rFonts w:eastAsia="Calibri"/>
                <w:sz w:val="26"/>
                <w:szCs w:val="26"/>
              </w:rPr>
              <w:t>Đá hộc 15x25cm</w:t>
            </w:r>
          </w:p>
        </w:tc>
        <w:tc>
          <w:tcPr>
            <w:tcW w:w="3926"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TCVN 7570:2006 với các quy định về chất lượng như sau:</w:t>
            </w:r>
          </w:p>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 Không có bất kỳ khoáng vật nào lẫn trong cấu trúc đá gây bất lợi cho vật liệu.</w:t>
            </w:r>
          </w:p>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 Dung trọng trung bình của đá phải ≥ 2,5 T/m3 trở lên.</w:t>
            </w:r>
          </w:p>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 Độ bền gãy (Ktc): giá</w:t>
            </w:r>
            <w:bookmarkStart w:id="0" w:name="_GoBack"/>
            <w:bookmarkEnd w:id="0"/>
            <w:r w:rsidRPr="00317B84">
              <w:rPr>
                <w:sz w:val="26"/>
                <w:szCs w:val="26"/>
                <w:lang w:val="vi-VN" w:eastAsia="vi-VN"/>
              </w:rPr>
              <w:t xml:space="preserve"> trị trung bình phải lớn hơn 1,4Mpa.m1/2. Với giá trị trung bình trừ độ lệch chuẩn nhỏ nhất là 1,2Pa.m1/2.</w:t>
            </w:r>
          </w:p>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 Thí nghiệm vỡ vụn dưới tải trọng động và điều kiện ẩm ướt của đá: chỉ tiêu này phải &lt; 20%.</w:t>
            </w:r>
          </w:p>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 Hình dạng của đá: số khối có tỷ số 1/d=3 không vượt quá 5%.</w:t>
            </w:r>
          </w:p>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 xml:space="preserve">- Đá dùng trong công trình phải cứng rắn, đặc chắc, bền, không bị nứt rạn, không bị hà, chống </w:t>
            </w:r>
            <w:r w:rsidRPr="00317B84">
              <w:rPr>
                <w:sz w:val="26"/>
                <w:szCs w:val="26"/>
                <w:lang w:val="vi-VN" w:eastAsia="vi-VN"/>
              </w:rPr>
              <w:lastRenderedPageBreak/>
              <w:t>được tác động của không khí và nước. Đá có cường độ nén tối thiểu bằng 50 MPa và khối lượng thể tích tối thiểu 2.400 kg/m3.</w:t>
            </w:r>
          </w:p>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 Đường kính trung bình của viên đá được tính là   với di là kích thước theo 3 phương vuông góc của viên đá. Đường kính trung bình cần bảo đảm 15cm &lt; d &lt; =25 cm. Đá không đượt lọt qua lưới của rọ đá.</w:t>
            </w:r>
          </w:p>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 Không sử dụng đá phiến thạch, đá phong hóa và đá có khe nứt.</w:t>
            </w:r>
          </w:p>
        </w:tc>
        <w:tc>
          <w:tcPr>
            <w:tcW w:w="219" w:type="pct"/>
            <w:tcBorders>
              <w:top w:val="single" w:sz="4" w:space="0" w:color="auto"/>
              <w:left w:val="nil"/>
              <w:bottom w:val="single" w:sz="4" w:space="0" w:color="auto"/>
              <w:right w:val="single" w:sz="4" w:space="0" w:color="auto"/>
            </w:tcBorders>
            <w:noWrap/>
            <w:vAlign w:val="center"/>
          </w:tcPr>
          <w:p w:rsidR="00317B84" w:rsidRPr="00317B84" w:rsidRDefault="00317B84" w:rsidP="004014C2">
            <w:pPr>
              <w:spacing w:before="40" w:after="40"/>
              <w:ind w:left="113" w:right="113"/>
              <w:jc w:val="center"/>
              <w:rPr>
                <w:sz w:val="26"/>
                <w:szCs w:val="26"/>
              </w:rPr>
            </w:pPr>
            <w:r w:rsidRPr="00317B84">
              <w:rPr>
                <w:sz w:val="26"/>
                <w:szCs w:val="26"/>
              </w:rPr>
              <w:lastRenderedPageBreak/>
              <w:t>M3</w:t>
            </w:r>
          </w:p>
        </w:tc>
        <w:tc>
          <w:tcPr>
            <w:tcW w:w="286"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ind w:left="113" w:right="113"/>
              <w:jc w:val="center"/>
              <w:rPr>
                <w:sz w:val="26"/>
                <w:szCs w:val="26"/>
              </w:rPr>
            </w:pPr>
            <w:r w:rsidRPr="00317B84">
              <w:rPr>
                <w:sz w:val="26"/>
                <w:szCs w:val="26"/>
              </w:rPr>
              <w:t>257</w:t>
            </w:r>
          </w:p>
        </w:tc>
      </w:tr>
      <w:tr w:rsidR="00317B84" w:rsidRPr="00317B84" w:rsidTr="004014C2">
        <w:trPr>
          <w:trHeight w:val="353"/>
          <w:jc w:val="center"/>
        </w:trPr>
        <w:tc>
          <w:tcPr>
            <w:tcW w:w="157" w:type="pct"/>
            <w:tcBorders>
              <w:top w:val="single" w:sz="4" w:space="0" w:color="auto"/>
              <w:left w:val="single" w:sz="4" w:space="0" w:color="auto"/>
              <w:bottom w:val="single" w:sz="4" w:space="0" w:color="auto"/>
              <w:right w:val="single" w:sz="4" w:space="0" w:color="auto"/>
            </w:tcBorders>
            <w:vAlign w:val="center"/>
          </w:tcPr>
          <w:p w:rsidR="00317B84" w:rsidRPr="00317B84" w:rsidRDefault="00317B84" w:rsidP="004014C2">
            <w:pPr>
              <w:spacing w:before="40" w:after="40"/>
              <w:ind w:left="113" w:right="113"/>
              <w:jc w:val="center"/>
              <w:rPr>
                <w:sz w:val="26"/>
                <w:szCs w:val="26"/>
              </w:rPr>
            </w:pPr>
            <w:r w:rsidRPr="00317B84">
              <w:rPr>
                <w:sz w:val="26"/>
                <w:szCs w:val="26"/>
              </w:rPr>
              <w:lastRenderedPageBreak/>
              <w:t>2</w:t>
            </w:r>
          </w:p>
        </w:tc>
        <w:tc>
          <w:tcPr>
            <w:tcW w:w="413"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ind w:left="113" w:right="113"/>
              <w:jc w:val="center"/>
              <w:rPr>
                <w:rFonts w:eastAsia="Calibri"/>
                <w:noProof/>
                <w:sz w:val="26"/>
                <w:szCs w:val="26"/>
                <w:lang w:val="fr-FR"/>
              </w:rPr>
            </w:pPr>
            <w:r w:rsidRPr="00317B84">
              <w:rPr>
                <w:rFonts w:eastAsia="Calibri"/>
                <w:sz w:val="26"/>
                <w:szCs w:val="26"/>
              </w:rPr>
              <w:t>Đá hộc 25x50cm</w:t>
            </w:r>
          </w:p>
        </w:tc>
        <w:tc>
          <w:tcPr>
            <w:tcW w:w="3926"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line="340" w:lineRule="exact"/>
              <w:ind w:left="113" w:right="113"/>
              <w:rPr>
                <w:sz w:val="26"/>
                <w:szCs w:val="26"/>
                <w:lang w:val="vi-VN" w:eastAsia="vi-VN"/>
              </w:rPr>
            </w:pPr>
            <w:r w:rsidRPr="00317B84">
              <w:rPr>
                <w:sz w:val="26"/>
                <w:szCs w:val="26"/>
                <w:lang w:val="vi-VN" w:eastAsia="vi-VN"/>
              </w:rPr>
              <w:t>TCVN 7570:2006 với các quy định về chất lượng như sau:</w:t>
            </w:r>
          </w:p>
          <w:p w:rsidR="00317B84" w:rsidRPr="00317B84" w:rsidRDefault="00317B84" w:rsidP="004014C2">
            <w:pPr>
              <w:spacing w:before="40" w:after="40" w:line="340" w:lineRule="exact"/>
              <w:ind w:left="113" w:right="113" w:firstLine="202"/>
              <w:rPr>
                <w:sz w:val="26"/>
                <w:szCs w:val="26"/>
                <w:lang w:val="vi-VN" w:eastAsia="vi-VN"/>
              </w:rPr>
            </w:pPr>
            <w:r w:rsidRPr="00317B84">
              <w:rPr>
                <w:sz w:val="26"/>
                <w:szCs w:val="26"/>
                <w:lang w:val="vi-VN" w:eastAsia="vi-VN"/>
              </w:rPr>
              <w:t>- Không có bất kỳ khoáng vật nào lẫn trong cấu trúc đá gây bất lợi cho vật liệu.</w:t>
            </w:r>
          </w:p>
          <w:p w:rsidR="00317B84" w:rsidRPr="00317B84" w:rsidRDefault="00317B84" w:rsidP="004014C2">
            <w:pPr>
              <w:spacing w:before="40" w:after="40" w:line="340" w:lineRule="exact"/>
              <w:ind w:left="113" w:right="113" w:firstLine="202"/>
              <w:rPr>
                <w:sz w:val="26"/>
                <w:szCs w:val="26"/>
                <w:lang w:val="vi-VN" w:eastAsia="vi-VN"/>
              </w:rPr>
            </w:pPr>
            <w:r w:rsidRPr="00317B84">
              <w:rPr>
                <w:sz w:val="26"/>
                <w:szCs w:val="26"/>
                <w:lang w:val="vi-VN" w:eastAsia="vi-VN"/>
              </w:rPr>
              <w:t>- Dung trọng trung bình của đá phải ≥ 2,5 T/m3 trở lên.</w:t>
            </w:r>
          </w:p>
          <w:p w:rsidR="00317B84" w:rsidRPr="00317B84" w:rsidRDefault="00317B84" w:rsidP="004014C2">
            <w:pPr>
              <w:spacing w:before="40" w:after="40" w:line="340" w:lineRule="exact"/>
              <w:ind w:left="113" w:right="113" w:firstLine="202"/>
              <w:rPr>
                <w:sz w:val="26"/>
                <w:szCs w:val="26"/>
                <w:lang w:val="vi-VN" w:eastAsia="vi-VN"/>
              </w:rPr>
            </w:pPr>
            <w:r w:rsidRPr="00317B84">
              <w:rPr>
                <w:sz w:val="26"/>
                <w:szCs w:val="26"/>
                <w:lang w:val="vi-VN" w:eastAsia="vi-VN"/>
              </w:rPr>
              <w:t>- Độ bền gãy (Ktc): giá trị trung bình phải lớn hơn 1,4Mpa.m1/2. Với giá trị trung bình trừ độ lệch chuẩn nhỏ nhất là 1,2Pa.m1/2.</w:t>
            </w:r>
          </w:p>
          <w:p w:rsidR="00317B84" w:rsidRPr="00317B84" w:rsidRDefault="00317B84" w:rsidP="004014C2">
            <w:pPr>
              <w:spacing w:before="40" w:after="40" w:line="340" w:lineRule="exact"/>
              <w:ind w:left="113" w:right="113" w:firstLine="202"/>
              <w:rPr>
                <w:sz w:val="26"/>
                <w:szCs w:val="26"/>
                <w:lang w:val="vi-VN" w:eastAsia="vi-VN"/>
              </w:rPr>
            </w:pPr>
            <w:r w:rsidRPr="00317B84">
              <w:rPr>
                <w:sz w:val="26"/>
                <w:szCs w:val="26"/>
                <w:lang w:val="vi-VN" w:eastAsia="vi-VN"/>
              </w:rPr>
              <w:t>- Thí nghiệm vỡ vụn dưới tải trọng động và điều kiện ẩm ướt của đá: chỉ tiêu này phải &lt; 20%.</w:t>
            </w:r>
          </w:p>
          <w:p w:rsidR="00317B84" w:rsidRPr="00317B84" w:rsidRDefault="00317B84" w:rsidP="004014C2">
            <w:pPr>
              <w:spacing w:before="40" w:after="40" w:line="340" w:lineRule="exact"/>
              <w:ind w:left="113" w:right="113" w:firstLine="202"/>
              <w:rPr>
                <w:sz w:val="26"/>
                <w:szCs w:val="26"/>
                <w:lang w:val="vi-VN" w:eastAsia="vi-VN"/>
              </w:rPr>
            </w:pPr>
            <w:r w:rsidRPr="00317B84">
              <w:rPr>
                <w:sz w:val="26"/>
                <w:szCs w:val="26"/>
                <w:lang w:val="vi-VN" w:eastAsia="vi-VN"/>
              </w:rPr>
              <w:t>- Hình dạng của đá: số khối có tỷ số 1/d=3 không vượt quá 5%.</w:t>
            </w:r>
          </w:p>
          <w:p w:rsidR="00317B84" w:rsidRPr="00317B84" w:rsidRDefault="00317B84" w:rsidP="004014C2">
            <w:pPr>
              <w:spacing w:before="40" w:after="40" w:line="340" w:lineRule="exact"/>
              <w:ind w:left="113" w:right="113" w:firstLine="202"/>
              <w:rPr>
                <w:sz w:val="26"/>
                <w:szCs w:val="26"/>
                <w:lang w:val="vi-VN" w:eastAsia="vi-VN"/>
              </w:rPr>
            </w:pPr>
            <w:r w:rsidRPr="00317B84">
              <w:rPr>
                <w:sz w:val="26"/>
                <w:szCs w:val="26"/>
                <w:lang w:val="vi-VN" w:eastAsia="vi-VN"/>
              </w:rPr>
              <w:t>- Đá dùng trong công trình phải cứng rắn, đặc chắc, bền, không bị nứt rạn, không bị hà, chống được tác động của không khí và nước. Đá có cường độ nén tối thiểu bằng 50 MPa và khối lượng thể tích tối thiểu 2.400 kg/m3.</w:t>
            </w:r>
          </w:p>
          <w:p w:rsidR="00317B84" w:rsidRPr="00317B84" w:rsidRDefault="00317B84" w:rsidP="004014C2">
            <w:pPr>
              <w:spacing w:before="40" w:after="40" w:line="340" w:lineRule="exact"/>
              <w:ind w:left="113" w:right="113" w:firstLine="202"/>
              <w:rPr>
                <w:sz w:val="26"/>
                <w:szCs w:val="26"/>
                <w:lang w:val="vi-VN" w:eastAsia="vi-VN"/>
              </w:rPr>
            </w:pPr>
            <w:r w:rsidRPr="00317B84">
              <w:rPr>
                <w:sz w:val="26"/>
                <w:szCs w:val="26"/>
                <w:lang w:val="vi-VN" w:eastAsia="vi-VN"/>
              </w:rPr>
              <w:t>- Đường kính trung bình của viên đá được tính là   với di là kích thước theo 3 phương vuông góc của viên đá. Đường kính trung bình cần bảo đảm 15cm &lt; d &lt; =25 cm. Đá không đượt lọt qua lưới của rọ đá.</w:t>
            </w:r>
          </w:p>
          <w:p w:rsidR="00317B84" w:rsidRPr="00317B84" w:rsidRDefault="00317B84" w:rsidP="004014C2">
            <w:pPr>
              <w:shd w:val="clear" w:color="auto" w:fill="FFFFFF"/>
              <w:spacing w:before="40" w:after="40" w:line="420" w:lineRule="atLeast"/>
              <w:ind w:left="113" w:right="113" w:firstLine="202"/>
              <w:rPr>
                <w:sz w:val="26"/>
                <w:szCs w:val="26"/>
                <w:lang w:val="vi-VN" w:eastAsia="vi-VN"/>
              </w:rPr>
            </w:pPr>
            <w:r w:rsidRPr="00317B84">
              <w:rPr>
                <w:sz w:val="26"/>
                <w:szCs w:val="26"/>
                <w:lang w:val="vi-VN" w:eastAsia="vi-VN"/>
              </w:rPr>
              <w:t>- Không sử dụng đá phiến thạch, đá phong hóa và đá có khe nứt.</w:t>
            </w:r>
          </w:p>
        </w:tc>
        <w:tc>
          <w:tcPr>
            <w:tcW w:w="219" w:type="pct"/>
            <w:tcBorders>
              <w:top w:val="single" w:sz="4" w:space="0" w:color="auto"/>
              <w:left w:val="nil"/>
              <w:bottom w:val="single" w:sz="4" w:space="0" w:color="auto"/>
              <w:right w:val="single" w:sz="4" w:space="0" w:color="auto"/>
            </w:tcBorders>
            <w:noWrap/>
            <w:vAlign w:val="center"/>
          </w:tcPr>
          <w:p w:rsidR="00317B84" w:rsidRPr="00317B84" w:rsidRDefault="00317B84" w:rsidP="004014C2">
            <w:pPr>
              <w:spacing w:before="40" w:after="40"/>
              <w:ind w:left="113" w:right="113"/>
              <w:jc w:val="center"/>
              <w:rPr>
                <w:sz w:val="26"/>
                <w:szCs w:val="26"/>
              </w:rPr>
            </w:pPr>
            <w:r w:rsidRPr="00317B84">
              <w:rPr>
                <w:sz w:val="26"/>
                <w:szCs w:val="26"/>
              </w:rPr>
              <w:t>M3</w:t>
            </w:r>
          </w:p>
        </w:tc>
        <w:tc>
          <w:tcPr>
            <w:tcW w:w="286"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ind w:left="113" w:right="113"/>
              <w:jc w:val="center"/>
              <w:rPr>
                <w:sz w:val="26"/>
                <w:szCs w:val="26"/>
              </w:rPr>
            </w:pPr>
            <w:r w:rsidRPr="00317B84">
              <w:rPr>
                <w:sz w:val="26"/>
                <w:szCs w:val="26"/>
              </w:rPr>
              <w:t>300</w:t>
            </w:r>
          </w:p>
        </w:tc>
      </w:tr>
      <w:tr w:rsidR="00317B84" w:rsidRPr="00317B84" w:rsidTr="004014C2">
        <w:trPr>
          <w:trHeight w:val="353"/>
          <w:jc w:val="center"/>
        </w:trPr>
        <w:tc>
          <w:tcPr>
            <w:tcW w:w="157" w:type="pct"/>
            <w:tcBorders>
              <w:top w:val="single" w:sz="4" w:space="0" w:color="auto"/>
              <w:left w:val="single" w:sz="4" w:space="0" w:color="auto"/>
              <w:bottom w:val="single" w:sz="4" w:space="0" w:color="auto"/>
              <w:right w:val="single" w:sz="4" w:space="0" w:color="auto"/>
            </w:tcBorders>
            <w:vAlign w:val="center"/>
          </w:tcPr>
          <w:p w:rsidR="00317B84" w:rsidRPr="00317B84" w:rsidRDefault="00317B84" w:rsidP="004014C2">
            <w:pPr>
              <w:spacing w:before="40" w:after="40"/>
              <w:ind w:left="113" w:right="113"/>
              <w:jc w:val="center"/>
              <w:rPr>
                <w:sz w:val="26"/>
                <w:szCs w:val="26"/>
              </w:rPr>
            </w:pPr>
            <w:r w:rsidRPr="00317B84">
              <w:rPr>
                <w:sz w:val="26"/>
                <w:szCs w:val="26"/>
              </w:rPr>
              <w:t>3</w:t>
            </w:r>
          </w:p>
        </w:tc>
        <w:tc>
          <w:tcPr>
            <w:tcW w:w="413"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ind w:left="113" w:right="113"/>
              <w:jc w:val="center"/>
              <w:rPr>
                <w:rFonts w:eastAsia="Calibri"/>
                <w:noProof/>
                <w:sz w:val="26"/>
                <w:szCs w:val="26"/>
                <w:lang w:val="fr-FR"/>
              </w:rPr>
            </w:pPr>
            <w:r w:rsidRPr="00317B84">
              <w:rPr>
                <w:rFonts w:eastAsia="Calibri"/>
                <w:sz w:val="26"/>
                <w:szCs w:val="26"/>
              </w:rPr>
              <w:t>Rọ đá 2x1x1m</w:t>
            </w:r>
          </w:p>
        </w:tc>
        <w:tc>
          <w:tcPr>
            <w:tcW w:w="3926" w:type="pct"/>
            <w:tcBorders>
              <w:top w:val="single" w:sz="4" w:space="0" w:color="auto"/>
              <w:left w:val="nil"/>
              <w:bottom w:val="single" w:sz="4" w:space="0" w:color="auto"/>
              <w:right w:val="single" w:sz="4" w:space="0" w:color="auto"/>
            </w:tcBorders>
            <w:vAlign w:val="center"/>
          </w:tcPr>
          <w:p w:rsidR="00317B84" w:rsidRPr="00317B84" w:rsidRDefault="00317B84" w:rsidP="004014C2">
            <w:pPr>
              <w:shd w:val="clear" w:color="auto" w:fill="FFFFFF"/>
              <w:spacing w:before="40" w:after="40" w:line="420" w:lineRule="atLeast"/>
              <w:ind w:left="113" w:right="113"/>
              <w:rPr>
                <w:b/>
                <w:bCs/>
                <w:sz w:val="26"/>
                <w:szCs w:val="26"/>
                <w:lang w:val="nl-NL"/>
              </w:rPr>
            </w:pPr>
            <w:r w:rsidRPr="00317B84">
              <w:rPr>
                <w:rFonts w:eastAsia="Calibri"/>
                <w:sz w:val="26"/>
                <w:szCs w:val="26"/>
                <w:lang w:val="fr-FR"/>
              </w:rPr>
              <w:t>R</w:t>
            </w:r>
            <w:r w:rsidRPr="00317B84">
              <w:rPr>
                <w:rFonts w:eastAsia="Calibri"/>
                <w:sz w:val="26"/>
                <w:szCs w:val="26"/>
                <w:lang w:val="nl-NL"/>
              </w:rPr>
              <w:t>ọ đá có kích thước 2x1x1m, 01 vách ngăn, mắc lưới P10cm, dây đan 2,7mm, dây viền 3,4mm, mạ kẽm và bọc PVC</w:t>
            </w:r>
          </w:p>
        </w:tc>
        <w:tc>
          <w:tcPr>
            <w:tcW w:w="219" w:type="pct"/>
            <w:tcBorders>
              <w:top w:val="single" w:sz="4" w:space="0" w:color="auto"/>
              <w:left w:val="nil"/>
              <w:bottom w:val="single" w:sz="4" w:space="0" w:color="auto"/>
              <w:right w:val="single" w:sz="4" w:space="0" w:color="auto"/>
            </w:tcBorders>
            <w:noWrap/>
            <w:vAlign w:val="center"/>
          </w:tcPr>
          <w:p w:rsidR="00317B84" w:rsidRPr="00317B84" w:rsidRDefault="00317B84" w:rsidP="004014C2">
            <w:pPr>
              <w:spacing w:before="40" w:after="40"/>
              <w:ind w:left="113" w:right="113"/>
              <w:jc w:val="center"/>
              <w:rPr>
                <w:sz w:val="26"/>
                <w:szCs w:val="26"/>
                <w:lang w:val="nl-NL"/>
              </w:rPr>
            </w:pPr>
            <w:r w:rsidRPr="00317B84">
              <w:rPr>
                <w:sz w:val="26"/>
                <w:szCs w:val="26"/>
                <w:lang w:val="nl-NL"/>
              </w:rPr>
              <w:t>Cái</w:t>
            </w:r>
          </w:p>
        </w:tc>
        <w:tc>
          <w:tcPr>
            <w:tcW w:w="286"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ind w:left="113" w:right="113"/>
              <w:jc w:val="center"/>
              <w:rPr>
                <w:sz w:val="26"/>
                <w:szCs w:val="26"/>
                <w:lang w:val="nl-NL"/>
              </w:rPr>
            </w:pPr>
            <w:r w:rsidRPr="00317B84">
              <w:rPr>
                <w:sz w:val="26"/>
                <w:szCs w:val="26"/>
                <w:lang w:val="nl-NL"/>
              </w:rPr>
              <w:t>300</w:t>
            </w:r>
          </w:p>
        </w:tc>
      </w:tr>
      <w:tr w:rsidR="00317B84" w:rsidRPr="00317B84" w:rsidTr="004014C2">
        <w:trPr>
          <w:trHeight w:val="353"/>
          <w:jc w:val="center"/>
        </w:trPr>
        <w:tc>
          <w:tcPr>
            <w:tcW w:w="157" w:type="pct"/>
            <w:tcBorders>
              <w:top w:val="single" w:sz="4" w:space="0" w:color="auto"/>
              <w:left w:val="single" w:sz="4" w:space="0" w:color="auto"/>
              <w:bottom w:val="single" w:sz="4" w:space="0" w:color="auto"/>
              <w:right w:val="single" w:sz="4" w:space="0" w:color="auto"/>
            </w:tcBorders>
            <w:vAlign w:val="center"/>
          </w:tcPr>
          <w:p w:rsidR="00317B84" w:rsidRPr="00317B84" w:rsidRDefault="00317B84" w:rsidP="004014C2">
            <w:pPr>
              <w:spacing w:before="40" w:after="40"/>
              <w:ind w:left="113" w:right="113"/>
              <w:jc w:val="center"/>
              <w:rPr>
                <w:sz w:val="26"/>
                <w:szCs w:val="26"/>
              </w:rPr>
            </w:pPr>
            <w:r w:rsidRPr="00317B84">
              <w:rPr>
                <w:sz w:val="26"/>
                <w:szCs w:val="26"/>
              </w:rPr>
              <w:t>4</w:t>
            </w:r>
          </w:p>
        </w:tc>
        <w:tc>
          <w:tcPr>
            <w:tcW w:w="413"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ind w:left="113" w:right="113"/>
              <w:jc w:val="center"/>
              <w:rPr>
                <w:rFonts w:eastAsia="Calibri"/>
                <w:noProof/>
                <w:sz w:val="26"/>
                <w:szCs w:val="26"/>
                <w:lang w:val="fr-FR"/>
              </w:rPr>
            </w:pPr>
            <w:r w:rsidRPr="00317B84">
              <w:rPr>
                <w:rFonts w:eastAsia="Calibri"/>
                <w:sz w:val="26"/>
                <w:szCs w:val="26"/>
              </w:rPr>
              <w:t xml:space="preserve">Màng </w:t>
            </w:r>
            <w:r w:rsidRPr="00317B84">
              <w:rPr>
                <w:rFonts w:eastAsia="Calibri"/>
                <w:sz w:val="26"/>
                <w:szCs w:val="26"/>
              </w:rPr>
              <w:lastRenderedPageBreak/>
              <w:t>chống thấm HDPE</w:t>
            </w:r>
          </w:p>
        </w:tc>
        <w:tc>
          <w:tcPr>
            <w:tcW w:w="3926" w:type="pct"/>
            <w:tcBorders>
              <w:top w:val="single" w:sz="4" w:space="0" w:color="auto"/>
              <w:left w:val="nil"/>
              <w:bottom w:val="single" w:sz="4" w:space="0" w:color="auto"/>
              <w:right w:val="single" w:sz="4" w:space="0" w:color="auto"/>
            </w:tcBorders>
            <w:vAlign w:val="center"/>
          </w:tcPr>
          <w:p w:rsidR="00317B84" w:rsidRPr="00317B84" w:rsidRDefault="00317B84" w:rsidP="004014C2">
            <w:pPr>
              <w:shd w:val="clear" w:color="auto" w:fill="FFFFFF"/>
              <w:spacing w:before="40" w:after="40"/>
              <w:ind w:left="113" w:right="113"/>
              <w:outlineLvl w:val="2"/>
              <w:rPr>
                <w:sz w:val="26"/>
                <w:szCs w:val="26"/>
              </w:rPr>
            </w:pPr>
            <w:r w:rsidRPr="00317B84">
              <w:rPr>
                <w:sz w:val="26"/>
                <w:szCs w:val="26"/>
              </w:rPr>
              <w:lastRenderedPageBreak/>
              <w:t>Thông số kỹ thuật</w:t>
            </w:r>
          </w:p>
          <w:p w:rsidR="00317B84" w:rsidRPr="00317B84" w:rsidRDefault="00317B84" w:rsidP="00317B84">
            <w:pPr>
              <w:numPr>
                <w:ilvl w:val="0"/>
                <w:numId w:val="7"/>
              </w:numPr>
              <w:shd w:val="clear" w:color="auto" w:fill="FFFFFF"/>
              <w:spacing w:before="40" w:after="40" w:line="288" w:lineRule="auto"/>
              <w:ind w:left="113" w:right="113"/>
              <w:jc w:val="left"/>
              <w:rPr>
                <w:sz w:val="26"/>
                <w:szCs w:val="26"/>
              </w:rPr>
            </w:pPr>
            <w:r w:rsidRPr="00317B84">
              <w:rPr>
                <w:b/>
                <w:bCs/>
                <w:sz w:val="26"/>
                <w:szCs w:val="26"/>
              </w:rPr>
              <w:lastRenderedPageBreak/>
              <w:t>Nguyên liệu:</w:t>
            </w:r>
            <w:r w:rsidRPr="00317B84">
              <w:rPr>
                <w:sz w:val="26"/>
                <w:szCs w:val="26"/>
              </w:rPr>
              <w:t> Nhựa HDPE</w:t>
            </w:r>
          </w:p>
          <w:p w:rsidR="00317B84" w:rsidRPr="00317B84" w:rsidRDefault="00317B84" w:rsidP="00317B84">
            <w:pPr>
              <w:numPr>
                <w:ilvl w:val="0"/>
                <w:numId w:val="7"/>
              </w:numPr>
              <w:shd w:val="clear" w:color="auto" w:fill="FFFFFF"/>
              <w:spacing w:before="40" w:after="40" w:line="288" w:lineRule="auto"/>
              <w:ind w:left="113" w:right="113"/>
              <w:jc w:val="left"/>
              <w:rPr>
                <w:sz w:val="26"/>
                <w:szCs w:val="26"/>
              </w:rPr>
            </w:pPr>
            <w:r w:rsidRPr="00317B84">
              <w:rPr>
                <w:b/>
                <w:bCs/>
                <w:sz w:val="26"/>
                <w:szCs w:val="26"/>
              </w:rPr>
              <w:t>Chiều dài:</w:t>
            </w:r>
            <w:r w:rsidRPr="00317B84">
              <w:rPr>
                <w:sz w:val="26"/>
                <w:szCs w:val="26"/>
              </w:rPr>
              <w:t> 50-100m/cuộn</w:t>
            </w:r>
          </w:p>
          <w:p w:rsidR="00317B84" w:rsidRPr="00317B84" w:rsidRDefault="00317B84" w:rsidP="00317B84">
            <w:pPr>
              <w:numPr>
                <w:ilvl w:val="0"/>
                <w:numId w:val="7"/>
              </w:numPr>
              <w:shd w:val="clear" w:color="auto" w:fill="FFFFFF"/>
              <w:spacing w:before="40" w:after="40" w:line="288" w:lineRule="auto"/>
              <w:ind w:left="113" w:right="113"/>
              <w:jc w:val="left"/>
              <w:rPr>
                <w:sz w:val="26"/>
                <w:szCs w:val="26"/>
              </w:rPr>
            </w:pPr>
            <w:r w:rsidRPr="00317B84">
              <w:rPr>
                <w:b/>
                <w:bCs/>
                <w:sz w:val="26"/>
                <w:szCs w:val="26"/>
              </w:rPr>
              <w:t>Chiều rộng:</w:t>
            </w:r>
            <w:r w:rsidRPr="00317B84">
              <w:rPr>
                <w:sz w:val="26"/>
                <w:szCs w:val="26"/>
              </w:rPr>
              <w:t> 3m, 4m, 5m, 6m</w:t>
            </w:r>
          </w:p>
          <w:p w:rsidR="00317B84" w:rsidRPr="00317B84" w:rsidRDefault="00317B84" w:rsidP="00317B84">
            <w:pPr>
              <w:numPr>
                <w:ilvl w:val="0"/>
                <w:numId w:val="7"/>
              </w:numPr>
              <w:shd w:val="clear" w:color="auto" w:fill="FFFFFF"/>
              <w:spacing w:before="40" w:after="40" w:line="288" w:lineRule="auto"/>
              <w:ind w:left="113" w:right="113"/>
              <w:jc w:val="left"/>
              <w:rPr>
                <w:sz w:val="26"/>
                <w:szCs w:val="26"/>
              </w:rPr>
            </w:pPr>
            <w:r w:rsidRPr="00317B84">
              <w:rPr>
                <w:b/>
                <w:bCs/>
                <w:sz w:val="26"/>
                <w:szCs w:val="26"/>
              </w:rPr>
              <w:t>Khối lượng:</w:t>
            </w:r>
            <w:r w:rsidRPr="00317B84">
              <w:rPr>
                <w:sz w:val="26"/>
                <w:szCs w:val="26"/>
              </w:rPr>
              <w:t> 80-300kg/cuộn</w:t>
            </w:r>
          </w:p>
          <w:p w:rsidR="00317B84" w:rsidRPr="00317B84" w:rsidRDefault="00317B84" w:rsidP="00317B84">
            <w:pPr>
              <w:numPr>
                <w:ilvl w:val="0"/>
                <w:numId w:val="7"/>
              </w:numPr>
              <w:shd w:val="clear" w:color="auto" w:fill="FFFFFF"/>
              <w:spacing w:before="40" w:after="40" w:line="288" w:lineRule="auto"/>
              <w:ind w:left="113" w:right="113"/>
              <w:jc w:val="left"/>
              <w:rPr>
                <w:sz w:val="26"/>
                <w:szCs w:val="26"/>
              </w:rPr>
            </w:pPr>
            <w:r w:rsidRPr="00317B84">
              <w:rPr>
                <w:b/>
                <w:bCs/>
                <w:sz w:val="26"/>
                <w:szCs w:val="26"/>
              </w:rPr>
              <w:t>Độ dày:</w:t>
            </w:r>
            <w:r w:rsidRPr="00317B84">
              <w:rPr>
                <w:sz w:val="26"/>
                <w:szCs w:val="26"/>
              </w:rPr>
              <w:t> 1.5mm</w:t>
            </w:r>
          </w:p>
          <w:p w:rsidR="00317B84" w:rsidRPr="00317B84" w:rsidRDefault="00317B84" w:rsidP="00317B84">
            <w:pPr>
              <w:numPr>
                <w:ilvl w:val="0"/>
                <w:numId w:val="7"/>
              </w:numPr>
              <w:shd w:val="clear" w:color="auto" w:fill="FFFFFF"/>
              <w:spacing w:before="40" w:after="40" w:line="288" w:lineRule="auto"/>
              <w:ind w:left="113" w:right="113"/>
              <w:jc w:val="left"/>
              <w:rPr>
                <w:sz w:val="26"/>
                <w:szCs w:val="26"/>
              </w:rPr>
            </w:pPr>
            <w:r w:rsidRPr="00317B84">
              <w:rPr>
                <w:b/>
                <w:bCs/>
                <w:sz w:val="26"/>
                <w:szCs w:val="26"/>
              </w:rPr>
              <w:t>Mật độ:</w:t>
            </w:r>
            <w:r w:rsidRPr="00317B84">
              <w:rPr>
                <w:sz w:val="26"/>
                <w:szCs w:val="26"/>
              </w:rPr>
              <w:t> 0.94g/cc</w:t>
            </w:r>
          </w:p>
        </w:tc>
        <w:tc>
          <w:tcPr>
            <w:tcW w:w="219" w:type="pct"/>
            <w:tcBorders>
              <w:top w:val="single" w:sz="4" w:space="0" w:color="auto"/>
              <w:left w:val="nil"/>
              <w:bottom w:val="single" w:sz="4" w:space="0" w:color="auto"/>
              <w:right w:val="single" w:sz="4" w:space="0" w:color="auto"/>
            </w:tcBorders>
            <w:noWrap/>
            <w:vAlign w:val="center"/>
          </w:tcPr>
          <w:p w:rsidR="00317B84" w:rsidRPr="00317B84" w:rsidRDefault="00317B84" w:rsidP="004014C2">
            <w:pPr>
              <w:spacing w:before="40" w:after="40"/>
              <w:ind w:left="113" w:right="113"/>
              <w:jc w:val="center"/>
              <w:rPr>
                <w:sz w:val="26"/>
                <w:szCs w:val="26"/>
              </w:rPr>
            </w:pPr>
            <w:r w:rsidRPr="00317B84">
              <w:rPr>
                <w:sz w:val="26"/>
                <w:szCs w:val="26"/>
              </w:rPr>
              <w:lastRenderedPageBreak/>
              <w:t>M2</w:t>
            </w:r>
          </w:p>
        </w:tc>
        <w:tc>
          <w:tcPr>
            <w:tcW w:w="286" w:type="pct"/>
            <w:tcBorders>
              <w:top w:val="single" w:sz="4" w:space="0" w:color="auto"/>
              <w:left w:val="nil"/>
              <w:bottom w:val="single" w:sz="4" w:space="0" w:color="auto"/>
              <w:right w:val="single" w:sz="4" w:space="0" w:color="auto"/>
            </w:tcBorders>
            <w:vAlign w:val="center"/>
          </w:tcPr>
          <w:p w:rsidR="00317B84" w:rsidRPr="00317B84" w:rsidRDefault="00317B84" w:rsidP="004014C2">
            <w:pPr>
              <w:spacing w:before="40" w:after="40"/>
              <w:ind w:left="113" w:right="113"/>
              <w:jc w:val="center"/>
              <w:rPr>
                <w:sz w:val="26"/>
                <w:szCs w:val="26"/>
              </w:rPr>
            </w:pPr>
            <w:r w:rsidRPr="00317B84">
              <w:rPr>
                <w:sz w:val="26"/>
                <w:szCs w:val="26"/>
              </w:rPr>
              <w:t>2.000</w:t>
            </w:r>
          </w:p>
        </w:tc>
      </w:tr>
    </w:tbl>
    <w:p w:rsidR="00317B84" w:rsidRPr="00317B84" w:rsidRDefault="00317B84" w:rsidP="00317B84">
      <w:pPr>
        <w:spacing w:before="120" w:after="120" w:line="264" w:lineRule="auto"/>
        <w:ind w:firstLine="709"/>
        <w:rPr>
          <w:b/>
          <w:sz w:val="28"/>
          <w:szCs w:val="28"/>
          <w:lang w:val="nl-NL"/>
        </w:rPr>
      </w:pPr>
      <w:r w:rsidRPr="00317B84">
        <w:rPr>
          <w:b/>
          <w:i/>
          <w:sz w:val="28"/>
          <w:szCs w:val="28"/>
          <w:lang w:val="nl-NL"/>
        </w:rPr>
        <w:lastRenderedPageBreak/>
        <w:t>c. Các yêu cầu khác</w:t>
      </w:r>
      <w:r w:rsidRPr="00317B84">
        <w:rPr>
          <w:b/>
          <w:sz w:val="28"/>
          <w:szCs w:val="28"/>
          <w:lang w:val="nl-NL"/>
        </w:rPr>
        <w:t>: Không yêu cầu.</w:t>
      </w:r>
    </w:p>
    <w:p w:rsidR="00317B84" w:rsidRPr="00317B84" w:rsidRDefault="00317B84" w:rsidP="00317B84">
      <w:pPr>
        <w:spacing w:before="120" w:after="120" w:line="264" w:lineRule="auto"/>
        <w:ind w:firstLine="709"/>
        <w:jc w:val="left"/>
        <w:rPr>
          <w:b/>
          <w:sz w:val="28"/>
          <w:szCs w:val="28"/>
          <w:lang w:val="nl-NL"/>
        </w:rPr>
      </w:pPr>
      <w:r w:rsidRPr="00317B84">
        <w:rPr>
          <w:b/>
          <w:sz w:val="28"/>
          <w:szCs w:val="28"/>
          <w:lang w:val="nl-NL"/>
        </w:rPr>
        <w:t>Mục 2. Bản vẽ</w:t>
      </w:r>
    </w:p>
    <w:p w:rsidR="00317B84" w:rsidRPr="00317B84" w:rsidRDefault="00317B84" w:rsidP="00317B84">
      <w:pPr>
        <w:spacing w:before="120" w:after="120" w:line="264" w:lineRule="auto"/>
        <w:ind w:firstLine="709"/>
        <w:rPr>
          <w:i/>
          <w:iCs/>
          <w:spacing w:val="-4"/>
          <w:sz w:val="28"/>
          <w:szCs w:val="28"/>
          <w:lang w:val="nl-NL"/>
        </w:rPr>
      </w:pPr>
      <w:r w:rsidRPr="00317B84">
        <w:rPr>
          <w:sz w:val="28"/>
          <w:szCs w:val="28"/>
          <w:lang w:val="nl-NL"/>
        </w:rPr>
        <w:t>Không có bản vẽ</w:t>
      </w:r>
      <w:r w:rsidRPr="00317B84">
        <w:rPr>
          <w:spacing w:val="-4"/>
          <w:sz w:val="28"/>
          <w:szCs w:val="28"/>
          <w:lang w:val="nl-NL"/>
        </w:rPr>
        <w:t xml:space="preserve"> </w:t>
      </w:r>
    </w:p>
    <w:p w:rsidR="00317B84" w:rsidRPr="00317B84" w:rsidRDefault="00317B84" w:rsidP="00317B84">
      <w:pPr>
        <w:widowControl w:val="0"/>
        <w:spacing w:before="120" w:after="120" w:line="264" w:lineRule="auto"/>
        <w:ind w:firstLine="709"/>
        <w:jc w:val="left"/>
        <w:rPr>
          <w:b/>
          <w:sz w:val="28"/>
          <w:szCs w:val="28"/>
          <w:lang w:val="nl-NL"/>
        </w:rPr>
      </w:pPr>
      <w:r w:rsidRPr="00317B84">
        <w:rPr>
          <w:b/>
          <w:sz w:val="28"/>
          <w:szCs w:val="28"/>
          <w:lang w:val="nl-NL"/>
        </w:rPr>
        <w:t>Mục 3. Kiểm tra và thử nghiệm</w:t>
      </w:r>
    </w:p>
    <w:p w:rsidR="00D331C2" w:rsidRPr="00317B84" w:rsidRDefault="00317B84" w:rsidP="00317B84">
      <w:pPr>
        <w:spacing w:after="200" w:line="276" w:lineRule="auto"/>
        <w:ind w:firstLine="709"/>
        <w:rPr>
          <w:i/>
          <w:iCs/>
          <w:sz w:val="28"/>
          <w:szCs w:val="28"/>
          <w:lang w:val="nl-NL"/>
        </w:rPr>
      </w:pPr>
      <w:r w:rsidRPr="00317B84">
        <w:rPr>
          <w:sz w:val="28"/>
          <w:szCs w:val="28"/>
          <w:lang w:val="nl-NL"/>
        </w:rPr>
        <w:t>Các kiểm tra và thử nghiệm cần tiến hành gồm có: Theo đúng quy định hiện hành</w:t>
      </w:r>
      <w:r w:rsidRPr="00317B84">
        <w:rPr>
          <w:i/>
          <w:iCs/>
          <w:sz w:val="28"/>
          <w:szCs w:val="28"/>
          <w:lang w:val="nl-NL"/>
        </w:rPr>
        <w:t>.</w:t>
      </w:r>
    </w:p>
    <w:sectPr w:rsidR="00D331C2" w:rsidRPr="00317B84" w:rsidSect="00310814">
      <w:pgSz w:w="11906" w:h="16838" w:code="9"/>
      <w:pgMar w:top="1134" w:right="1134" w:bottom="1134" w:left="1701" w:header="510" w:footer="51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5F8"/>
    <w:multiLevelType w:val="hybridMultilevel"/>
    <w:tmpl w:val="20B88AD6"/>
    <w:lvl w:ilvl="0" w:tplc="6E8ED06E">
      <w:start w:val="1"/>
      <w:numFmt w:val="bullet"/>
      <w:suff w:val="space"/>
      <w:lvlText w:val=""/>
      <w:lvlJc w:val="left"/>
      <w:pPr>
        <w:ind w:left="1287"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07BB52E2"/>
    <w:multiLevelType w:val="multilevel"/>
    <w:tmpl w:val="EB0C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03382"/>
    <w:multiLevelType w:val="hybridMultilevel"/>
    <w:tmpl w:val="F5AEDE82"/>
    <w:lvl w:ilvl="0" w:tplc="87BCC1CE">
      <w:start w:val="1"/>
      <w:numFmt w:val="bullet"/>
      <w:suff w:val="space"/>
      <w:lvlText w:val=""/>
      <w:lvlJc w:val="left"/>
      <w:pPr>
        <w:ind w:left="1287"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11A3C31"/>
    <w:multiLevelType w:val="multilevel"/>
    <w:tmpl w:val="AE6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DF224C"/>
    <w:multiLevelType w:val="hybridMultilevel"/>
    <w:tmpl w:val="7A1C0DE8"/>
    <w:lvl w:ilvl="0" w:tplc="A628C124">
      <w:start w:val="1"/>
      <w:numFmt w:val="bullet"/>
      <w:suff w:val="space"/>
      <w:lvlText w:val=""/>
      <w:lvlJc w:val="left"/>
      <w:pPr>
        <w:ind w:left="10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B63EF4"/>
    <w:multiLevelType w:val="hybridMultilevel"/>
    <w:tmpl w:val="9A8C9396"/>
    <w:lvl w:ilvl="0" w:tplc="F92E25C8">
      <w:start w:val="1"/>
      <w:numFmt w:val="bullet"/>
      <w:suff w:val="space"/>
      <w:lvlText w:val=""/>
      <w:lvlJc w:val="left"/>
      <w:pPr>
        <w:ind w:left="3621" w:hanging="360"/>
      </w:pPr>
      <w:rPr>
        <w:rFonts w:ascii="Symbol" w:hAnsi="Symbol"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6">
    <w:nsid w:val="76B55A91"/>
    <w:multiLevelType w:val="hybridMultilevel"/>
    <w:tmpl w:val="771E39FE"/>
    <w:lvl w:ilvl="0" w:tplc="19CACE9C">
      <w:start w:val="1"/>
      <w:numFmt w:val="bullet"/>
      <w:suff w:val="space"/>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E9"/>
    <w:rsid w:val="00310814"/>
    <w:rsid w:val="00317B84"/>
    <w:rsid w:val="00387510"/>
    <w:rsid w:val="00641985"/>
    <w:rsid w:val="008A37B8"/>
    <w:rsid w:val="008F75E9"/>
    <w:rsid w:val="00A76CD1"/>
    <w:rsid w:val="00D331C2"/>
    <w:rsid w:val="00D95050"/>
    <w:rsid w:val="00E827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E9"/>
    <w:pPr>
      <w:spacing w:before="0" w:after="0"/>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E9"/>
    <w:pPr>
      <w:spacing w:before="0" w:after="0"/>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2026-01-18T16:59:00Z</dcterms:created>
  <dcterms:modified xsi:type="dcterms:W3CDTF">2026-01-18T18:35:00Z</dcterms:modified>
</cp:coreProperties>
</file>