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134" w:rsidRPr="004D76B5" w:rsidRDefault="00164C65" w:rsidP="009F3134">
      <w:pPr>
        <w:spacing w:before="120" w:after="120" w:line="264" w:lineRule="auto"/>
        <w:jc w:val="center"/>
        <w:rPr>
          <w:rStyle w:val="Heading3Char1"/>
          <w:szCs w:val="28"/>
          <w:lang w:val="es-ES"/>
        </w:rPr>
      </w:pPr>
      <w:r>
        <w:rPr>
          <w:rStyle w:val="Heading3Char1"/>
          <w:szCs w:val="28"/>
          <w:lang w:val="es-ES"/>
        </w:rPr>
        <w:t>GIỚI THIỆU VỀ GÓI THẦU VÀ TIẾN ĐỘ YÊU CẦU</w:t>
      </w:r>
    </w:p>
    <w:p w:rsidR="009F3134" w:rsidRPr="004D76B5" w:rsidRDefault="009F3134" w:rsidP="009F3134">
      <w:pPr>
        <w:spacing w:before="120" w:after="120" w:line="264" w:lineRule="auto"/>
        <w:ind w:firstLine="720"/>
        <w:rPr>
          <w:i/>
          <w:sz w:val="28"/>
          <w:szCs w:val="28"/>
          <w:lang w:val="es-ES"/>
        </w:rPr>
      </w:pPr>
    </w:p>
    <w:p w:rsidR="009F3134" w:rsidRPr="004D76B5" w:rsidRDefault="009F3134" w:rsidP="009F3134">
      <w:pPr>
        <w:spacing w:before="60" w:after="60"/>
        <w:ind w:right="-279" w:firstLine="709"/>
        <w:rPr>
          <w:b/>
          <w:sz w:val="26"/>
          <w:szCs w:val="26"/>
          <w:lang w:val="vi-VN"/>
        </w:rPr>
      </w:pPr>
      <w:r w:rsidRPr="004D76B5">
        <w:rPr>
          <w:b/>
          <w:sz w:val="26"/>
          <w:szCs w:val="26"/>
          <w:lang w:val="vi-VN"/>
        </w:rPr>
        <w:t>I. Giới thiệu về gói thầu</w:t>
      </w:r>
    </w:p>
    <w:p w:rsidR="009F3134" w:rsidRPr="004D76B5" w:rsidRDefault="009F3134" w:rsidP="009F3134">
      <w:pPr>
        <w:spacing w:before="60" w:after="60"/>
        <w:ind w:right="-279" w:firstLine="709"/>
        <w:rPr>
          <w:sz w:val="26"/>
          <w:szCs w:val="26"/>
        </w:rPr>
      </w:pPr>
      <w:r w:rsidRPr="004D76B5">
        <w:rPr>
          <w:sz w:val="26"/>
          <w:szCs w:val="26"/>
          <w:lang w:val="vi-VN"/>
        </w:rPr>
        <w:t>1. Phạm vi công việc của gói thầu.</w:t>
      </w:r>
    </w:p>
    <w:p w:rsidR="009F3134" w:rsidRPr="004D76B5" w:rsidRDefault="009F3134" w:rsidP="009F3134">
      <w:pPr>
        <w:tabs>
          <w:tab w:val="left" w:pos="1080"/>
        </w:tabs>
        <w:spacing w:before="60" w:after="60"/>
        <w:ind w:right="-279" w:firstLine="709"/>
        <w:rPr>
          <w:sz w:val="26"/>
          <w:szCs w:val="26"/>
        </w:rPr>
      </w:pPr>
      <w:r w:rsidRPr="004D76B5">
        <w:rPr>
          <w:sz w:val="26"/>
          <w:szCs w:val="26"/>
        </w:rPr>
        <w:t>- Tên dự án: Đầu tư, cải tạo Khu điều trị nghiện ma túy tại huyện Xuyên Mộc.</w:t>
      </w:r>
    </w:p>
    <w:p w:rsidR="009F3134" w:rsidRPr="004D76B5" w:rsidRDefault="009F3134" w:rsidP="009F3134">
      <w:pPr>
        <w:tabs>
          <w:tab w:val="left" w:pos="1080"/>
        </w:tabs>
        <w:spacing w:before="60" w:after="60"/>
        <w:ind w:right="-279" w:firstLine="709"/>
        <w:rPr>
          <w:sz w:val="26"/>
          <w:szCs w:val="26"/>
        </w:rPr>
      </w:pPr>
      <w:r w:rsidRPr="004D76B5">
        <w:rPr>
          <w:sz w:val="26"/>
          <w:szCs w:val="26"/>
        </w:rPr>
        <w:t>- Loại, cấp công trình: công trình dân dụng, cấp III.</w:t>
      </w:r>
    </w:p>
    <w:p w:rsidR="009F3134" w:rsidRPr="004D76B5" w:rsidRDefault="009F3134" w:rsidP="009F3134">
      <w:pPr>
        <w:tabs>
          <w:tab w:val="left" w:pos="1080"/>
        </w:tabs>
        <w:spacing w:before="60" w:after="60"/>
        <w:ind w:right="-279" w:firstLine="709"/>
        <w:rPr>
          <w:sz w:val="26"/>
          <w:szCs w:val="26"/>
        </w:rPr>
      </w:pPr>
      <w:r w:rsidRPr="004D76B5">
        <w:rPr>
          <w:sz w:val="26"/>
          <w:szCs w:val="26"/>
        </w:rPr>
        <w:t>- Địa điểm xây dựng: Xã Hoà Hiệp, thành phố Hồ Chí Minh.</w:t>
      </w:r>
    </w:p>
    <w:p w:rsidR="009F3134" w:rsidRPr="004D76B5" w:rsidRDefault="009F3134" w:rsidP="009F3134">
      <w:pPr>
        <w:tabs>
          <w:tab w:val="left" w:pos="1080"/>
        </w:tabs>
        <w:spacing w:before="60" w:after="60"/>
        <w:ind w:right="-279" w:firstLine="709"/>
        <w:rPr>
          <w:sz w:val="26"/>
          <w:szCs w:val="26"/>
        </w:rPr>
      </w:pPr>
      <w:r w:rsidRPr="004D76B5">
        <w:rPr>
          <w:sz w:val="26"/>
          <w:szCs w:val="26"/>
        </w:rPr>
        <w:t>- Nguồn vốn: Ngân sách thành phố.</w:t>
      </w:r>
    </w:p>
    <w:p w:rsidR="009F3134" w:rsidRPr="004D76B5" w:rsidRDefault="009F3134" w:rsidP="009F3134">
      <w:pPr>
        <w:tabs>
          <w:tab w:val="left" w:pos="1080"/>
        </w:tabs>
        <w:spacing w:before="60" w:after="60"/>
        <w:ind w:right="-279" w:firstLine="709"/>
        <w:rPr>
          <w:b/>
          <w:sz w:val="26"/>
          <w:szCs w:val="26"/>
        </w:rPr>
      </w:pPr>
      <w:r w:rsidRPr="004D76B5">
        <w:rPr>
          <w:b/>
          <w:sz w:val="26"/>
          <w:szCs w:val="26"/>
        </w:rPr>
        <w:t>- Căn cứ pháp lý:</w:t>
      </w:r>
    </w:p>
    <w:p w:rsidR="009F3134" w:rsidRPr="004D76B5" w:rsidRDefault="009F3134" w:rsidP="009F3134">
      <w:pPr>
        <w:tabs>
          <w:tab w:val="left" w:pos="1080"/>
        </w:tabs>
        <w:spacing w:before="60" w:after="60"/>
        <w:ind w:right="-279" w:firstLine="709"/>
        <w:rPr>
          <w:sz w:val="26"/>
          <w:szCs w:val="26"/>
        </w:rPr>
      </w:pPr>
      <w:r w:rsidRPr="004D76B5">
        <w:rPr>
          <w:sz w:val="26"/>
          <w:szCs w:val="26"/>
        </w:rPr>
        <w:t>+ C</w:t>
      </w:r>
      <w:r w:rsidRPr="004D76B5">
        <w:rPr>
          <w:rFonts w:hint="eastAsia"/>
          <w:sz w:val="26"/>
          <w:szCs w:val="26"/>
        </w:rPr>
        <w:t>ă</w:t>
      </w:r>
      <w:r w:rsidRPr="004D76B5">
        <w:rPr>
          <w:sz w:val="26"/>
          <w:szCs w:val="26"/>
        </w:rPr>
        <w:t xml:space="preserve">n cứ Quyết </w:t>
      </w:r>
      <w:r w:rsidRPr="004D76B5">
        <w:rPr>
          <w:rFonts w:hint="eastAsia"/>
          <w:sz w:val="26"/>
          <w:szCs w:val="26"/>
        </w:rPr>
        <w:t>đ</w:t>
      </w:r>
      <w:r w:rsidRPr="004D76B5">
        <w:rPr>
          <w:sz w:val="26"/>
          <w:szCs w:val="26"/>
        </w:rPr>
        <w:t>ịnh số 2386/Q</w:t>
      </w:r>
      <w:r w:rsidRPr="004D76B5">
        <w:rPr>
          <w:rFonts w:hint="eastAsia"/>
          <w:sz w:val="26"/>
          <w:szCs w:val="26"/>
        </w:rPr>
        <w:t>Đ</w:t>
      </w:r>
      <w:r w:rsidRPr="004D76B5">
        <w:rPr>
          <w:sz w:val="26"/>
          <w:szCs w:val="26"/>
        </w:rPr>
        <w:t>-UBND ngày 06/9/2024 của UBND tỉnh Bà Rịa - Vũng Tàu (nay là UBND thành phố Hồ Chí Minh) về việc phê duyệt điều chỉnh dự án Đầu tư, cải tạo Khu điều trị nghiện ma túy tại huyện Xuyên Mộc;</w:t>
      </w:r>
    </w:p>
    <w:p w:rsidR="009F3134" w:rsidRPr="004D76B5" w:rsidRDefault="009F3134" w:rsidP="009F3134">
      <w:pPr>
        <w:tabs>
          <w:tab w:val="left" w:pos="1080"/>
        </w:tabs>
        <w:spacing w:before="60" w:after="60"/>
        <w:ind w:right="-279" w:firstLine="709"/>
        <w:rPr>
          <w:sz w:val="26"/>
          <w:szCs w:val="26"/>
        </w:rPr>
      </w:pPr>
      <w:r w:rsidRPr="004D76B5">
        <w:rPr>
          <w:sz w:val="26"/>
          <w:szCs w:val="26"/>
        </w:rPr>
        <w:t>+ Căn cứ Quyết định số 586/QĐ-UBND ngày 11/6/2025 của UBND tỉnh Bà Rịa - Vũng Tàu (nay là UBND thành phố Hồ Chí Minh) về việc phê duyệt điều chỉnh kế hoạch lựa chọn nhà thầu dự án: Đầu tư, cải tạo Khu điều trị nghiện ma túy tại huyện Xuyên Mộc;</w:t>
      </w:r>
    </w:p>
    <w:p w:rsidR="009F3134" w:rsidRPr="004D76B5" w:rsidRDefault="009F3134" w:rsidP="009F3134">
      <w:pPr>
        <w:tabs>
          <w:tab w:val="left" w:pos="1080"/>
        </w:tabs>
        <w:spacing w:before="60" w:after="60"/>
        <w:ind w:right="-279" w:firstLine="709"/>
        <w:rPr>
          <w:sz w:val="26"/>
          <w:szCs w:val="26"/>
        </w:rPr>
      </w:pPr>
      <w:r w:rsidRPr="004D76B5">
        <w:rPr>
          <w:sz w:val="26"/>
          <w:szCs w:val="26"/>
        </w:rPr>
        <w:t xml:space="preserve">+ Căn cứ Quyết định số 817/QĐ-CAT-PH10 ngày 21/4/2025 của Công an tỉnh Bà Rịa - Vũng Tàu (nay là Công an thành phố Hồ Chí Minh) về việc phê duyệt thiết kế bản vẽ thi công và tổng dự toán (giai đoạn bổ sung) xây dựng công trình Đầu tư, cải tạo Khu điều trị nghiện ma túy tại huyện Xuyên Mộc; </w:t>
      </w:r>
    </w:p>
    <w:p w:rsidR="009F3134" w:rsidRPr="004D76B5" w:rsidRDefault="009F3134" w:rsidP="009F3134">
      <w:pPr>
        <w:tabs>
          <w:tab w:val="left" w:pos="1080"/>
        </w:tabs>
        <w:spacing w:before="60" w:after="60"/>
        <w:ind w:right="-279" w:firstLine="709"/>
        <w:rPr>
          <w:sz w:val="26"/>
          <w:szCs w:val="26"/>
        </w:rPr>
      </w:pPr>
      <w:r w:rsidRPr="004D76B5">
        <w:rPr>
          <w:sz w:val="26"/>
          <w:szCs w:val="26"/>
        </w:rPr>
        <w:t>+ Căn cứ Quyết định số 362/QĐ-CATP-PH10 ngày 10/11/2025 của Công an thành phố Hồ Chí Minh về việc phê duyệt điều chỉnh dự toán các gói thầu 25,26,27 thuộc dự án Đầu tư, cải tạo Khu điều trị nghiện ma túy tại huyện Xuyên Mộc;</w:t>
      </w:r>
    </w:p>
    <w:p w:rsidR="009F3134" w:rsidRPr="004D76B5" w:rsidRDefault="009F3134" w:rsidP="009F3134">
      <w:pPr>
        <w:tabs>
          <w:tab w:val="left" w:pos="1080"/>
        </w:tabs>
        <w:spacing w:before="60" w:after="60"/>
        <w:ind w:right="-279" w:firstLine="709"/>
        <w:rPr>
          <w:sz w:val="26"/>
          <w:szCs w:val="26"/>
        </w:rPr>
      </w:pPr>
      <w:r w:rsidRPr="004D76B5">
        <w:rPr>
          <w:sz w:val="26"/>
          <w:szCs w:val="26"/>
        </w:rPr>
        <w:t>* Mục tiêu đầu tư: Đầu tư xây dựng Hệ thống xử lý nước thải tập trung với công suất 263m3/ngày đêm.</w:t>
      </w:r>
    </w:p>
    <w:p w:rsidR="009F3134" w:rsidRPr="004D76B5" w:rsidRDefault="009F3134" w:rsidP="009F3134">
      <w:pPr>
        <w:tabs>
          <w:tab w:val="left" w:pos="1080"/>
        </w:tabs>
        <w:spacing w:before="60" w:after="60"/>
        <w:ind w:right="-279" w:firstLine="709"/>
        <w:rPr>
          <w:b/>
          <w:bCs/>
          <w:sz w:val="26"/>
          <w:szCs w:val="26"/>
        </w:rPr>
      </w:pPr>
      <w:r w:rsidRPr="004D76B5">
        <w:rPr>
          <w:sz w:val="26"/>
          <w:szCs w:val="26"/>
        </w:rPr>
        <w:t xml:space="preserve">* </w:t>
      </w:r>
      <w:r w:rsidRPr="004D76B5">
        <w:rPr>
          <w:b/>
          <w:bCs/>
          <w:sz w:val="26"/>
          <w:szCs w:val="26"/>
        </w:rPr>
        <w:t xml:space="preserve">Quy mô đầu tư gói thầu: </w:t>
      </w:r>
    </w:p>
    <w:p w:rsidR="009F3134" w:rsidRPr="004D76B5" w:rsidRDefault="009F3134" w:rsidP="009F3134">
      <w:pPr>
        <w:tabs>
          <w:tab w:val="left" w:pos="1080"/>
        </w:tabs>
        <w:spacing w:before="60" w:after="60"/>
        <w:ind w:right="-279" w:firstLine="709"/>
        <w:rPr>
          <w:sz w:val="26"/>
          <w:szCs w:val="26"/>
        </w:rPr>
      </w:pPr>
      <w:r w:rsidRPr="004D76B5">
        <w:rPr>
          <w:b/>
          <w:bCs/>
          <w:sz w:val="26"/>
          <w:szCs w:val="26"/>
        </w:rPr>
        <w:t>Khu xử lý nước thải G:</w:t>
      </w:r>
    </w:p>
    <w:p w:rsidR="009F3134" w:rsidRPr="004D76B5" w:rsidRDefault="009F3134" w:rsidP="009F3134">
      <w:pPr>
        <w:pStyle w:val="BodyText"/>
        <w:numPr>
          <w:ilvl w:val="0"/>
          <w:numId w:val="1"/>
        </w:numPr>
        <w:tabs>
          <w:tab w:val="left" w:pos="993"/>
        </w:tabs>
        <w:suppressAutoHyphens w:val="0"/>
        <w:spacing w:before="60" w:after="60"/>
        <w:ind w:left="0" w:right="-279" w:firstLine="709"/>
        <w:rPr>
          <w:bCs/>
          <w:sz w:val="26"/>
          <w:szCs w:val="26"/>
        </w:rPr>
      </w:pPr>
      <w:r w:rsidRPr="004D76B5">
        <w:rPr>
          <w:bCs/>
          <w:sz w:val="26"/>
          <w:szCs w:val="26"/>
        </w:rPr>
        <w:t>Xây mới bể g2: Kết cấu bể bê tông cốt thép đá 1x2 M300(B22.5) có phụ gia bền sunfat;</w:t>
      </w:r>
    </w:p>
    <w:p w:rsidR="009F3134" w:rsidRPr="004D76B5" w:rsidRDefault="009F3134" w:rsidP="009F3134">
      <w:pPr>
        <w:pStyle w:val="BodyText"/>
        <w:numPr>
          <w:ilvl w:val="0"/>
          <w:numId w:val="1"/>
        </w:numPr>
        <w:tabs>
          <w:tab w:val="left" w:pos="993"/>
        </w:tabs>
        <w:suppressAutoHyphens w:val="0"/>
        <w:spacing w:before="60" w:after="60"/>
        <w:ind w:left="0" w:right="-279" w:firstLine="709"/>
        <w:rPr>
          <w:bCs/>
          <w:sz w:val="26"/>
          <w:szCs w:val="26"/>
        </w:rPr>
      </w:pPr>
      <w:r w:rsidRPr="004D76B5">
        <w:rPr>
          <w:bCs/>
          <w:sz w:val="26"/>
          <w:szCs w:val="26"/>
        </w:rPr>
        <w:t>Khu để chất thải nguy hại: Kết cấu móng, cổ móng, đá kiềng btct đá 1x2 M250(B20). Xây tường gạch không nung cao 500, bả ma tít, sơn nước hoàn thiện. Nền bê tông đá 1x2 M200(B15) dày 100 lăn rulo nhám mặt;</w:t>
      </w:r>
    </w:p>
    <w:p w:rsidR="009F3134" w:rsidRPr="004D76B5" w:rsidRDefault="009F3134" w:rsidP="009F3134">
      <w:pPr>
        <w:pStyle w:val="BodyText"/>
        <w:numPr>
          <w:ilvl w:val="0"/>
          <w:numId w:val="1"/>
        </w:numPr>
        <w:tabs>
          <w:tab w:val="left" w:pos="993"/>
        </w:tabs>
        <w:suppressAutoHyphens w:val="0"/>
        <w:spacing w:before="60" w:after="60"/>
        <w:ind w:left="0" w:right="-279" w:firstLine="709"/>
        <w:rPr>
          <w:bCs/>
          <w:sz w:val="26"/>
          <w:szCs w:val="26"/>
        </w:rPr>
      </w:pPr>
      <w:r w:rsidRPr="004D76B5">
        <w:rPr>
          <w:bCs/>
          <w:sz w:val="26"/>
          <w:szCs w:val="26"/>
        </w:rPr>
        <w:t>Khu vực điều hành hoá chất &amp; thiết bị: Kết cấu móng, cổ móng, đá kiềng btct đá 1x2 M250(B20). Xây tường gạch không nung cao 500, bả ma tít, sơn nước hoàn thiện. Nền N1 bê tông đá 1x2 M200(B15) dày 100 lăn rulo nhám mặt, Nền N lát gạch granit 600x600;</w:t>
      </w:r>
    </w:p>
    <w:p w:rsidR="009F3134" w:rsidRPr="004D76B5" w:rsidRDefault="009F3134" w:rsidP="009F3134">
      <w:pPr>
        <w:pStyle w:val="BodyText"/>
        <w:numPr>
          <w:ilvl w:val="0"/>
          <w:numId w:val="1"/>
        </w:numPr>
        <w:tabs>
          <w:tab w:val="left" w:pos="993"/>
        </w:tabs>
        <w:suppressAutoHyphens w:val="0"/>
        <w:spacing w:before="60" w:after="60"/>
        <w:ind w:left="0" w:right="-279" w:firstLine="709"/>
        <w:rPr>
          <w:bCs/>
          <w:sz w:val="26"/>
          <w:szCs w:val="26"/>
        </w:rPr>
      </w:pPr>
      <w:r w:rsidRPr="004D76B5">
        <w:rPr>
          <w:bCs/>
          <w:sz w:val="26"/>
          <w:szCs w:val="26"/>
        </w:rPr>
        <w:t>Rác thải sinh hoạt: Nền btct đá 1x2 M150(B12.5) dày 100, giằng btct đá 1x2 M200(B15). Xây tường gạch không nung cao 500.</w:t>
      </w:r>
    </w:p>
    <w:p w:rsidR="009F3134" w:rsidRPr="00227D65" w:rsidRDefault="009F3134" w:rsidP="009F3134">
      <w:pPr>
        <w:spacing w:before="60" w:after="60"/>
        <w:ind w:right="-279" w:firstLine="709"/>
        <w:rPr>
          <w:b/>
          <w:sz w:val="26"/>
          <w:szCs w:val="26"/>
        </w:rPr>
      </w:pPr>
      <w:r>
        <w:rPr>
          <w:b/>
          <w:sz w:val="26"/>
          <w:szCs w:val="26"/>
        </w:rPr>
        <w:t>- CHI PHÍ DỰ PHÒNG: Chi phí dự phòng với giá trị 300.000.000 VND</w:t>
      </w:r>
      <w:r w:rsidRPr="00227D65">
        <w:rPr>
          <w:b/>
          <w:sz w:val="26"/>
          <w:szCs w:val="26"/>
        </w:rPr>
        <w:t> là khoản mục nằm trong giá gói thầu, thuộc quản lý của chủ đầu tư và chỉ được sử dụng cho các phát sinh ngoài hợp đồng. Nhà thầu không có quyền hưởng khoản chi phí này nếu không có khối lượng phát sinh, vì đây là nguồn chi để giải quyết những rủi ro không lường trước trong quá trình thực hiện dự án</w:t>
      </w:r>
      <w:r>
        <w:rPr>
          <w:b/>
          <w:sz w:val="26"/>
          <w:szCs w:val="26"/>
        </w:rPr>
        <w:t xml:space="preserve"> (nhà thầu có trách nhiệm chào thầu đúng giá trị 300.000.000 VND</w:t>
      </w:r>
      <w:r w:rsidRPr="00227D65">
        <w:rPr>
          <w:b/>
          <w:sz w:val="26"/>
          <w:szCs w:val="26"/>
        </w:rPr>
        <w:t> </w:t>
      </w:r>
      <w:r>
        <w:rPr>
          <w:b/>
          <w:sz w:val="26"/>
          <w:szCs w:val="26"/>
        </w:rPr>
        <w:t>trong bảng dự toán dự thầu).</w:t>
      </w:r>
    </w:p>
    <w:p w:rsidR="009F3134" w:rsidRPr="004D76B5" w:rsidRDefault="009F3134" w:rsidP="009F3134">
      <w:pPr>
        <w:widowControl w:val="0"/>
        <w:spacing w:before="60" w:after="60" w:line="264" w:lineRule="auto"/>
        <w:ind w:right="-279" w:firstLine="709"/>
        <w:rPr>
          <w:sz w:val="26"/>
          <w:szCs w:val="26"/>
        </w:rPr>
      </w:pPr>
      <w:r w:rsidRPr="004D76B5">
        <w:rPr>
          <w:sz w:val="26"/>
          <w:szCs w:val="26"/>
          <w:lang w:val="vi-VN"/>
        </w:rPr>
        <w:lastRenderedPageBreak/>
        <w:t>2. Thời hạn hoàn thành</w:t>
      </w:r>
      <w:r w:rsidRPr="004D76B5">
        <w:rPr>
          <w:sz w:val="26"/>
          <w:szCs w:val="26"/>
        </w:rPr>
        <w:t xml:space="preserve">: </w:t>
      </w:r>
      <w:r w:rsidRPr="004D76B5">
        <w:rPr>
          <w:b/>
          <w:sz w:val="26"/>
          <w:szCs w:val="26"/>
        </w:rPr>
        <w:t>06 tháng.</w:t>
      </w:r>
    </w:p>
    <w:p w:rsidR="009F3134" w:rsidRPr="004D76B5" w:rsidRDefault="009F3134" w:rsidP="009F3134">
      <w:pPr>
        <w:widowControl w:val="0"/>
        <w:spacing w:before="60" w:after="60" w:line="264" w:lineRule="auto"/>
        <w:ind w:right="-279" w:firstLine="709"/>
        <w:rPr>
          <w:sz w:val="26"/>
          <w:szCs w:val="26"/>
          <w:lang w:val="es-ES"/>
        </w:rPr>
      </w:pPr>
      <w:r w:rsidRPr="004D76B5">
        <w:rPr>
          <w:sz w:val="26"/>
          <w:szCs w:val="26"/>
          <w:lang w:val="es-ES"/>
        </w:rPr>
        <w:t xml:space="preserve">Nêu yêu cầu về thời gian từ khi khởi công </w:t>
      </w:r>
      <w:r w:rsidRPr="004D76B5">
        <w:rPr>
          <w:rFonts w:eastAsia="Calibri"/>
          <w:kern w:val="24"/>
          <w:sz w:val="26"/>
          <w:szCs w:val="26"/>
          <w:lang w:val="vi-VN" w:eastAsia="vi-VN"/>
        </w:rPr>
        <w:t>đến</w:t>
      </w:r>
      <w:r w:rsidRPr="004D76B5">
        <w:rPr>
          <w:sz w:val="26"/>
          <w:szCs w:val="26"/>
          <w:lang w:val="es-ES"/>
        </w:rPr>
        <w:t xml:space="preserve"> khi hoàn thành hợp đồng theo ngày/tuần/tháng.</w:t>
      </w:r>
    </w:p>
    <w:p w:rsidR="009F3134" w:rsidRPr="004D76B5" w:rsidRDefault="009F3134" w:rsidP="009F3134">
      <w:pPr>
        <w:widowControl w:val="0"/>
        <w:spacing w:before="60" w:after="60" w:line="264" w:lineRule="auto"/>
        <w:ind w:right="-279" w:firstLine="709"/>
        <w:rPr>
          <w:sz w:val="26"/>
          <w:szCs w:val="26"/>
          <w:lang w:val="es-ES"/>
        </w:rPr>
      </w:pPr>
      <w:r w:rsidRPr="004D76B5">
        <w:rPr>
          <w:sz w:val="26"/>
          <w:szCs w:val="26"/>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9F3134" w:rsidRPr="004D76B5" w:rsidTr="0085486F">
        <w:trPr>
          <w:trHeight w:val="552"/>
        </w:trPr>
        <w:tc>
          <w:tcPr>
            <w:tcW w:w="992" w:type="dxa"/>
            <w:shd w:val="clear" w:color="auto" w:fill="auto"/>
            <w:vAlign w:val="center"/>
          </w:tcPr>
          <w:p w:rsidR="009F3134" w:rsidRPr="004D76B5" w:rsidRDefault="009F3134" w:rsidP="0085486F">
            <w:pPr>
              <w:widowControl w:val="0"/>
              <w:spacing w:before="60" w:after="60" w:line="264" w:lineRule="auto"/>
              <w:ind w:right="-279"/>
              <w:jc w:val="center"/>
              <w:rPr>
                <w:b/>
                <w:sz w:val="26"/>
                <w:szCs w:val="26"/>
                <w:lang w:val="en-GB"/>
              </w:rPr>
            </w:pPr>
            <w:r w:rsidRPr="004D76B5">
              <w:rPr>
                <w:b/>
                <w:sz w:val="26"/>
                <w:szCs w:val="26"/>
              </w:rPr>
              <w:t>STT</w:t>
            </w:r>
          </w:p>
        </w:tc>
        <w:tc>
          <w:tcPr>
            <w:tcW w:w="2904" w:type="dxa"/>
            <w:shd w:val="clear" w:color="auto" w:fill="auto"/>
            <w:vAlign w:val="center"/>
          </w:tcPr>
          <w:p w:rsidR="009F3134" w:rsidRPr="004D76B5" w:rsidRDefault="009F3134" w:rsidP="0085486F">
            <w:pPr>
              <w:widowControl w:val="0"/>
              <w:spacing w:before="60" w:after="60" w:line="264" w:lineRule="auto"/>
              <w:ind w:right="-279"/>
              <w:jc w:val="center"/>
              <w:rPr>
                <w:b/>
                <w:sz w:val="26"/>
                <w:szCs w:val="26"/>
              </w:rPr>
            </w:pPr>
            <w:r w:rsidRPr="004D76B5">
              <w:rPr>
                <w:b/>
                <w:sz w:val="26"/>
                <w:szCs w:val="26"/>
              </w:rPr>
              <w:t>Hạng mục công trình</w:t>
            </w:r>
          </w:p>
        </w:tc>
        <w:tc>
          <w:tcPr>
            <w:tcW w:w="2289" w:type="dxa"/>
            <w:shd w:val="clear" w:color="auto" w:fill="auto"/>
            <w:vAlign w:val="center"/>
          </w:tcPr>
          <w:p w:rsidR="009F3134" w:rsidRPr="004D76B5" w:rsidRDefault="009F3134" w:rsidP="0085486F">
            <w:pPr>
              <w:widowControl w:val="0"/>
              <w:spacing w:before="60" w:after="60" w:line="264" w:lineRule="auto"/>
              <w:ind w:right="-279"/>
              <w:jc w:val="center"/>
              <w:rPr>
                <w:b/>
                <w:sz w:val="26"/>
                <w:szCs w:val="26"/>
              </w:rPr>
            </w:pPr>
            <w:r w:rsidRPr="004D76B5">
              <w:rPr>
                <w:b/>
                <w:sz w:val="26"/>
                <w:szCs w:val="26"/>
              </w:rPr>
              <w:t>Ngày bắt đầu</w:t>
            </w:r>
          </w:p>
        </w:tc>
        <w:tc>
          <w:tcPr>
            <w:tcW w:w="2806" w:type="dxa"/>
            <w:shd w:val="clear" w:color="auto" w:fill="auto"/>
            <w:vAlign w:val="center"/>
          </w:tcPr>
          <w:p w:rsidR="009F3134" w:rsidRPr="004D76B5" w:rsidRDefault="009F3134" w:rsidP="0085486F">
            <w:pPr>
              <w:widowControl w:val="0"/>
              <w:spacing w:before="60" w:after="60" w:line="264" w:lineRule="auto"/>
              <w:ind w:right="-279"/>
              <w:jc w:val="center"/>
              <w:rPr>
                <w:b/>
                <w:sz w:val="26"/>
                <w:szCs w:val="26"/>
                <w:lang w:val="en-GB"/>
              </w:rPr>
            </w:pPr>
            <w:r w:rsidRPr="004D76B5">
              <w:rPr>
                <w:b/>
                <w:sz w:val="26"/>
                <w:szCs w:val="26"/>
              </w:rPr>
              <w:t>Ngày hoàn thành</w:t>
            </w:r>
          </w:p>
        </w:tc>
      </w:tr>
      <w:tr w:rsidR="009F3134" w:rsidRPr="004D76B5" w:rsidTr="0085486F">
        <w:tc>
          <w:tcPr>
            <w:tcW w:w="992" w:type="dxa"/>
            <w:shd w:val="clear" w:color="auto" w:fill="auto"/>
          </w:tcPr>
          <w:p w:rsidR="009F3134" w:rsidRPr="004D76B5" w:rsidRDefault="009F3134" w:rsidP="0085486F">
            <w:pPr>
              <w:widowControl w:val="0"/>
              <w:spacing w:before="60" w:after="60" w:line="264" w:lineRule="auto"/>
              <w:ind w:right="-279"/>
              <w:jc w:val="center"/>
              <w:rPr>
                <w:sz w:val="26"/>
                <w:szCs w:val="26"/>
                <w:lang w:val="en-GB"/>
              </w:rPr>
            </w:pPr>
            <w:r w:rsidRPr="004D76B5">
              <w:rPr>
                <w:sz w:val="26"/>
                <w:szCs w:val="26"/>
                <w:lang w:val="en-GB"/>
              </w:rPr>
              <w:t>1</w:t>
            </w:r>
          </w:p>
        </w:tc>
        <w:tc>
          <w:tcPr>
            <w:tcW w:w="2904" w:type="dxa"/>
            <w:shd w:val="clear" w:color="auto" w:fill="auto"/>
          </w:tcPr>
          <w:p w:rsidR="009F3134" w:rsidRPr="004D76B5" w:rsidRDefault="009F3134" w:rsidP="0085486F">
            <w:pPr>
              <w:widowControl w:val="0"/>
              <w:spacing w:before="60" w:after="60" w:line="264" w:lineRule="auto"/>
              <w:ind w:right="-279"/>
              <w:rPr>
                <w:sz w:val="26"/>
                <w:szCs w:val="26"/>
                <w:lang w:val="en-GB"/>
              </w:rPr>
            </w:pPr>
          </w:p>
        </w:tc>
        <w:tc>
          <w:tcPr>
            <w:tcW w:w="2289" w:type="dxa"/>
            <w:shd w:val="clear" w:color="auto" w:fill="auto"/>
          </w:tcPr>
          <w:p w:rsidR="009F3134" w:rsidRPr="004D76B5" w:rsidRDefault="009F3134" w:rsidP="0085486F">
            <w:pPr>
              <w:widowControl w:val="0"/>
              <w:spacing w:before="60" w:after="60" w:line="264" w:lineRule="auto"/>
              <w:ind w:right="-279"/>
              <w:rPr>
                <w:sz w:val="26"/>
                <w:szCs w:val="26"/>
                <w:lang w:val="en-GB"/>
              </w:rPr>
            </w:pPr>
          </w:p>
        </w:tc>
        <w:tc>
          <w:tcPr>
            <w:tcW w:w="2806" w:type="dxa"/>
            <w:shd w:val="clear" w:color="auto" w:fill="auto"/>
          </w:tcPr>
          <w:p w:rsidR="009F3134" w:rsidRPr="004D76B5" w:rsidRDefault="009F3134" w:rsidP="0085486F">
            <w:pPr>
              <w:widowControl w:val="0"/>
              <w:spacing w:before="60" w:after="60" w:line="264" w:lineRule="auto"/>
              <w:ind w:right="-279"/>
              <w:rPr>
                <w:sz w:val="26"/>
                <w:szCs w:val="26"/>
                <w:lang w:val="en-GB"/>
              </w:rPr>
            </w:pPr>
          </w:p>
        </w:tc>
      </w:tr>
      <w:tr w:rsidR="009F3134" w:rsidRPr="004D76B5" w:rsidTr="0085486F">
        <w:tc>
          <w:tcPr>
            <w:tcW w:w="992" w:type="dxa"/>
            <w:shd w:val="clear" w:color="auto" w:fill="auto"/>
          </w:tcPr>
          <w:p w:rsidR="009F3134" w:rsidRPr="004D76B5" w:rsidRDefault="009F3134" w:rsidP="0085486F">
            <w:pPr>
              <w:widowControl w:val="0"/>
              <w:spacing w:before="60" w:after="60" w:line="264" w:lineRule="auto"/>
              <w:ind w:right="-279"/>
              <w:jc w:val="center"/>
              <w:rPr>
                <w:sz w:val="26"/>
                <w:szCs w:val="26"/>
                <w:lang w:val="en-GB"/>
              </w:rPr>
            </w:pPr>
            <w:r w:rsidRPr="004D76B5">
              <w:rPr>
                <w:sz w:val="26"/>
                <w:szCs w:val="26"/>
                <w:lang w:val="en-GB"/>
              </w:rPr>
              <w:t>2</w:t>
            </w:r>
          </w:p>
        </w:tc>
        <w:tc>
          <w:tcPr>
            <w:tcW w:w="2904" w:type="dxa"/>
            <w:shd w:val="clear" w:color="auto" w:fill="auto"/>
          </w:tcPr>
          <w:p w:rsidR="009F3134" w:rsidRPr="004D76B5" w:rsidRDefault="009F3134" w:rsidP="0085486F">
            <w:pPr>
              <w:widowControl w:val="0"/>
              <w:spacing w:before="60" w:after="60" w:line="264" w:lineRule="auto"/>
              <w:ind w:right="-279"/>
              <w:rPr>
                <w:sz w:val="26"/>
                <w:szCs w:val="26"/>
                <w:lang w:val="en-GB"/>
              </w:rPr>
            </w:pPr>
          </w:p>
        </w:tc>
        <w:tc>
          <w:tcPr>
            <w:tcW w:w="2289" w:type="dxa"/>
            <w:shd w:val="clear" w:color="auto" w:fill="auto"/>
          </w:tcPr>
          <w:p w:rsidR="009F3134" w:rsidRPr="004D76B5" w:rsidRDefault="009F3134" w:rsidP="0085486F">
            <w:pPr>
              <w:widowControl w:val="0"/>
              <w:spacing w:before="60" w:after="60" w:line="264" w:lineRule="auto"/>
              <w:ind w:right="-279"/>
              <w:rPr>
                <w:sz w:val="26"/>
                <w:szCs w:val="26"/>
                <w:lang w:val="en-GB"/>
              </w:rPr>
            </w:pPr>
          </w:p>
        </w:tc>
        <w:tc>
          <w:tcPr>
            <w:tcW w:w="2806" w:type="dxa"/>
            <w:shd w:val="clear" w:color="auto" w:fill="auto"/>
          </w:tcPr>
          <w:p w:rsidR="009F3134" w:rsidRPr="004D76B5" w:rsidRDefault="009F3134" w:rsidP="0085486F">
            <w:pPr>
              <w:widowControl w:val="0"/>
              <w:spacing w:before="60" w:after="60" w:line="264" w:lineRule="auto"/>
              <w:ind w:right="-279"/>
              <w:rPr>
                <w:sz w:val="26"/>
                <w:szCs w:val="26"/>
                <w:lang w:val="en-GB"/>
              </w:rPr>
            </w:pPr>
          </w:p>
        </w:tc>
      </w:tr>
      <w:tr w:rsidR="009F3134" w:rsidRPr="004D76B5" w:rsidTr="0085486F">
        <w:tc>
          <w:tcPr>
            <w:tcW w:w="992" w:type="dxa"/>
            <w:shd w:val="clear" w:color="auto" w:fill="auto"/>
          </w:tcPr>
          <w:p w:rsidR="009F3134" w:rsidRPr="004D76B5" w:rsidRDefault="009F3134" w:rsidP="0085486F">
            <w:pPr>
              <w:widowControl w:val="0"/>
              <w:spacing w:before="60" w:after="60" w:line="264" w:lineRule="auto"/>
              <w:ind w:right="-279"/>
              <w:jc w:val="center"/>
              <w:rPr>
                <w:sz w:val="26"/>
                <w:szCs w:val="26"/>
                <w:lang w:val="en-GB"/>
              </w:rPr>
            </w:pPr>
            <w:r w:rsidRPr="004D76B5">
              <w:rPr>
                <w:sz w:val="26"/>
                <w:szCs w:val="26"/>
                <w:lang w:val="en-GB"/>
              </w:rPr>
              <w:t>3</w:t>
            </w:r>
          </w:p>
        </w:tc>
        <w:tc>
          <w:tcPr>
            <w:tcW w:w="2904" w:type="dxa"/>
            <w:shd w:val="clear" w:color="auto" w:fill="auto"/>
          </w:tcPr>
          <w:p w:rsidR="009F3134" w:rsidRPr="004D76B5" w:rsidRDefault="009F3134" w:rsidP="0085486F">
            <w:pPr>
              <w:widowControl w:val="0"/>
              <w:spacing w:before="60" w:after="60" w:line="264" w:lineRule="auto"/>
              <w:ind w:right="-279"/>
              <w:rPr>
                <w:sz w:val="26"/>
                <w:szCs w:val="26"/>
                <w:lang w:val="en-GB"/>
              </w:rPr>
            </w:pPr>
          </w:p>
        </w:tc>
        <w:tc>
          <w:tcPr>
            <w:tcW w:w="2289" w:type="dxa"/>
            <w:shd w:val="clear" w:color="auto" w:fill="auto"/>
          </w:tcPr>
          <w:p w:rsidR="009F3134" w:rsidRPr="004D76B5" w:rsidRDefault="009F3134" w:rsidP="0085486F">
            <w:pPr>
              <w:widowControl w:val="0"/>
              <w:spacing w:before="60" w:after="60" w:line="264" w:lineRule="auto"/>
              <w:ind w:right="-279"/>
              <w:rPr>
                <w:sz w:val="26"/>
                <w:szCs w:val="26"/>
                <w:lang w:val="en-GB"/>
              </w:rPr>
            </w:pPr>
          </w:p>
        </w:tc>
        <w:tc>
          <w:tcPr>
            <w:tcW w:w="2806" w:type="dxa"/>
            <w:shd w:val="clear" w:color="auto" w:fill="auto"/>
          </w:tcPr>
          <w:p w:rsidR="009F3134" w:rsidRPr="004D76B5" w:rsidRDefault="009F3134" w:rsidP="0085486F">
            <w:pPr>
              <w:widowControl w:val="0"/>
              <w:spacing w:before="60" w:after="60" w:line="264" w:lineRule="auto"/>
              <w:ind w:right="-279"/>
              <w:rPr>
                <w:sz w:val="26"/>
                <w:szCs w:val="26"/>
                <w:lang w:val="en-GB"/>
              </w:rPr>
            </w:pPr>
          </w:p>
        </w:tc>
      </w:tr>
      <w:tr w:rsidR="009F3134" w:rsidRPr="004D76B5" w:rsidTr="0085486F">
        <w:tc>
          <w:tcPr>
            <w:tcW w:w="992" w:type="dxa"/>
            <w:shd w:val="clear" w:color="auto" w:fill="auto"/>
          </w:tcPr>
          <w:p w:rsidR="009F3134" w:rsidRPr="004D76B5" w:rsidRDefault="009F3134" w:rsidP="0085486F">
            <w:pPr>
              <w:widowControl w:val="0"/>
              <w:spacing w:before="60" w:after="60" w:line="264" w:lineRule="auto"/>
              <w:ind w:right="-279"/>
              <w:jc w:val="center"/>
              <w:rPr>
                <w:sz w:val="26"/>
                <w:szCs w:val="26"/>
                <w:lang w:val="en-GB"/>
              </w:rPr>
            </w:pPr>
            <w:r w:rsidRPr="004D76B5">
              <w:rPr>
                <w:sz w:val="26"/>
                <w:szCs w:val="26"/>
                <w:lang w:val="en-GB"/>
              </w:rPr>
              <w:t>…</w:t>
            </w:r>
          </w:p>
        </w:tc>
        <w:tc>
          <w:tcPr>
            <w:tcW w:w="2904" w:type="dxa"/>
            <w:shd w:val="clear" w:color="auto" w:fill="auto"/>
          </w:tcPr>
          <w:p w:rsidR="009F3134" w:rsidRPr="004D76B5" w:rsidRDefault="009F3134" w:rsidP="0085486F">
            <w:pPr>
              <w:widowControl w:val="0"/>
              <w:spacing w:before="60" w:after="60" w:line="264" w:lineRule="auto"/>
              <w:ind w:right="-279"/>
              <w:rPr>
                <w:sz w:val="26"/>
                <w:szCs w:val="26"/>
                <w:lang w:val="en-GB"/>
              </w:rPr>
            </w:pPr>
          </w:p>
        </w:tc>
        <w:tc>
          <w:tcPr>
            <w:tcW w:w="2289" w:type="dxa"/>
            <w:shd w:val="clear" w:color="auto" w:fill="auto"/>
          </w:tcPr>
          <w:p w:rsidR="009F3134" w:rsidRPr="004D76B5" w:rsidRDefault="009F3134" w:rsidP="0085486F">
            <w:pPr>
              <w:widowControl w:val="0"/>
              <w:spacing w:before="60" w:after="60" w:line="264" w:lineRule="auto"/>
              <w:ind w:right="-279"/>
              <w:rPr>
                <w:sz w:val="26"/>
                <w:szCs w:val="26"/>
                <w:lang w:val="en-GB"/>
              </w:rPr>
            </w:pPr>
          </w:p>
        </w:tc>
        <w:tc>
          <w:tcPr>
            <w:tcW w:w="2806" w:type="dxa"/>
            <w:shd w:val="clear" w:color="auto" w:fill="auto"/>
          </w:tcPr>
          <w:p w:rsidR="009F3134" w:rsidRPr="004D76B5" w:rsidRDefault="009F3134" w:rsidP="0085486F">
            <w:pPr>
              <w:widowControl w:val="0"/>
              <w:spacing w:before="60" w:after="60" w:line="264" w:lineRule="auto"/>
              <w:ind w:right="-279"/>
              <w:rPr>
                <w:sz w:val="26"/>
                <w:szCs w:val="26"/>
                <w:lang w:val="en-GB"/>
              </w:rPr>
            </w:pPr>
          </w:p>
        </w:tc>
      </w:tr>
    </w:tbl>
    <w:p w:rsidR="009F3134" w:rsidRPr="004D76B5" w:rsidRDefault="009F3134" w:rsidP="009F3134">
      <w:pPr>
        <w:widowControl w:val="0"/>
        <w:spacing w:before="60" w:after="60" w:line="264" w:lineRule="auto"/>
        <w:ind w:right="-279" w:firstLine="709"/>
        <w:rPr>
          <w:spacing w:val="-4"/>
          <w:sz w:val="26"/>
          <w:szCs w:val="26"/>
        </w:rPr>
      </w:pPr>
      <w:r w:rsidRPr="004D76B5">
        <w:rPr>
          <w:spacing w:val="-4"/>
          <w:sz w:val="26"/>
          <w:szCs w:val="26"/>
        </w:rPr>
        <w:t>Thời hạn hoàn thành và tiến độ thi công:</w:t>
      </w:r>
    </w:p>
    <w:p w:rsidR="009F3134" w:rsidRPr="004D76B5" w:rsidRDefault="009F3134" w:rsidP="009F3134">
      <w:pPr>
        <w:widowControl w:val="0"/>
        <w:spacing w:before="60" w:after="60" w:line="264" w:lineRule="auto"/>
        <w:ind w:right="-279" w:firstLine="709"/>
        <w:rPr>
          <w:spacing w:val="-4"/>
          <w:sz w:val="26"/>
          <w:szCs w:val="26"/>
        </w:rPr>
      </w:pPr>
      <w:r w:rsidRPr="004D76B5">
        <w:rPr>
          <w:spacing w:val="-4"/>
          <w:sz w:val="26"/>
          <w:szCs w:val="26"/>
        </w:rPr>
        <w:t>- Thời hạn hoàn thành là một tiêu chuẩn xét thầu. Do vậy nhà thầu phải hoàn thành công trình đúng thời hạn. Thời hạn hoàn thành công trình được ghi trong đơn dự thầu như là một văn bản pháp lý chính thức và được Chủ đầu tư chấp thuận ghi trong thông báo trúng thầu.</w:t>
      </w:r>
    </w:p>
    <w:p w:rsidR="009F3134" w:rsidRPr="004D76B5" w:rsidRDefault="009F3134" w:rsidP="009F3134">
      <w:pPr>
        <w:widowControl w:val="0"/>
        <w:spacing w:before="60" w:after="60" w:line="264" w:lineRule="auto"/>
        <w:ind w:right="-279" w:firstLine="709"/>
        <w:rPr>
          <w:spacing w:val="-4"/>
          <w:sz w:val="26"/>
          <w:szCs w:val="26"/>
        </w:rPr>
      </w:pPr>
      <w:r w:rsidRPr="004D76B5">
        <w:rPr>
          <w:spacing w:val="-4"/>
          <w:sz w:val="26"/>
          <w:szCs w:val="26"/>
        </w:rPr>
        <w:t xml:space="preserve">- Tiến độ thi công: Thời gian hoàn thành công trình tính từ lúc khởi công đến khi kết thúc hoàn thành toàn bộ các hạng mục công trình cho phép là 06 tháng. Chậm nhất là 7 ngày sau khi có thông báo trúng thầu nhà thầu phải trình nộp tiến độ thi công chi tiết thay cho tiến độ dự kiến cho Chủ đầu tư. </w:t>
      </w:r>
    </w:p>
    <w:p w:rsidR="006959DB" w:rsidRPr="00164C65" w:rsidRDefault="009F3134" w:rsidP="00164C65">
      <w:pPr>
        <w:widowControl w:val="0"/>
        <w:spacing w:before="60" w:after="60" w:line="264" w:lineRule="auto"/>
        <w:ind w:right="-279" w:firstLine="709"/>
        <w:rPr>
          <w:spacing w:val="-4"/>
          <w:sz w:val="26"/>
          <w:szCs w:val="26"/>
        </w:rPr>
      </w:pPr>
      <w:r w:rsidRPr="004D76B5">
        <w:rPr>
          <w:spacing w:val="-4"/>
          <w:sz w:val="26"/>
          <w:szCs w:val="26"/>
        </w:rPr>
        <w:t>- Sửa đổi tiến độ thi công: Vào bất cứ lúc nào nếu giám sát kỹ thuật nhận thấy tiến độ thi công thực tế của công trình không phù hợp với tiến độ thi công đã xác định thì giám sát yêu cầu nhà thầu phải đưa ra tiến độ thi công sửa đổi bổ sung cần thiết để đảm bảo thi công công trình đúng thời hạn của hợp đồng.</w:t>
      </w:r>
      <w:bookmarkStart w:id="0" w:name="_GoBack"/>
      <w:bookmarkEnd w:id="0"/>
    </w:p>
    <w:sectPr w:rsidR="006959DB" w:rsidRPr="00164C65" w:rsidSect="00B66509">
      <w:pgSz w:w="11907" w:h="16840" w:code="9"/>
      <w:pgMar w:top="993" w:right="1440" w:bottom="1440" w:left="1440" w:header="805" w:footer="482" w:gutter="0"/>
      <w:cols w:space="720"/>
      <w:titlePg/>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14907"/>
    <w:multiLevelType w:val="hybridMultilevel"/>
    <w:tmpl w:val="C02032AA"/>
    <w:lvl w:ilvl="0" w:tplc="5DF28430">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drawingGridHorizontalSpacing w:val="130"/>
  <w:drawingGridVerticalSpacing w:val="177"/>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134"/>
    <w:rsid w:val="00164C65"/>
    <w:rsid w:val="0038223F"/>
    <w:rsid w:val="004F01F3"/>
    <w:rsid w:val="006959DB"/>
    <w:rsid w:val="009F3134"/>
    <w:rsid w:val="00B6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0A853"/>
  <w15:chartTrackingRefBased/>
  <w15:docId w15:val="{EEDD5EBE-3FB2-495B-9F23-58AE77929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134"/>
    <w:pPr>
      <w:spacing w:after="0" w:line="240" w:lineRule="auto"/>
      <w:jc w:val="both"/>
    </w:pPr>
    <w:rPr>
      <w:rFonts w:ascii="Times New Roman" w:eastAsia="Times New Roman" w:hAnsi="Times New Roman" w:cs="Times New Roman"/>
      <w:sz w:val="24"/>
      <w:szCs w:val="20"/>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9F3134"/>
    <w:pPr>
      <w:suppressAutoHyphens/>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uiPriority w:val="9"/>
    <w:semiHidden/>
    <w:rsid w:val="009F3134"/>
    <w:rPr>
      <w:rFonts w:asciiTheme="majorHAnsi" w:eastAsiaTheme="majorEastAsia" w:hAnsiTheme="majorHAnsi" w:cstheme="majorBidi"/>
      <w:color w:val="1F4D78" w:themeColor="accent1" w:themeShade="7F"/>
      <w:sz w:val="24"/>
      <w:szCs w:val="24"/>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
    <w:link w:val="Heading3"/>
    <w:rsid w:val="009F3134"/>
    <w:rPr>
      <w:rFonts w:ascii="Times New Roman" w:eastAsia="Times New Roman" w:hAnsi="Times New Roman" w:cs="Times New Roman"/>
      <w:b/>
      <w:sz w:val="28"/>
      <w:szCs w:val="20"/>
    </w:rPr>
  </w:style>
  <w:style w:type="paragraph" w:styleId="BodyText">
    <w:name w:val="Body Text"/>
    <w:basedOn w:val="Normal"/>
    <w:link w:val="BodyTextChar"/>
    <w:rsid w:val="009F3134"/>
    <w:pPr>
      <w:suppressAutoHyphens/>
      <w:ind w:right="-72"/>
    </w:pPr>
    <w:rPr>
      <w:spacing w:val="-4"/>
    </w:rPr>
  </w:style>
  <w:style w:type="character" w:customStyle="1" w:styleId="BodyTextChar">
    <w:name w:val="Body Text Char"/>
    <w:basedOn w:val="DefaultParagraphFont"/>
    <w:link w:val="BodyText"/>
    <w:rsid w:val="009F3134"/>
    <w:rPr>
      <w:rFonts w:ascii="Times New Roman" w:eastAsia="Times New Roman" w:hAnsi="Times New Roman" w:cs="Times New Roman"/>
      <w:spacing w:val="-4"/>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Tam</dc:creator>
  <cp:keywords/>
  <dc:description/>
  <cp:lastModifiedBy>Jenny</cp:lastModifiedBy>
  <cp:revision>2</cp:revision>
  <dcterms:created xsi:type="dcterms:W3CDTF">2025-12-03T09:14:00Z</dcterms:created>
  <dcterms:modified xsi:type="dcterms:W3CDTF">2025-12-03T14:50:00Z</dcterms:modified>
</cp:coreProperties>
</file>