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3D11" w14:textId="77777777" w:rsidR="006F2378" w:rsidRPr="006F2378" w:rsidRDefault="006F2378" w:rsidP="006F2378">
      <w:pPr>
        <w:pStyle w:val="Heading1"/>
        <w:spacing w:before="80"/>
        <w:jc w:val="center"/>
        <w:rPr>
          <w:rFonts w:ascii="Times New Roman" w:hAnsi="Times New Roman"/>
          <w:color w:val="auto"/>
          <w:sz w:val="28"/>
          <w:szCs w:val="28"/>
          <w:lang w:val="es-ES"/>
        </w:rPr>
      </w:pPr>
      <w:bookmarkStart w:id="0" w:name="_Toc154510932"/>
      <w:r w:rsidRPr="006F2378">
        <w:rPr>
          <w:rFonts w:ascii="Times New Roman" w:hAnsi="Times New Roman"/>
          <w:color w:val="auto"/>
          <w:sz w:val="28"/>
          <w:szCs w:val="28"/>
          <w:lang w:val="it-IT"/>
        </w:rPr>
        <w:t xml:space="preserve">PHẦN 2. ĐIỀU </w:t>
      </w:r>
      <w:r w:rsidRPr="006F2378">
        <w:rPr>
          <w:rFonts w:ascii="Times New Roman" w:hAnsi="Times New Roman"/>
          <w:color w:val="auto"/>
          <w:sz w:val="28"/>
          <w:szCs w:val="28"/>
          <w:lang w:val="es-ES"/>
        </w:rPr>
        <w:t>KHOẢN THAM CHIẾU</w:t>
      </w:r>
      <w:bookmarkEnd w:id="0"/>
    </w:p>
    <w:p w14:paraId="56CD8C9E" w14:textId="77777777" w:rsidR="006F2378" w:rsidRPr="006F2378" w:rsidRDefault="006F2378" w:rsidP="006F2378">
      <w:pPr>
        <w:pStyle w:val="Heading1"/>
        <w:spacing w:before="80"/>
        <w:jc w:val="center"/>
        <w:rPr>
          <w:rFonts w:ascii="Times New Roman" w:hAnsi="Times New Roman"/>
          <w:color w:val="auto"/>
          <w:sz w:val="28"/>
          <w:szCs w:val="28"/>
          <w:lang w:val="es-ES"/>
        </w:rPr>
      </w:pPr>
      <w:bookmarkStart w:id="1" w:name="_Toc154510933"/>
      <w:r w:rsidRPr="006F2378">
        <w:rPr>
          <w:rFonts w:ascii="Times New Roman" w:hAnsi="Times New Roman"/>
          <w:color w:val="auto"/>
          <w:sz w:val="28"/>
          <w:szCs w:val="28"/>
          <w:lang w:val="es-ES"/>
        </w:rPr>
        <w:t>CHƯƠNG V. ĐIỀU KHOẢN THAM CHIẾU</w:t>
      </w:r>
      <w:bookmarkEnd w:id="1"/>
    </w:p>
    <w:p w14:paraId="26986244" w14:textId="77777777" w:rsidR="006F2378" w:rsidRPr="00B311F5" w:rsidRDefault="006F2378" w:rsidP="006F2378">
      <w:pPr>
        <w:spacing w:before="60" w:after="60"/>
        <w:ind w:firstLine="720"/>
        <w:rPr>
          <w:bCs/>
          <w:i/>
          <w:iCs/>
          <w:sz w:val="28"/>
          <w:szCs w:val="28"/>
          <w:lang w:val="it-IT"/>
        </w:rPr>
      </w:pPr>
    </w:p>
    <w:p w14:paraId="3EFE8E83" w14:textId="77777777" w:rsidR="006F2378" w:rsidRPr="00B311F5" w:rsidRDefault="006F2378" w:rsidP="006F2378">
      <w:pPr>
        <w:spacing w:before="60" w:after="60"/>
        <w:ind w:firstLine="720"/>
        <w:rPr>
          <w:i/>
          <w:iCs/>
          <w:sz w:val="28"/>
          <w:szCs w:val="28"/>
          <w:lang w:val="it-IT"/>
        </w:rPr>
      </w:pPr>
      <w:r w:rsidRPr="00B311F5">
        <w:rPr>
          <w:bCs/>
          <w:i/>
          <w:iCs/>
          <w:sz w:val="28"/>
          <w:szCs w:val="28"/>
          <w:lang w:val="it-IT"/>
        </w:rPr>
        <w:t>“Điều khoản tham chiếu" bao gồm những nội dung chủ yếu sau:</w:t>
      </w:r>
    </w:p>
    <w:p w14:paraId="46AE2031" w14:textId="77777777" w:rsidR="006F2378" w:rsidRPr="00B311F5" w:rsidRDefault="006F2378" w:rsidP="006F2378">
      <w:pPr>
        <w:spacing w:before="120" w:line="288" w:lineRule="auto"/>
        <w:ind w:firstLine="720"/>
        <w:rPr>
          <w:b/>
          <w:bCs/>
          <w:sz w:val="28"/>
          <w:szCs w:val="28"/>
          <w:lang w:val="it-IT"/>
        </w:rPr>
      </w:pPr>
      <w:r w:rsidRPr="00B311F5">
        <w:rPr>
          <w:b/>
          <w:sz w:val="28"/>
          <w:szCs w:val="28"/>
          <w:lang w:val="it-IT"/>
        </w:rPr>
        <w:t>I. Giới thiệu:</w:t>
      </w:r>
    </w:p>
    <w:p w14:paraId="2115C128" w14:textId="77777777" w:rsidR="006F2378" w:rsidRPr="00B311F5" w:rsidRDefault="006F2378" w:rsidP="006F2378">
      <w:pPr>
        <w:spacing w:before="120" w:line="288" w:lineRule="auto"/>
        <w:ind w:firstLine="720"/>
        <w:rPr>
          <w:bCs/>
          <w:iCs/>
          <w:sz w:val="28"/>
          <w:szCs w:val="28"/>
          <w:lang w:val="it-IT"/>
        </w:rPr>
      </w:pPr>
      <w:r w:rsidRPr="00B311F5">
        <w:rPr>
          <w:bCs/>
          <w:iCs/>
          <w:sz w:val="28"/>
          <w:szCs w:val="28"/>
          <w:lang w:val="it-IT"/>
        </w:rPr>
        <w:t>1. Khái quát về dự toán mua sắm và gói thầu.</w:t>
      </w:r>
    </w:p>
    <w:p w14:paraId="5A9FEEB3" w14:textId="77777777" w:rsidR="006F2378" w:rsidRPr="00B311F5" w:rsidRDefault="006F2378" w:rsidP="006F2378">
      <w:pPr>
        <w:spacing w:before="120" w:line="288" w:lineRule="auto"/>
        <w:ind w:firstLine="720"/>
        <w:rPr>
          <w:bCs/>
          <w:iCs/>
          <w:sz w:val="28"/>
          <w:szCs w:val="28"/>
          <w:lang w:val="it-IT"/>
        </w:rPr>
      </w:pPr>
      <w:r w:rsidRPr="00B311F5">
        <w:rPr>
          <w:bCs/>
          <w:iCs/>
          <w:sz w:val="28"/>
          <w:szCs w:val="28"/>
          <w:lang w:val="it-IT"/>
        </w:rPr>
        <w:t>Tên gói thầu: Xây dựng hệ thống đánh giá thực hiện công việc.</w:t>
      </w:r>
    </w:p>
    <w:p w14:paraId="44953AB2" w14:textId="77777777" w:rsidR="006F2378" w:rsidRPr="00B311F5" w:rsidRDefault="006F2378" w:rsidP="006F2378">
      <w:pPr>
        <w:spacing w:before="120" w:line="288" w:lineRule="auto"/>
        <w:ind w:firstLine="720"/>
        <w:rPr>
          <w:bCs/>
          <w:iCs/>
          <w:sz w:val="28"/>
          <w:szCs w:val="28"/>
          <w:lang w:val="it-IT"/>
        </w:rPr>
      </w:pPr>
      <w:r w:rsidRPr="00B311F5">
        <w:rPr>
          <w:bCs/>
          <w:iCs/>
          <w:sz w:val="28"/>
          <w:szCs w:val="28"/>
          <w:lang w:val="it-IT"/>
        </w:rPr>
        <w:t>Tên dự toán mua sắm: Xây dựng hệ thống đánh giá thực hiện công việc.</w:t>
      </w:r>
    </w:p>
    <w:p w14:paraId="2BF98732" w14:textId="77777777" w:rsidR="006F2378" w:rsidRPr="00B311F5" w:rsidRDefault="006F2378" w:rsidP="006F2378">
      <w:pPr>
        <w:spacing w:before="120" w:line="288" w:lineRule="auto"/>
        <w:ind w:firstLine="720"/>
        <w:rPr>
          <w:bCs/>
          <w:iCs/>
          <w:sz w:val="28"/>
          <w:szCs w:val="28"/>
          <w:lang w:val="it-IT"/>
        </w:rPr>
      </w:pPr>
      <w:r w:rsidRPr="00B311F5">
        <w:rPr>
          <w:bCs/>
          <w:iCs/>
          <w:sz w:val="28"/>
          <w:szCs w:val="28"/>
          <w:lang w:val="it-IT"/>
        </w:rPr>
        <w:t>Chủ đầu tư: Ngân hàng Phát triển Việt Nam</w:t>
      </w:r>
    </w:p>
    <w:p w14:paraId="1EC45C69" w14:textId="77777777" w:rsidR="006F2378" w:rsidRPr="00B311F5" w:rsidRDefault="006F2378" w:rsidP="006F2378">
      <w:pPr>
        <w:spacing w:before="120" w:line="288" w:lineRule="auto"/>
        <w:ind w:firstLine="720"/>
        <w:rPr>
          <w:bCs/>
          <w:iCs/>
          <w:sz w:val="28"/>
          <w:szCs w:val="28"/>
          <w:lang w:val="it-IT"/>
        </w:rPr>
      </w:pPr>
      <w:r w:rsidRPr="00B311F5">
        <w:rPr>
          <w:bCs/>
          <w:iCs/>
          <w:sz w:val="28"/>
          <w:szCs w:val="28"/>
          <w:lang w:val="it-IT"/>
        </w:rPr>
        <w:t>Nguồn vốn: Chi quản lý năm 2025, 2026 của Ngân hàng Phát triển Việt Nam</w:t>
      </w:r>
    </w:p>
    <w:p w14:paraId="6E19FA6A" w14:textId="77777777" w:rsidR="006F2378" w:rsidRPr="00B311F5" w:rsidRDefault="006F2378" w:rsidP="006F2378">
      <w:pPr>
        <w:spacing w:before="120" w:line="288" w:lineRule="auto"/>
        <w:ind w:firstLine="720"/>
        <w:rPr>
          <w:bCs/>
          <w:iCs/>
          <w:sz w:val="28"/>
          <w:szCs w:val="28"/>
          <w:lang w:val="it-IT"/>
        </w:rPr>
      </w:pPr>
      <w:r w:rsidRPr="00B311F5">
        <w:rPr>
          <w:bCs/>
          <w:iCs/>
          <w:sz w:val="28"/>
          <w:szCs w:val="28"/>
          <w:lang w:val="it-IT"/>
        </w:rPr>
        <w:t>Hình thức lựa chọn nhà thầu: Đấu thầu rộng rãi qua mạng, trong nước.</w:t>
      </w:r>
    </w:p>
    <w:p w14:paraId="75A89F47" w14:textId="77777777" w:rsidR="006F2378" w:rsidRPr="00B311F5" w:rsidRDefault="006F2378" w:rsidP="006F2378">
      <w:pPr>
        <w:spacing w:before="120" w:line="288" w:lineRule="auto"/>
        <w:ind w:firstLine="720"/>
        <w:rPr>
          <w:bCs/>
          <w:iCs/>
          <w:sz w:val="28"/>
          <w:szCs w:val="28"/>
          <w:lang w:val="it-IT"/>
        </w:rPr>
      </w:pPr>
      <w:r w:rsidRPr="00B311F5">
        <w:rPr>
          <w:bCs/>
          <w:iCs/>
          <w:sz w:val="28"/>
          <w:szCs w:val="28"/>
          <w:lang w:val="it-IT"/>
        </w:rPr>
        <w:t>Phương thức lựa chọn nhà thầu: Một giai đoạn, hai túi hồ sơ.</w:t>
      </w:r>
    </w:p>
    <w:p w14:paraId="60F360D9" w14:textId="77777777" w:rsidR="006F2378" w:rsidRPr="00B311F5" w:rsidRDefault="006F2378" w:rsidP="006F2378">
      <w:pPr>
        <w:spacing w:before="120" w:line="288" w:lineRule="auto"/>
        <w:ind w:firstLine="720"/>
        <w:rPr>
          <w:bCs/>
          <w:iCs/>
          <w:sz w:val="28"/>
          <w:szCs w:val="28"/>
          <w:lang w:val="it-IT"/>
        </w:rPr>
      </w:pPr>
      <w:r w:rsidRPr="00B311F5">
        <w:rPr>
          <w:bCs/>
          <w:iCs/>
          <w:sz w:val="28"/>
          <w:szCs w:val="28"/>
          <w:lang w:val="it-IT"/>
        </w:rPr>
        <w:t>Thời gian thực hiện hợp đồng: 06 tháng.</w:t>
      </w:r>
    </w:p>
    <w:p w14:paraId="73D760FC" w14:textId="77777777" w:rsidR="006F2378" w:rsidRPr="00B311F5" w:rsidRDefault="006F2378" w:rsidP="006F2378">
      <w:pPr>
        <w:spacing w:before="120" w:line="288" w:lineRule="auto"/>
        <w:ind w:firstLine="720"/>
        <w:rPr>
          <w:bCs/>
          <w:iCs/>
          <w:sz w:val="28"/>
          <w:szCs w:val="28"/>
          <w:lang w:val="it-IT"/>
        </w:rPr>
      </w:pPr>
      <w:r w:rsidRPr="00B311F5">
        <w:rPr>
          <w:bCs/>
          <w:iCs/>
          <w:sz w:val="28"/>
          <w:szCs w:val="28"/>
          <w:lang w:val="it-IT"/>
        </w:rPr>
        <w:t>2. Mục đích tuyển chọn nhà thầu</w:t>
      </w:r>
    </w:p>
    <w:p w14:paraId="28B0A2ED" w14:textId="77777777" w:rsidR="006F2378" w:rsidRPr="00B311F5" w:rsidRDefault="006F2378" w:rsidP="006F2378">
      <w:pPr>
        <w:pStyle w:val="ListParagraph"/>
        <w:numPr>
          <w:ilvl w:val="0"/>
          <w:numId w:val="1"/>
        </w:numPr>
        <w:tabs>
          <w:tab w:val="left" w:pos="426"/>
          <w:tab w:val="left" w:pos="993"/>
        </w:tabs>
        <w:spacing w:before="120" w:line="288" w:lineRule="auto"/>
        <w:ind w:left="0" w:firstLine="709"/>
        <w:rPr>
          <w:rFonts w:eastAsia="Arial"/>
          <w:sz w:val="28"/>
          <w:szCs w:val="28"/>
          <w:lang w:val="vi-VN"/>
        </w:rPr>
      </w:pPr>
      <w:r w:rsidRPr="00B311F5">
        <w:rPr>
          <w:rFonts w:eastAsia="Arial"/>
          <w:sz w:val="28"/>
          <w:szCs w:val="28"/>
        </w:rPr>
        <w:t>Thiết lập</w:t>
      </w:r>
      <w:r w:rsidRPr="00B311F5">
        <w:rPr>
          <w:rFonts w:eastAsia="Arial"/>
          <w:sz w:val="28"/>
          <w:szCs w:val="28"/>
          <w:lang w:val="vi-VN"/>
        </w:rPr>
        <w:t xml:space="preserve"> hệ thống đánh giá</w:t>
      </w:r>
      <w:r w:rsidRPr="00B311F5">
        <w:rPr>
          <w:rFonts w:eastAsia="Arial"/>
          <w:sz w:val="28"/>
          <w:szCs w:val="28"/>
        </w:rPr>
        <w:t xml:space="preserve"> kết quả, hiệu quả</w:t>
      </w:r>
      <w:r w:rsidRPr="00B311F5">
        <w:rPr>
          <w:rFonts w:eastAsia="Arial"/>
          <w:sz w:val="28"/>
          <w:szCs w:val="28"/>
          <w:lang w:val="vi-VN"/>
        </w:rPr>
        <w:t xml:space="preserve"> thực hiện công việc</w:t>
      </w:r>
      <w:r w:rsidRPr="00B311F5">
        <w:rPr>
          <w:rFonts w:eastAsia="Arial"/>
          <w:sz w:val="28"/>
          <w:szCs w:val="28"/>
        </w:rPr>
        <w:t xml:space="preserve"> </w:t>
      </w:r>
      <w:r w:rsidRPr="00B311F5">
        <w:rPr>
          <w:rFonts w:eastAsia="Arial"/>
          <w:sz w:val="28"/>
          <w:szCs w:val="28"/>
          <w:lang w:val="vi-VN"/>
        </w:rPr>
        <w:t xml:space="preserve">trên cơ sở khoa học, khách quan, minh bạch, phù hợp với hoạt động của </w:t>
      </w:r>
      <w:r>
        <w:rPr>
          <w:rFonts w:eastAsia="Arial"/>
          <w:sz w:val="28"/>
          <w:szCs w:val="28"/>
          <w:lang w:val="en-GB"/>
        </w:rPr>
        <w:t xml:space="preserve">Ngân hàng Phát triển Việt Nam (VDB) </w:t>
      </w:r>
      <w:r w:rsidRPr="00B311F5">
        <w:rPr>
          <w:rFonts w:eastAsia="Arial"/>
          <w:sz w:val="28"/>
          <w:szCs w:val="28"/>
          <w:lang w:val="vi-VN"/>
        </w:rPr>
        <w:t>và của từng đơn vị, cá nhân.</w:t>
      </w:r>
    </w:p>
    <w:p w14:paraId="1B672FD9" w14:textId="77777777" w:rsidR="006F2378" w:rsidRPr="00B311F5" w:rsidRDefault="006F2378" w:rsidP="006F2378">
      <w:pPr>
        <w:pStyle w:val="ListParagraph"/>
        <w:numPr>
          <w:ilvl w:val="0"/>
          <w:numId w:val="1"/>
        </w:numPr>
        <w:tabs>
          <w:tab w:val="left" w:pos="426"/>
          <w:tab w:val="left" w:pos="993"/>
        </w:tabs>
        <w:spacing w:before="120" w:line="288" w:lineRule="auto"/>
        <w:ind w:left="0" w:firstLine="709"/>
        <w:rPr>
          <w:rFonts w:eastAsia="Arial"/>
          <w:sz w:val="28"/>
          <w:szCs w:val="28"/>
        </w:rPr>
      </w:pPr>
      <w:r w:rsidRPr="00B311F5">
        <w:rPr>
          <w:rFonts w:eastAsia="Arial"/>
          <w:sz w:val="28"/>
          <w:szCs w:val="28"/>
          <w:lang w:val="vi-VN"/>
        </w:rPr>
        <w:t>Tăng cường hiệu quả quản trị nguồn nhân lực, làm căn cứ trả lương, thưởng</w:t>
      </w:r>
      <w:r w:rsidRPr="00B311F5">
        <w:rPr>
          <w:rFonts w:eastAsia="Arial"/>
          <w:sz w:val="28"/>
          <w:szCs w:val="28"/>
        </w:rPr>
        <w:t xml:space="preserve"> và các vấn đề quản trị nhân sự khác.</w:t>
      </w:r>
    </w:p>
    <w:p w14:paraId="60A351D3" w14:textId="77777777" w:rsidR="006F2378" w:rsidRPr="00B311F5" w:rsidRDefault="006F2378" w:rsidP="006F2378">
      <w:pPr>
        <w:spacing w:before="120" w:line="288" w:lineRule="auto"/>
        <w:ind w:firstLine="720"/>
        <w:rPr>
          <w:b/>
          <w:sz w:val="28"/>
          <w:szCs w:val="28"/>
        </w:rPr>
      </w:pPr>
      <w:r w:rsidRPr="00B311F5">
        <w:rPr>
          <w:b/>
          <w:sz w:val="28"/>
          <w:szCs w:val="28"/>
        </w:rPr>
        <w:t xml:space="preserve">II. Phạm vi công việc </w:t>
      </w:r>
    </w:p>
    <w:p w14:paraId="7486FC1E" w14:textId="77777777" w:rsidR="006F2378" w:rsidRPr="00B311F5" w:rsidRDefault="006F2378" w:rsidP="006F2378">
      <w:pPr>
        <w:spacing w:before="120" w:line="288" w:lineRule="auto"/>
        <w:ind w:firstLine="720"/>
        <w:contextualSpacing/>
        <w:rPr>
          <w:rFonts w:eastAsia="Arial"/>
          <w:b/>
          <w:sz w:val="28"/>
          <w:szCs w:val="28"/>
        </w:rPr>
      </w:pPr>
      <w:r w:rsidRPr="00B311F5">
        <w:rPr>
          <w:rFonts w:eastAsia="Arial"/>
          <w:b/>
          <w:sz w:val="28"/>
          <w:szCs w:val="28"/>
        </w:rPr>
        <w:t>1. Phạm vi công việc đối với nhà thầu</w:t>
      </w:r>
    </w:p>
    <w:p w14:paraId="7982FD63" w14:textId="77777777" w:rsidR="006F2378" w:rsidRPr="00B311F5" w:rsidRDefault="006F2378" w:rsidP="006F2378">
      <w:pPr>
        <w:spacing w:before="120" w:line="288" w:lineRule="auto"/>
        <w:ind w:firstLine="720"/>
        <w:contextualSpacing/>
        <w:rPr>
          <w:rFonts w:eastAsia="Arial"/>
          <w:bCs/>
          <w:sz w:val="28"/>
          <w:szCs w:val="28"/>
        </w:rPr>
      </w:pPr>
      <w:r w:rsidRPr="00B311F5">
        <w:rPr>
          <w:rFonts w:eastAsia="Arial"/>
          <w:bCs/>
          <w:sz w:val="28"/>
          <w:szCs w:val="28"/>
        </w:rPr>
        <w:t>Triển khai toàn hệ thống VDB theo các thông tin như sau:</w:t>
      </w:r>
    </w:p>
    <w:p w14:paraId="313FADC9" w14:textId="77777777" w:rsidR="006F2378" w:rsidRPr="00B311F5" w:rsidRDefault="006F2378" w:rsidP="006F2378">
      <w:pPr>
        <w:spacing w:before="120" w:line="288" w:lineRule="auto"/>
        <w:ind w:firstLine="720"/>
        <w:rPr>
          <w:rFonts w:eastAsia="Arial"/>
          <w:sz w:val="28"/>
          <w:szCs w:val="28"/>
          <w:lang w:val="vi-VN"/>
        </w:rPr>
      </w:pPr>
      <w:r w:rsidRPr="00B311F5">
        <w:rPr>
          <w:rFonts w:eastAsia="Arial"/>
          <w:sz w:val="28"/>
          <w:szCs w:val="28"/>
        </w:rPr>
        <w:t>1</w:t>
      </w:r>
      <w:r w:rsidRPr="00B311F5">
        <w:rPr>
          <w:rFonts w:eastAsia="Arial"/>
          <w:sz w:val="28"/>
          <w:szCs w:val="28"/>
          <w:lang w:val="vi-VN"/>
        </w:rPr>
        <w:t>.1. Số lượng đơn vị:</w:t>
      </w:r>
    </w:p>
    <w:p w14:paraId="72FAC45E" w14:textId="77777777" w:rsidR="006F2378" w:rsidRPr="00B311F5" w:rsidRDefault="006F2378" w:rsidP="006F2378">
      <w:pPr>
        <w:pStyle w:val="ListParagraph"/>
        <w:tabs>
          <w:tab w:val="left" w:pos="993"/>
        </w:tabs>
        <w:spacing w:before="120" w:line="288" w:lineRule="auto"/>
        <w:ind w:left="0" w:firstLine="709"/>
        <w:contextualSpacing w:val="0"/>
        <w:rPr>
          <w:rFonts w:eastAsia="Arial"/>
          <w:sz w:val="28"/>
          <w:szCs w:val="28"/>
          <w:lang w:val="vi-VN"/>
        </w:rPr>
      </w:pPr>
      <w:r w:rsidRPr="00B311F5">
        <w:rPr>
          <w:rFonts w:eastAsia="Arial"/>
          <w:sz w:val="28"/>
          <w:szCs w:val="28"/>
          <w:lang w:val="vi-VN"/>
        </w:rPr>
        <w:t>- Trụ sở chính gồm: 1</w:t>
      </w:r>
      <w:r w:rsidRPr="00B311F5">
        <w:rPr>
          <w:rFonts w:eastAsia="Arial"/>
          <w:sz w:val="28"/>
          <w:szCs w:val="28"/>
          <w:lang w:val="en-GB"/>
        </w:rPr>
        <w:t>3</w:t>
      </w:r>
      <w:r w:rsidRPr="00B311F5">
        <w:rPr>
          <w:rFonts w:eastAsia="Arial"/>
          <w:sz w:val="28"/>
          <w:szCs w:val="28"/>
          <w:lang w:val="vi-VN"/>
        </w:rPr>
        <w:t xml:space="preserve"> Ban/Văn phòng/Trung tâm nghiệp vụ; </w:t>
      </w:r>
      <w:r w:rsidRPr="00B311F5">
        <w:rPr>
          <w:rFonts w:eastAsia="Arial"/>
          <w:sz w:val="28"/>
          <w:szCs w:val="28"/>
          <w:lang w:val="en-GB"/>
        </w:rPr>
        <w:t>04</w:t>
      </w:r>
      <w:r w:rsidRPr="00B311F5">
        <w:rPr>
          <w:rFonts w:eastAsia="Arial"/>
          <w:sz w:val="28"/>
          <w:szCs w:val="28"/>
          <w:lang w:val="vi-VN"/>
        </w:rPr>
        <w:t xml:space="preserve"> bộ phận tham mưu giúp việc Hội đồng quản trị, Ban Kiểm soát; 04 cơ quan tham mưu giúp việc Đảng ủy </w:t>
      </w:r>
      <w:r w:rsidRPr="00B311F5">
        <w:rPr>
          <w:rFonts w:eastAsia="Arial"/>
          <w:sz w:val="28"/>
          <w:szCs w:val="28"/>
          <w:lang w:val="en-GB"/>
        </w:rPr>
        <w:t>VDB</w:t>
      </w:r>
      <w:r w:rsidRPr="00B311F5">
        <w:rPr>
          <w:rFonts w:eastAsia="Arial"/>
          <w:sz w:val="28"/>
          <w:szCs w:val="28"/>
          <w:lang w:val="vi-VN"/>
        </w:rPr>
        <w:t xml:space="preserve"> và 01 Văn phòng Công đoàn </w:t>
      </w:r>
      <w:r w:rsidRPr="00B311F5">
        <w:rPr>
          <w:rFonts w:eastAsia="Arial"/>
          <w:sz w:val="28"/>
          <w:szCs w:val="28"/>
          <w:lang w:val="en-GB"/>
        </w:rPr>
        <w:t>VDB</w:t>
      </w:r>
      <w:r w:rsidRPr="00B311F5">
        <w:rPr>
          <w:rFonts w:eastAsia="Arial"/>
          <w:sz w:val="28"/>
          <w:szCs w:val="28"/>
          <w:lang w:val="vi-VN"/>
        </w:rPr>
        <w:t>.</w:t>
      </w:r>
    </w:p>
    <w:p w14:paraId="194C4DE0" w14:textId="77777777" w:rsidR="006F2378" w:rsidRPr="00B311F5" w:rsidRDefault="006F2378" w:rsidP="006F2378">
      <w:pPr>
        <w:pStyle w:val="ListParagraph"/>
        <w:tabs>
          <w:tab w:val="left" w:pos="993"/>
        </w:tabs>
        <w:spacing w:before="120" w:line="288" w:lineRule="auto"/>
        <w:ind w:left="0" w:firstLine="709"/>
        <w:contextualSpacing w:val="0"/>
        <w:rPr>
          <w:rFonts w:eastAsia="Arial"/>
          <w:sz w:val="28"/>
          <w:szCs w:val="28"/>
          <w:lang w:val="vi-VN"/>
        </w:rPr>
      </w:pPr>
      <w:r w:rsidRPr="00B311F5">
        <w:rPr>
          <w:rFonts w:eastAsia="Arial"/>
          <w:sz w:val="28"/>
          <w:szCs w:val="28"/>
          <w:lang w:val="vi-VN"/>
        </w:rPr>
        <w:t>- Chi nhánh, Sở giao dịch gồm: 02 Sở giao dịch và 27 Chi nhánh.</w:t>
      </w:r>
    </w:p>
    <w:p w14:paraId="1F544A71" w14:textId="77777777" w:rsidR="006F2378" w:rsidRPr="00B311F5" w:rsidRDefault="006F2378" w:rsidP="006F2378">
      <w:pPr>
        <w:spacing w:before="120" w:line="288" w:lineRule="auto"/>
        <w:ind w:firstLine="720"/>
        <w:rPr>
          <w:rFonts w:eastAsia="Arial"/>
          <w:sz w:val="28"/>
          <w:szCs w:val="28"/>
          <w:lang w:val="vi-VN"/>
        </w:rPr>
      </w:pPr>
      <w:r w:rsidRPr="00B311F5">
        <w:rPr>
          <w:rFonts w:eastAsia="Arial"/>
          <w:sz w:val="28"/>
          <w:szCs w:val="28"/>
        </w:rPr>
        <w:t>1</w:t>
      </w:r>
      <w:r w:rsidRPr="00B311F5">
        <w:rPr>
          <w:rFonts w:eastAsia="Arial"/>
          <w:sz w:val="28"/>
          <w:szCs w:val="28"/>
          <w:lang w:val="vi-VN"/>
        </w:rPr>
        <w:t xml:space="preserve">.2. Số lượng cán bộ: </w:t>
      </w:r>
    </w:p>
    <w:p w14:paraId="7FB89023" w14:textId="77777777" w:rsidR="006F2378" w:rsidRPr="00B311F5" w:rsidRDefault="006F2378" w:rsidP="006F2378">
      <w:pPr>
        <w:spacing w:before="120" w:line="288" w:lineRule="auto"/>
        <w:ind w:firstLine="720"/>
        <w:rPr>
          <w:rFonts w:eastAsia="Arial"/>
          <w:sz w:val="28"/>
          <w:szCs w:val="28"/>
          <w:lang w:val="vi-VN"/>
        </w:rPr>
      </w:pPr>
      <w:r w:rsidRPr="00B311F5">
        <w:rPr>
          <w:rFonts w:eastAsia="Arial"/>
          <w:sz w:val="28"/>
          <w:szCs w:val="28"/>
          <w:lang w:val="vi-VN"/>
        </w:rPr>
        <w:t>Số lượng cán bộ trong toàn hệ thống khoảng: 1.900 người, trong đó tại Trụ sở chính: khoảng 400 người; Sở giao dịch và chi nhánh: khoảng 1.500 người.</w:t>
      </w:r>
    </w:p>
    <w:p w14:paraId="667E8CAB" w14:textId="77777777" w:rsidR="006F2378" w:rsidRPr="00B311F5" w:rsidRDefault="006F2378" w:rsidP="006F2378">
      <w:pPr>
        <w:spacing w:before="120" w:line="288" w:lineRule="auto"/>
        <w:ind w:firstLine="720"/>
        <w:rPr>
          <w:rFonts w:eastAsia="Arial"/>
          <w:sz w:val="28"/>
          <w:szCs w:val="28"/>
        </w:rPr>
      </w:pPr>
      <w:r w:rsidRPr="00B311F5">
        <w:rPr>
          <w:rFonts w:eastAsia="Arial"/>
          <w:sz w:val="28"/>
          <w:szCs w:val="28"/>
        </w:rPr>
        <w:t>1.3. Số lượng vị trí việc làm: khoảng 300 vị trí.</w:t>
      </w:r>
    </w:p>
    <w:p w14:paraId="1FE76300" w14:textId="77777777" w:rsidR="006F2378" w:rsidRPr="00B311F5" w:rsidRDefault="006F2378" w:rsidP="006F2378">
      <w:pPr>
        <w:spacing w:before="120" w:line="288" w:lineRule="auto"/>
        <w:ind w:firstLine="720"/>
        <w:rPr>
          <w:b/>
          <w:sz w:val="28"/>
          <w:szCs w:val="28"/>
        </w:rPr>
      </w:pPr>
      <w:r w:rsidRPr="00B311F5">
        <w:rPr>
          <w:b/>
          <w:sz w:val="28"/>
          <w:szCs w:val="28"/>
        </w:rPr>
        <w:lastRenderedPageBreak/>
        <w:t xml:space="preserve">2. Các nhiệm vụ cụ thể do nhà thầu phải tiến hành trong thời gian thực hiện gói thầu tư vấn:  </w:t>
      </w:r>
    </w:p>
    <w:p w14:paraId="0ACDB98A" w14:textId="77777777" w:rsidR="006F2378" w:rsidRPr="00B311F5" w:rsidRDefault="006F2378" w:rsidP="006F2378">
      <w:pPr>
        <w:pStyle w:val="ListParagraph"/>
        <w:numPr>
          <w:ilvl w:val="0"/>
          <w:numId w:val="3"/>
        </w:numPr>
        <w:tabs>
          <w:tab w:val="left" w:pos="993"/>
        </w:tabs>
        <w:spacing w:before="120" w:line="288" w:lineRule="auto"/>
        <w:rPr>
          <w:b/>
          <w:bCs/>
          <w:vanish/>
          <w:sz w:val="28"/>
          <w:szCs w:val="28"/>
          <w:lang w:val="vi-VN" w:eastAsia="vi-VN"/>
        </w:rPr>
      </w:pPr>
    </w:p>
    <w:p w14:paraId="1153A200" w14:textId="77777777" w:rsidR="006F2378" w:rsidRPr="00B311F5" w:rsidRDefault="006F2378" w:rsidP="006F2378">
      <w:pPr>
        <w:pStyle w:val="ListParagraph"/>
        <w:numPr>
          <w:ilvl w:val="0"/>
          <w:numId w:val="3"/>
        </w:numPr>
        <w:tabs>
          <w:tab w:val="left" w:pos="993"/>
        </w:tabs>
        <w:spacing w:before="120" w:line="288" w:lineRule="auto"/>
        <w:rPr>
          <w:b/>
          <w:bCs/>
          <w:vanish/>
          <w:sz w:val="28"/>
          <w:szCs w:val="28"/>
          <w:lang w:val="vi-VN" w:eastAsia="vi-VN"/>
        </w:rPr>
      </w:pPr>
    </w:p>
    <w:p w14:paraId="507A9CAF" w14:textId="77777777" w:rsidR="006F2378" w:rsidRPr="00B311F5" w:rsidRDefault="006F2378" w:rsidP="006F2378">
      <w:pPr>
        <w:pStyle w:val="ListParagraph"/>
        <w:numPr>
          <w:ilvl w:val="1"/>
          <w:numId w:val="3"/>
        </w:numPr>
        <w:tabs>
          <w:tab w:val="left" w:pos="1418"/>
        </w:tabs>
        <w:spacing w:before="120" w:line="288" w:lineRule="auto"/>
        <w:ind w:left="1276" w:hanging="574"/>
        <w:rPr>
          <w:b/>
          <w:sz w:val="28"/>
          <w:szCs w:val="28"/>
          <w:lang w:val="vi-VN" w:eastAsia="vi-VN"/>
        </w:rPr>
      </w:pPr>
      <w:r w:rsidRPr="00B311F5">
        <w:rPr>
          <w:b/>
          <w:bCs/>
          <w:sz w:val="28"/>
          <w:szCs w:val="28"/>
          <w:lang w:val="vi-VN" w:eastAsia="vi-VN"/>
        </w:rPr>
        <w:t>Khảo sát hiện trạng</w:t>
      </w:r>
      <w:r w:rsidRPr="00B311F5">
        <w:rPr>
          <w:b/>
          <w:sz w:val="28"/>
          <w:szCs w:val="28"/>
          <w:lang w:val="vi-VN" w:eastAsia="vi-VN"/>
        </w:rPr>
        <w:t>:</w:t>
      </w:r>
    </w:p>
    <w:p w14:paraId="0AD9D8BE" w14:textId="77777777" w:rsidR="006F2378" w:rsidRPr="00B311F5" w:rsidRDefault="006F2378" w:rsidP="006F2378">
      <w:pPr>
        <w:pStyle w:val="NormalWeb"/>
        <w:tabs>
          <w:tab w:val="left" w:pos="851"/>
        </w:tabs>
        <w:spacing w:before="120" w:beforeAutospacing="0" w:after="0" w:afterAutospacing="0" w:line="288" w:lineRule="auto"/>
        <w:ind w:firstLine="567"/>
        <w:jc w:val="both"/>
        <w:rPr>
          <w:rFonts w:ascii="Times New Roman" w:hAnsi="Times New Roman" w:cs="Times New Roman"/>
          <w:sz w:val="28"/>
          <w:szCs w:val="28"/>
        </w:rPr>
      </w:pPr>
      <w:r w:rsidRPr="00B311F5">
        <w:rPr>
          <w:rFonts w:ascii="Times New Roman" w:hAnsi="Times New Roman" w:cs="Times New Roman"/>
          <w:sz w:val="28"/>
          <w:szCs w:val="28"/>
        </w:rPr>
        <w:t>-  Khảo sát, phân tích cơ cấu tổ chức bộ máy, chức năng nhiệm vụ, hệ thống vị trí việc làm, cơ chế đánh giá hiện hành và mô hình quản lý nhân sự của VDB, các đơn vị thuộc, trực thuộc VDB.</w:t>
      </w:r>
    </w:p>
    <w:p w14:paraId="625CAB77" w14:textId="77777777" w:rsidR="006F2378" w:rsidRPr="00B311F5" w:rsidRDefault="006F2378" w:rsidP="006F2378">
      <w:pPr>
        <w:pStyle w:val="NormalWeb"/>
        <w:tabs>
          <w:tab w:val="left" w:pos="567"/>
        </w:tabs>
        <w:spacing w:before="120" w:beforeAutospacing="0" w:after="0" w:afterAutospacing="0" w:line="288" w:lineRule="auto"/>
        <w:ind w:firstLine="360"/>
        <w:jc w:val="both"/>
        <w:rPr>
          <w:rFonts w:ascii="Times New Roman" w:hAnsi="Times New Roman" w:cs="Times New Roman"/>
          <w:sz w:val="28"/>
          <w:szCs w:val="28"/>
        </w:rPr>
      </w:pPr>
      <w:r w:rsidRPr="00B311F5">
        <w:rPr>
          <w:rFonts w:ascii="Times New Roman" w:hAnsi="Times New Roman" w:cs="Times New Roman"/>
          <w:sz w:val="28"/>
          <w:szCs w:val="28"/>
        </w:rPr>
        <w:tab/>
        <w:t>-  Khảo sát, phân tích, đánh giá, cụ thể hoá, phân loại, phân nhóm,... các</w:t>
      </w:r>
      <w:r>
        <w:rPr>
          <w:rFonts w:ascii="Times New Roman" w:hAnsi="Times New Roman" w:cs="Times New Roman"/>
          <w:sz w:val="28"/>
          <w:szCs w:val="28"/>
        </w:rPr>
        <w:t xml:space="preserve"> chỉ</w:t>
      </w:r>
      <w:r w:rsidRPr="00B311F5">
        <w:rPr>
          <w:rFonts w:ascii="Times New Roman" w:hAnsi="Times New Roman" w:cs="Times New Roman"/>
          <w:sz w:val="28"/>
          <w:szCs w:val="28"/>
        </w:rPr>
        <w:t xml:space="preserve"> tiêu, nhiệm vụ của </w:t>
      </w:r>
      <w:r w:rsidRPr="00B311F5">
        <w:rPr>
          <w:rFonts w:ascii="Times New Roman" w:hAnsi="Times New Roman" w:cs="Times New Roman"/>
          <w:sz w:val="28"/>
          <w:szCs w:val="28"/>
          <w:lang w:val="en-GB"/>
        </w:rPr>
        <w:t>VDB</w:t>
      </w:r>
      <w:r w:rsidRPr="00B311F5">
        <w:rPr>
          <w:rFonts w:ascii="Times New Roman" w:hAnsi="Times New Roman" w:cs="Times New Roman"/>
          <w:sz w:val="28"/>
          <w:szCs w:val="28"/>
        </w:rPr>
        <w:t>, của các đơn vị, phòng, cá nhân; hiện trạng công tác giao kế hoạch mục tiêu, nhiệm vụ của VDB.</w:t>
      </w:r>
    </w:p>
    <w:p w14:paraId="182AE826" w14:textId="77777777" w:rsidR="006F2378" w:rsidRPr="00B311F5" w:rsidRDefault="006F2378" w:rsidP="006F2378">
      <w:pPr>
        <w:pStyle w:val="NormalWeb"/>
        <w:tabs>
          <w:tab w:val="left" w:pos="993"/>
        </w:tabs>
        <w:spacing w:before="120" w:beforeAutospacing="0" w:after="0" w:afterAutospacing="0" w:line="288" w:lineRule="auto"/>
        <w:ind w:left="360"/>
        <w:jc w:val="both"/>
        <w:rPr>
          <w:rFonts w:ascii="Times New Roman" w:hAnsi="Times New Roman" w:cs="Times New Roman"/>
          <w:i/>
          <w:sz w:val="28"/>
          <w:szCs w:val="28"/>
        </w:rPr>
      </w:pPr>
      <w:r w:rsidRPr="00B311F5">
        <w:rPr>
          <w:rFonts w:ascii="Times New Roman" w:hAnsi="Times New Roman" w:cs="Times New Roman"/>
          <w:i/>
          <w:sz w:val="28"/>
          <w:szCs w:val="28"/>
        </w:rPr>
        <w:t xml:space="preserve">  - Sản phẩm đầu ra:</w:t>
      </w:r>
    </w:p>
    <w:p w14:paraId="4118AD35" w14:textId="77777777" w:rsidR="006F2378" w:rsidRPr="00B311F5" w:rsidRDefault="006F2378" w:rsidP="006F2378">
      <w:pPr>
        <w:pStyle w:val="NormalWeb"/>
        <w:tabs>
          <w:tab w:val="left" w:pos="993"/>
        </w:tabs>
        <w:spacing w:before="120" w:beforeAutospacing="0" w:after="0" w:afterAutospacing="0" w:line="288" w:lineRule="auto"/>
        <w:ind w:left="360"/>
        <w:jc w:val="both"/>
        <w:rPr>
          <w:rFonts w:ascii="Times New Roman" w:hAnsi="Times New Roman" w:cs="Times New Roman"/>
          <w:sz w:val="28"/>
          <w:szCs w:val="28"/>
        </w:rPr>
      </w:pPr>
      <w:r w:rsidRPr="00B311F5">
        <w:rPr>
          <w:rFonts w:ascii="Times New Roman" w:hAnsi="Times New Roman" w:cs="Times New Roman"/>
          <w:sz w:val="28"/>
          <w:szCs w:val="28"/>
        </w:rPr>
        <w:t>Báo cáo khảo sát, phân tích hiện trạng và các khuyến nghị.</w:t>
      </w:r>
    </w:p>
    <w:p w14:paraId="6AB994F5" w14:textId="77777777" w:rsidR="006F2378" w:rsidRPr="00B311F5" w:rsidRDefault="006F2378" w:rsidP="006F2378">
      <w:pPr>
        <w:pStyle w:val="ListParagraph"/>
        <w:numPr>
          <w:ilvl w:val="1"/>
          <w:numId w:val="3"/>
        </w:numPr>
        <w:tabs>
          <w:tab w:val="left" w:pos="1418"/>
        </w:tabs>
        <w:spacing w:before="120" w:line="288" w:lineRule="auto"/>
        <w:ind w:left="1276" w:hanging="574"/>
        <w:rPr>
          <w:b/>
          <w:bCs/>
          <w:sz w:val="28"/>
          <w:szCs w:val="28"/>
          <w:lang w:val="vi-VN" w:eastAsia="vi-VN"/>
        </w:rPr>
      </w:pPr>
      <w:r w:rsidRPr="00B311F5">
        <w:rPr>
          <w:b/>
          <w:bCs/>
          <w:sz w:val="28"/>
          <w:szCs w:val="28"/>
          <w:lang w:val="vi-VN" w:eastAsia="vi-VN"/>
        </w:rPr>
        <w:t>Xây dựng bộ công cụ đánh giá:</w:t>
      </w:r>
    </w:p>
    <w:p w14:paraId="6C945883" w14:textId="77777777" w:rsidR="006F2378" w:rsidRPr="00B311F5" w:rsidRDefault="006F2378" w:rsidP="006F2378">
      <w:pPr>
        <w:pStyle w:val="NormalWeb"/>
        <w:numPr>
          <w:ilvl w:val="0"/>
          <w:numId w:val="2"/>
        </w:numPr>
        <w:tabs>
          <w:tab w:val="left" w:pos="851"/>
        </w:tabs>
        <w:spacing w:before="120" w:beforeAutospacing="0" w:after="0" w:afterAutospacing="0" w:line="288" w:lineRule="auto"/>
        <w:ind w:left="851" w:hanging="284"/>
        <w:jc w:val="both"/>
        <w:rPr>
          <w:rFonts w:ascii="Times New Roman" w:hAnsi="Times New Roman" w:cs="Times New Roman"/>
          <w:sz w:val="28"/>
          <w:szCs w:val="28"/>
        </w:rPr>
      </w:pPr>
      <w:r w:rsidRPr="00B311F5">
        <w:rPr>
          <w:rFonts w:ascii="Times New Roman" w:hAnsi="Times New Roman" w:cs="Times New Roman"/>
          <w:sz w:val="28"/>
          <w:szCs w:val="28"/>
        </w:rPr>
        <w:t>Đề xuất mô hình hệ thống đo lường, quản lý kết quả, hiệu quả</w:t>
      </w:r>
    </w:p>
    <w:p w14:paraId="12148DCF" w14:textId="77777777" w:rsidR="006F2378" w:rsidRPr="00B311F5" w:rsidRDefault="006F2378" w:rsidP="006F2378">
      <w:pPr>
        <w:pStyle w:val="NormalWeb"/>
        <w:numPr>
          <w:ilvl w:val="0"/>
          <w:numId w:val="2"/>
        </w:numPr>
        <w:tabs>
          <w:tab w:val="left" w:pos="851"/>
        </w:tabs>
        <w:spacing w:before="120" w:beforeAutospacing="0" w:after="0" w:afterAutospacing="0" w:line="288" w:lineRule="auto"/>
        <w:ind w:left="0" w:firstLine="567"/>
        <w:jc w:val="both"/>
        <w:rPr>
          <w:rFonts w:ascii="Times New Roman" w:hAnsi="Times New Roman" w:cs="Times New Roman"/>
          <w:sz w:val="28"/>
          <w:szCs w:val="28"/>
        </w:rPr>
      </w:pPr>
      <w:r w:rsidRPr="00B311F5">
        <w:rPr>
          <w:rFonts w:ascii="Times New Roman" w:hAnsi="Times New Roman" w:cs="Times New Roman"/>
          <w:sz w:val="28"/>
          <w:szCs w:val="28"/>
        </w:rPr>
        <w:t>Xây dựng bộ tiêu chí đánh giá kết quả công việc từng đơn vị, Phòng và vị trí việc làm của cá nhân.</w:t>
      </w:r>
    </w:p>
    <w:p w14:paraId="3990E730" w14:textId="77777777" w:rsidR="006F2378" w:rsidRPr="00B311F5" w:rsidRDefault="006F2378" w:rsidP="006F2378">
      <w:pPr>
        <w:pStyle w:val="NormalWeb"/>
        <w:numPr>
          <w:ilvl w:val="0"/>
          <w:numId w:val="2"/>
        </w:numPr>
        <w:tabs>
          <w:tab w:val="left" w:pos="851"/>
        </w:tabs>
        <w:spacing w:before="120" w:beforeAutospacing="0" w:after="0" w:afterAutospacing="0" w:line="288" w:lineRule="auto"/>
        <w:ind w:left="0" w:firstLine="567"/>
        <w:jc w:val="both"/>
        <w:rPr>
          <w:rFonts w:ascii="Times New Roman" w:hAnsi="Times New Roman" w:cs="Times New Roman"/>
          <w:sz w:val="28"/>
          <w:szCs w:val="28"/>
        </w:rPr>
      </w:pPr>
      <w:r w:rsidRPr="00B311F5">
        <w:rPr>
          <w:rFonts w:ascii="Times New Roman" w:hAnsi="Times New Roman" w:cs="Times New Roman"/>
          <w:sz w:val="28"/>
          <w:szCs w:val="28"/>
        </w:rPr>
        <w:t>Xây dựng hệ thống mẫu phiếu đánh giá, quy trình và hướng dẫn thực hiện.</w:t>
      </w:r>
    </w:p>
    <w:p w14:paraId="0701DDA1" w14:textId="77777777" w:rsidR="006F2378" w:rsidRPr="00B311F5" w:rsidRDefault="006F2378" w:rsidP="006F2378">
      <w:pPr>
        <w:pStyle w:val="NormalWeb"/>
        <w:tabs>
          <w:tab w:val="left" w:pos="993"/>
        </w:tabs>
        <w:spacing w:before="120" w:beforeAutospacing="0" w:after="0" w:afterAutospacing="0" w:line="288" w:lineRule="auto"/>
        <w:ind w:left="709"/>
        <w:jc w:val="both"/>
        <w:rPr>
          <w:rFonts w:ascii="Times New Roman" w:hAnsi="Times New Roman" w:cs="Times New Roman"/>
          <w:i/>
          <w:sz w:val="28"/>
          <w:szCs w:val="28"/>
        </w:rPr>
      </w:pPr>
      <w:r w:rsidRPr="00B311F5">
        <w:rPr>
          <w:rFonts w:ascii="Times New Roman" w:hAnsi="Times New Roman" w:cs="Times New Roman"/>
          <w:i/>
          <w:sz w:val="28"/>
          <w:szCs w:val="28"/>
        </w:rPr>
        <w:t>Sản phẩm đầu ra:</w:t>
      </w:r>
    </w:p>
    <w:p w14:paraId="6DA01E03" w14:textId="77777777" w:rsidR="006F2378" w:rsidRPr="00B311F5" w:rsidRDefault="006F2378" w:rsidP="006F2378">
      <w:pPr>
        <w:pStyle w:val="NormalWeb"/>
        <w:numPr>
          <w:ilvl w:val="0"/>
          <w:numId w:val="2"/>
        </w:numPr>
        <w:tabs>
          <w:tab w:val="left" w:pos="851"/>
        </w:tabs>
        <w:spacing w:before="120" w:beforeAutospacing="0" w:after="0" w:afterAutospacing="0" w:line="288" w:lineRule="auto"/>
        <w:ind w:left="0" w:firstLine="567"/>
        <w:jc w:val="both"/>
        <w:rPr>
          <w:rFonts w:ascii="Times New Roman" w:hAnsi="Times New Roman" w:cs="Times New Roman"/>
          <w:sz w:val="28"/>
          <w:szCs w:val="28"/>
        </w:rPr>
      </w:pPr>
      <w:r w:rsidRPr="00B311F5">
        <w:rPr>
          <w:rFonts w:ascii="Times New Roman" w:hAnsi="Times New Roman" w:cs="Times New Roman"/>
          <w:sz w:val="28"/>
          <w:szCs w:val="28"/>
        </w:rPr>
        <w:t>Bản đồ chiến lược, bộ tiêu chí và công cụ đánh giá đơn vị, phòng, cá nhân.</w:t>
      </w:r>
    </w:p>
    <w:p w14:paraId="32AC3F98" w14:textId="77777777" w:rsidR="006F2378" w:rsidRPr="00B311F5" w:rsidRDefault="006F2378" w:rsidP="006F2378">
      <w:pPr>
        <w:pStyle w:val="ListParagraph"/>
        <w:numPr>
          <w:ilvl w:val="1"/>
          <w:numId w:val="3"/>
        </w:numPr>
        <w:tabs>
          <w:tab w:val="left" w:pos="1418"/>
        </w:tabs>
        <w:spacing w:before="120" w:line="288" w:lineRule="auto"/>
        <w:ind w:left="1276" w:hanging="574"/>
        <w:rPr>
          <w:b/>
          <w:bCs/>
          <w:sz w:val="28"/>
          <w:szCs w:val="28"/>
          <w:lang w:val="vi-VN" w:eastAsia="vi-VN"/>
        </w:rPr>
      </w:pPr>
      <w:r w:rsidRPr="00B311F5">
        <w:rPr>
          <w:b/>
          <w:bCs/>
          <w:sz w:val="28"/>
          <w:szCs w:val="28"/>
          <w:lang w:val="vi-VN" w:eastAsia="vi-VN"/>
        </w:rPr>
        <w:t>Thiết kế quy trình đánh giá:</w:t>
      </w:r>
    </w:p>
    <w:p w14:paraId="15107048" w14:textId="77777777" w:rsidR="006F2378" w:rsidRPr="00B311F5" w:rsidRDefault="006F2378" w:rsidP="006F2378">
      <w:pPr>
        <w:pStyle w:val="NormalWeb"/>
        <w:numPr>
          <w:ilvl w:val="0"/>
          <w:numId w:val="2"/>
        </w:numPr>
        <w:tabs>
          <w:tab w:val="left" w:pos="993"/>
        </w:tabs>
        <w:spacing w:before="120" w:beforeAutospacing="0" w:after="0" w:afterAutospacing="0" w:line="288" w:lineRule="auto"/>
        <w:ind w:left="0" w:firstLine="709"/>
        <w:jc w:val="both"/>
        <w:rPr>
          <w:rFonts w:ascii="Times New Roman" w:hAnsi="Times New Roman" w:cs="Times New Roman"/>
          <w:sz w:val="28"/>
          <w:szCs w:val="28"/>
        </w:rPr>
      </w:pPr>
      <w:r w:rsidRPr="00B311F5">
        <w:rPr>
          <w:rFonts w:ascii="Times New Roman" w:hAnsi="Times New Roman" w:cs="Times New Roman"/>
          <w:sz w:val="28"/>
          <w:szCs w:val="28"/>
        </w:rPr>
        <w:t>Quy trình tổ chức đánh giá định kỳ, đề xuất kỳ đánh giá theo tháng/quý/năm.</w:t>
      </w:r>
    </w:p>
    <w:p w14:paraId="32B02744" w14:textId="77777777" w:rsidR="006F2378" w:rsidRPr="00B311F5" w:rsidRDefault="006F2378" w:rsidP="006F2378">
      <w:pPr>
        <w:pStyle w:val="NormalWeb"/>
        <w:numPr>
          <w:ilvl w:val="0"/>
          <w:numId w:val="2"/>
        </w:numPr>
        <w:tabs>
          <w:tab w:val="left" w:pos="993"/>
        </w:tabs>
        <w:spacing w:before="120" w:beforeAutospacing="0" w:after="0" w:afterAutospacing="0" w:line="288" w:lineRule="auto"/>
        <w:ind w:left="0" w:firstLine="709"/>
        <w:jc w:val="both"/>
        <w:rPr>
          <w:rFonts w:ascii="Times New Roman" w:hAnsi="Times New Roman" w:cs="Times New Roman"/>
          <w:sz w:val="28"/>
          <w:szCs w:val="28"/>
        </w:rPr>
      </w:pPr>
      <w:r w:rsidRPr="00B311F5">
        <w:rPr>
          <w:rFonts w:ascii="Times New Roman" w:hAnsi="Times New Roman" w:cs="Times New Roman"/>
          <w:sz w:val="28"/>
          <w:szCs w:val="28"/>
        </w:rPr>
        <w:t>Cơ chế tổng hợp, phân loại kết quả, phản hồi kết quả đánh giá.</w:t>
      </w:r>
    </w:p>
    <w:p w14:paraId="2ADF1C85" w14:textId="77777777" w:rsidR="006F2378" w:rsidRPr="00B311F5" w:rsidRDefault="006F2378" w:rsidP="006F2378">
      <w:pPr>
        <w:pStyle w:val="NormalWeb"/>
        <w:numPr>
          <w:ilvl w:val="0"/>
          <w:numId w:val="2"/>
        </w:numPr>
        <w:tabs>
          <w:tab w:val="left" w:pos="993"/>
        </w:tabs>
        <w:spacing w:before="120" w:beforeAutospacing="0" w:after="0" w:afterAutospacing="0" w:line="288" w:lineRule="auto"/>
        <w:ind w:left="0" w:firstLine="709"/>
        <w:jc w:val="both"/>
        <w:rPr>
          <w:rFonts w:ascii="Times New Roman" w:hAnsi="Times New Roman" w:cs="Times New Roman"/>
          <w:sz w:val="28"/>
          <w:szCs w:val="28"/>
        </w:rPr>
      </w:pPr>
      <w:r w:rsidRPr="00B311F5">
        <w:rPr>
          <w:rFonts w:ascii="Times New Roman" w:hAnsi="Times New Roman" w:cs="Times New Roman"/>
          <w:sz w:val="28"/>
          <w:szCs w:val="28"/>
        </w:rPr>
        <w:t>Liên kết hệ thống đánh giá với cơ chế chi trả lương, khen thưởng và các nền tảng quản trị nhân sự khác: kế hoạch cải thiện hiệu suất, đào tạo, quy hoạch cán bộ……</w:t>
      </w:r>
    </w:p>
    <w:p w14:paraId="4C55D25D" w14:textId="77777777" w:rsidR="006F2378" w:rsidRPr="00B311F5" w:rsidRDefault="006F2378" w:rsidP="006F2378">
      <w:pPr>
        <w:pStyle w:val="NormalWeb"/>
        <w:tabs>
          <w:tab w:val="left" w:pos="993"/>
        </w:tabs>
        <w:spacing w:before="120" w:beforeAutospacing="0" w:after="0" w:afterAutospacing="0" w:line="288" w:lineRule="auto"/>
        <w:ind w:firstLine="709"/>
        <w:jc w:val="both"/>
        <w:rPr>
          <w:rFonts w:ascii="Times New Roman" w:hAnsi="Times New Roman" w:cs="Times New Roman"/>
          <w:i/>
          <w:sz w:val="28"/>
          <w:szCs w:val="28"/>
        </w:rPr>
      </w:pPr>
      <w:r w:rsidRPr="00B311F5">
        <w:rPr>
          <w:rFonts w:ascii="Times New Roman" w:hAnsi="Times New Roman" w:cs="Times New Roman"/>
          <w:i/>
          <w:sz w:val="28"/>
          <w:szCs w:val="28"/>
        </w:rPr>
        <w:t xml:space="preserve">Sản phẩm đầu ra: </w:t>
      </w:r>
    </w:p>
    <w:p w14:paraId="13740E88" w14:textId="77777777" w:rsidR="006F2378" w:rsidRPr="00B311F5" w:rsidRDefault="006F2378" w:rsidP="006F2378">
      <w:pPr>
        <w:pStyle w:val="NormalWeb"/>
        <w:numPr>
          <w:ilvl w:val="0"/>
          <w:numId w:val="2"/>
        </w:numPr>
        <w:tabs>
          <w:tab w:val="left" w:pos="993"/>
        </w:tabs>
        <w:spacing w:before="120" w:beforeAutospacing="0" w:after="0" w:afterAutospacing="0" w:line="288" w:lineRule="auto"/>
        <w:ind w:left="0" w:firstLine="709"/>
        <w:jc w:val="both"/>
        <w:rPr>
          <w:rFonts w:ascii="Times New Roman" w:eastAsia="Times New Roman" w:hAnsi="Times New Roman" w:cs="Times New Roman"/>
          <w:sz w:val="28"/>
          <w:szCs w:val="28"/>
          <w:lang w:val="vi-VN" w:eastAsia="vi-VN"/>
        </w:rPr>
      </w:pPr>
      <w:r w:rsidRPr="00B311F5">
        <w:rPr>
          <w:rFonts w:ascii="Times New Roman" w:eastAsia="Times New Roman" w:hAnsi="Times New Roman" w:cs="Times New Roman"/>
          <w:sz w:val="28"/>
          <w:szCs w:val="28"/>
          <w:lang w:val="vi-VN" w:eastAsia="vi-VN"/>
        </w:rPr>
        <w:t>Dự thảo Quy chế, quy trình, tài liệu hướng dẫn đánh giá.</w:t>
      </w:r>
    </w:p>
    <w:p w14:paraId="665E3B97" w14:textId="77777777" w:rsidR="006F2378" w:rsidRPr="00B311F5" w:rsidRDefault="006F2378" w:rsidP="006F2378">
      <w:pPr>
        <w:pStyle w:val="NormalWeb"/>
        <w:numPr>
          <w:ilvl w:val="0"/>
          <w:numId w:val="2"/>
        </w:numPr>
        <w:tabs>
          <w:tab w:val="left" w:pos="993"/>
        </w:tabs>
        <w:spacing w:before="120" w:beforeAutospacing="0" w:after="0" w:afterAutospacing="0" w:line="288" w:lineRule="auto"/>
        <w:ind w:left="0" w:firstLine="709"/>
        <w:jc w:val="both"/>
        <w:rPr>
          <w:rFonts w:ascii="Times New Roman" w:eastAsia="Times New Roman" w:hAnsi="Times New Roman" w:cs="Times New Roman"/>
          <w:sz w:val="28"/>
          <w:szCs w:val="28"/>
          <w:lang w:val="vi-VN" w:eastAsia="vi-VN"/>
        </w:rPr>
      </w:pPr>
      <w:r w:rsidRPr="00B311F5">
        <w:rPr>
          <w:rFonts w:ascii="Times New Roman" w:eastAsia="Times New Roman" w:hAnsi="Times New Roman" w:cs="Times New Roman"/>
          <w:sz w:val="28"/>
          <w:szCs w:val="28"/>
          <w:lang w:val="vi-VN" w:eastAsia="vi-VN"/>
        </w:rPr>
        <w:t>Báo cáo phương án liên kết hệ thống đánh giá với cơ chế chi trả lương, khen thưởng và các nền tảng quản trị nhân sự khác: kế hoạch cải thiện hiệu suất, đào tạo, quy hoạch cán bộ……</w:t>
      </w:r>
    </w:p>
    <w:p w14:paraId="4820F4EF" w14:textId="77777777" w:rsidR="006F2378" w:rsidRPr="00B311F5" w:rsidRDefault="006F2378" w:rsidP="006F2378">
      <w:pPr>
        <w:pStyle w:val="NormalWeb"/>
        <w:numPr>
          <w:ilvl w:val="0"/>
          <w:numId w:val="2"/>
        </w:numPr>
        <w:tabs>
          <w:tab w:val="left" w:pos="993"/>
        </w:tabs>
        <w:spacing w:before="120" w:beforeAutospacing="0" w:after="0" w:afterAutospacing="0" w:line="288" w:lineRule="auto"/>
        <w:ind w:left="0" w:firstLine="709"/>
        <w:jc w:val="both"/>
        <w:rPr>
          <w:rFonts w:ascii="Times New Roman" w:eastAsia="Times New Roman" w:hAnsi="Times New Roman" w:cs="Times New Roman"/>
          <w:sz w:val="28"/>
          <w:szCs w:val="28"/>
          <w:lang w:val="vi-VN" w:eastAsia="vi-VN"/>
        </w:rPr>
      </w:pPr>
      <w:r w:rsidRPr="00B311F5">
        <w:rPr>
          <w:rFonts w:ascii="Times New Roman" w:eastAsia="Times New Roman" w:hAnsi="Times New Roman" w:cs="Times New Roman"/>
          <w:sz w:val="28"/>
          <w:szCs w:val="28"/>
          <w:lang w:val="vi-VN" w:eastAsia="vi-VN"/>
        </w:rPr>
        <w:t>File mẫu Excel/Word và tài liệu đào tạo, hệ thống đánh giá, đo lường được chuyển thành công thức tính tự động trên file exel.</w:t>
      </w:r>
    </w:p>
    <w:p w14:paraId="33614FF0" w14:textId="77777777" w:rsidR="006F2378" w:rsidRPr="00B311F5" w:rsidRDefault="006F2378" w:rsidP="006F2378">
      <w:pPr>
        <w:pStyle w:val="ListParagraph"/>
        <w:numPr>
          <w:ilvl w:val="1"/>
          <w:numId w:val="3"/>
        </w:numPr>
        <w:tabs>
          <w:tab w:val="left" w:pos="1418"/>
        </w:tabs>
        <w:spacing w:before="120" w:line="288" w:lineRule="auto"/>
        <w:ind w:left="1276" w:hanging="574"/>
        <w:rPr>
          <w:b/>
          <w:bCs/>
          <w:sz w:val="28"/>
          <w:szCs w:val="28"/>
          <w:lang w:val="vi-VN" w:eastAsia="vi-VN"/>
        </w:rPr>
      </w:pPr>
      <w:r w:rsidRPr="00B311F5">
        <w:rPr>
          <w:b/>
          <w:bCs/>
          <w:sz w:val="28"/>
          <w:szCs w:val="28"/>
          <w:lang w:eastAsia="vi-VN"/>
        </w:rPr>
        <w:lastRenderedPageBreak/>
        <w:t>Yêu cầu khác</w:t>
      </w:r>
    </w:p>
    <w:p w14:paraId="37447F3B" w14:textId="77777777" w:rsidR="006F2378" w:rsidRPr="00B311F5" w:rsidRDefault="006F2378" w:rsidP="006F2378">
      <w:pPr>
        <w:numPr>
          <w:ilvl w:val="0"/>
          <w:numId w:val="2"/>
        </w:numPr>
        <w:tabs>
          <w:tab w:val="left" w:pos="993"/>
        </w:tabs>
        <w:spacing w:before="120" w:line="288" w:lineRule="auto"/>
        <w:ind w:left="0" w:firstLine="709"/>
        <w:rPr>
          <w:sz w:val="28"/>
          <w:szCs w:val="28"/>
          <w:lang w:val="vi-VN" w:eastAsia="vi-VN"/>
        </w:rPr>
      </w:pPr>
      <w:r w:rsidRPr="00B311F5">
        <w:rPr>
          <w:sz w:val="28"/>
          <w:szCs w:val="28"/>
          <w:lang w:val="vi-VN" w:eastAsia="vi-VN"/>
        </w:rPr>
        <w:t>Tổ chức tập huấn cho đội ngũ cán bộ nhân sự và người quản lý.</w:t>
      </w:r>
    </w:p>
    <w:p w14:paraId="59D1DA7E" w14:textId="77777777" w:rsidR="006F2378" w:rsidRPr="00B311F5" w:rsidRDefault="006F2378" w:rsidP="006F2378">
      <w:pPr>
        <w:numPr>
          <w:ilvl w:val="0"/>
          <w:numId w:val="2"/>
        </w:numPr>
        <w:tabs>
          <w:tab w:val="left" w:pos="993"/>
        </w:tabs>
        <w:spacing w:before="120" w:line="288" w:lineRule="auto"/>
        <w:ind w:left="0" w:firstLine="709"/>
        <w:rPr>
          <w:sz w:val="28"/>
          <w:szCs w:val="28"/>
          <w:lang w:val="vi-VN" w:eastAsia="vi-VN"/>
        </w:rPr>
      </w:pPr>
      <w:r w:rsidRPr="00B311F5">
        <w:rPr>
          <w:sz w:val="28"/>
          <w:szCs w:val="28"/>
          <w:lang w:val="vi-VN" w:eastAsia="vi-VN"/>
        </w:rPr>
        <w:t>Bàn giao đầy đủ tài liệu, biểu mẫu, công cụ sử dụng.</w:t>
      </w:r>
    </w:p>
    <w:p w14:paraId="62B7E85E" w14:textId="77777777" w:rsidR="006F2378" w:rsidRPr="00B311F5" w:rsidRDefault="006F2378" w:rsidP="006F2378">
      <w:pPr>
        <w:numPr>
          <w:ilvl w:val="0"/>
          <w:numId w:val="2"/>
        </w:numPr>
        <w:tabs>
          <w:tab w:val="left" w:pos="993"/>
        </w:tabs>
        <w:spacing w:before="120" w:line="288" w:lineRule="auto"/>
        <w:ind w:left="0" w:firstLine="709"/>
        <w:rPr>
          <w:sz w:val="28"/>
          <w:szCs w:val="28"/>
          <w:lang w:val="vi-VN" w:eastAsia="vi-VN"/>
        </w:rPr>
      </w:pPr>
      <w:r w:rsidRPr="00B311F5">
        <w:rPr>
          <w:sz w:val="28"/>
          <w:szCs w:val="28"/>
          <w:lang w:val="vi-VN" w:eastAsia="vi-VN"/>
        </w:rPr>
        <w:t>Hỗ trợ thử nghiệm tại một số đơn vị trong hệ thống</w:t>
      </w:r>
      <w:r w:rsidRPr="00B311F5">
        <w:rPr>
          <w:sz w:val="28"/>
          <w:szCs w:val="28"/>
          <w:lang w:eastAsia="vi-VN"/>
        </w:rPr>
        <w:t xml:space="preserve"> (Đánh giá trên file excel hoặc phần mềm do nhà thầu cung cấp). </w:t>
      </w:r>
    </w:p>
    <w:p w14:paraId="445A3AC3" w14:textId="77777777" w:rsidR="006F2378" w:rsidRPr="00B311F5" w:rsidRDefault="006F2378" w:rsidP="006F2378">
      <w:pPr>
        <w:numPr>
          <w:ilvl w:val="0"/>
          <w:numId w:val="2"/>
        </w:numPr>
        <w:tabs>
          <w:tab w:val="left" w:pos="993"/>
        </w:tabs>
        <w:spacing w:before="120" w:line="288" w:lineRule="auto"/>
        <w:ind w:left="0" w:firstLine="709"/>
        <w:rPr>
          <w:sz w:val="28"/>
          <w:szCs w:val="28"/>
          <w:lang w:val="vi-VN" w:eastAsia="vi-VN"/>
        </w:rPr>
      </w:pPr>
      <w:r w:rsidRPr="00B311F5">
        <w:rPr>
          <w:sz w:val="28"/>
          <w:szCs w:val="28"/>
          <w:lang w:val="vi-VN" w:eastAsia="vi-VN"/>
        </w:rPr>
        <w:t>Đánh giá, điều chỉnh và hoàn thiện trước khi áp dụng toàn diện.</w:t>
      </w:r>
    </w:p>
    <w:p w14:paraId="548D11CC" w14:textId="77777777" w:rsidR="006F2378" w:rsidRPr="00B311F5" w:rsidRDefault="006F2378" w:rsidP="006F2378">
      <w:pPr>
        <w:numPr>
          <w:ilvl w:val="0"/>
          <w:numId w:val="2"/>
        </w:numPr>
        <w:tabs>
          <w:tab w:val="left" w:pos="993"/>
        </w:tabs>
        <w:spacing w:before="120" w:line="288" w:lineRule="auto"/>
        <w:ind w:left="0" w:firstLine="709"/>
        <w:rPr>
          <w:sz w:val="28"/>
          <w:szCs w:val="28"/>
          <w:lang w:val="vi-VN" w:eastAsia="vi-VN"/>
        </w:rPr>
      </w:pPr>
      <w:r w:rsidRPr="00B311F5">
        <w:rPr>
          <w:sz w:val="28"/>
          <w:szCs w:val="28"/>
          <w:lang w:eastAsia="vi-VN"/>
        </w:rPr>
        <w:t>Hỗ trợ giải đáp thắc mắc, điều chỉnh, cập nhật bộ tiêu chí đánh giá trong thời gian 36 tháng sau khi bàn giao sản phẩm kết thúc dự án (trường hợp VDB có điều chỉnh tổ chức bộ máy).</w:t>
      </w:r>
    </w:p>
    <w:p w14:paraId="42F09979" w14:textId="77777777" w:rsidR="006F2378" w:rsidRPr="00B311F5" w:rsidRDefault="006F2378" w:rsidP="006F2378">
      <w:pPr>
        <w:tabs>
          <w:tab w:val="left" w:pos="1069"/>
        </w:tabs>
        <w:spacing w:before="120" w:line="288" w:lineRule="auto"/>
        <w:ind w:left="1069" w:hanging="360"/>
        <w:rPr>
          <w:i/>
          <w:sz w:val="28"/>
          <w:szCs w:val="28"/>
          <w:lang w:eastAsia="vi-VN"/>
        </w:rPr>
      </w:pPr>
      <w:r w:rsidRPr="00B311F5">
        <w:rPr>
          <w:i/>
          <w:sz w:val="28"/>
          <w:szCs w:val="28"/>
          <w:lang w:eastAsia="vi-VN"/>
        </w:rPr>
        <w:t xml:space="preserve">* Sản phẩm đầu ra: </w:t>
      </w:r>
    </w:p>
    <w:p w14:paraId="233C930C" w14:textId="77777777" w:rsidR="006F2378" w:rsidRPr="00B311F5" w:rsidRDefault="006F2378" w:rsidP="006F2378">
      <w:pPr>
        <w:numPr>
          <w:ilvl w:val="0"/>
          <w:numId w:val="2"/>
        </w:numPr>
        <w:tabs>
          <w:tab w:val="left" w:pos="993"/>
        </w:tabs>
        <w:spacing w:before="120" w:line="288" w:lineRule="auto"/>
        <w:ind w:left="0" w:firstLine="709"/>
        <w:rPr>
          <w:sz w:val="28"/>
          <w:szCs w:val="28"/>
          <w:lang w:eastAsia="vi-VN"/>
        </w:rPr>
      </w:pPr>
      <w:r w:rsidRPr="00B311F5">
        <w:rPr>
          <w:sz w:val="28"/>
          <w:szCs w:val="28"/>
          <w:lang w:eastAsia="vi-VN"/>
        </w:rPr>
        <w:t>Báo cáo tổng hợp và đề xuất vận hành chính thức.</w:t>
      </w:r>
    </w:p>
    <w:p w14:paraId="65E1EFE6" w14:textId="77777777" w:rsidR="006F2378" w:rsidRPr="00B311F5" w:rsidRDefault="006F2378" w:rsidP="006F2378">
      <w:pPr>
        <w:spacing w:before="120" w:line="288" w:lineRule="auto"/>
        <w:ind w:firstLine="720"/>
        <w:rPr>
          <w:sz w:val="28"/>
          <w:szCs w:val="28"/>
        </w:rPr>
      </w:pPr>
      <w:r w:rsidRPr="00B311F5">
        <w:rPr>
          <w:b/>
          <w:sz w:val="28"/>
          <w:szCs w:val="28"/>
        </w:rPr>
        <w:t>3. Dự kiến thời gian chuyên gia bắt đầu thực hiện dịch vụ tư vấn: Quý I/2026.</w:t>
      </w:r>
    </w:p>
    <w:p w14:paraId="27BD41C4" w14:textId="77777777" w:rsidR="006F2378" w:rsidRPr="00B311F5" w:rsidRDefault="006F2378" w:rsidP="006F2378">
      <w:pPr>
        <w:shd w:val="clear" w:color="auto" w:fill="FFFFFF"/>
        <w:spacing w:before="120" w:line="288" w:lineRule="auto"/>
        <w:ind w:firstLine="720"/>
        <w:rPr>
          <w:b/>
          <w:sz w:val="28"/>
          <w:szCs w:val="28"/>
        </w:rPr>
      </w:pPr>
      <w:r w:rsidRPr="00B311F5">
        <w:rPr>
          <w:b/>
          <w:sz w:val="28"/>
          <w:szCs w:val="28"/>
        </w:rPr>
        <w:t xml:space="preserve">III. Báo cáo và thời gian thực hiện: </w:t>
      </w:r>
    </w:p>
    <w:p w14:paraId="2290D5AB"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t xml:space="preserve">- Nhà thầu phải báo cáo về tình hình thực hiện gói thầu và các vấn đề cần kiến nghị và đề xuất các giải pháp để triển khai thực hiện vào cuối mỗi hạng mục. </w:t>
      </w:r>
    </w:p>
    <w:p w14:paraId="2961D651"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t xml:space="preserve">- Nhà thầu tham gia các cuộc họp do bên mời thầu tổ chức khi có yêu cầu; đề xuất với bên mời thầu tổ chức các cuộc họp đột xuất để giải quyết các vấn đề vướng mắc, phát sinh trong quá trình thực hiện hợp đồng. </w:t>
      </w:r>
    </w:p>
    <w:p w14:paraId="2967A90F" w14:textId="77777777" w:rsidR="006F2378" w:rsidRPr="00B311F5" w:rsidRDefault="006F2378" w:rsidP="006F2378">
      <w:pPr>
        <w:shd w:val="clear" w:color="auto" w:fill="FFFFFF"/>
        <w:spacing w:before="120" w:line="288" w:lineRule="auto"/>
        <w:ind w:firstLine="720"/>
        <w:rPr>
          <w:b/>
          <w:sz w:val="28"/>
          <w:szCs w:val="28"/>
        </w:rPr>
      </w:pPr>
      <w:r w:rsidRPr="00B311F5">
        <w:rPr>
          <w:b/>
          <w:sz w:val="28"/>
          <w:szCs w:val="28"/>
        </w:rPr>
        <w:t xml:space="preserve">IV. Kinh nghiệm và nhân sự của nhà thầu: </w:t>
      </w:r>
    </w:p>
    <w:p w14:paraId="08CD70CE"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t xml:space="preserve">- Tổ chức tư vấn có Giấy đăng ký kinh doanh, ngành nghề tư vấn liên quan đến lĩnh vực quản trị nhân sự được cơ quan có thẩm quyền cấp. </w:t>
      </w:r>
    </w:p>
    <w:p w14:paraId="4C6D45D5"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t>- Có kinh nghiệm triển khai các hợp đồng tương tự (Hợp đồng tư vấn trong đó có hạng mục là Xây dựng hệ thống đánh giá thực hiện công việc).</w:t>
      </w:r>
    </w:p>
    <w:p w14:paraId="171CE2A9"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t>- Có đủ nhân sự để thành lập đoàn tư vấn;</w:t>
      </w:r>
    </w:p>
    <w:p w14:paraId="4A301E8C"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t xml:space="preserve">- Đối với các nhân sự chủ chốt: Nhà thầu phải có bảng kê khai lý lịch chuyên gia tư vấn theo mẫu số 07, chương IV của HSMT. Tổ chuyên gia hoặc bên mời thầu được phép liên hệ để kiểm tra tính xác thực của các tài liệu nhà thầu cung cấp. Trường hợp nhân sự không xác nhận theo như các tài liệu Nhà thầu cung cấp thì nhà thầu sẽ không được đánh giá cho nội dung này với số điểm tương ứng. </w:t>
      </w:r>
    </w:p>
    <w:p w14:paraId="3310C0B2" w14:textId="77777777" w:rsidR="006F2378" w:rsidRPr="00B311F5" w:rsidRDefault="006F2378" w:rsidP="006F2378">
      <w:pPr>
        <w:shd w:val="clear" w:color="auto" w:fill="FFFFFF"/>
        <w:spacing w:before="120" w:line="288" w:lineRule="auto"/>
        <w:ind w:firstLine="720"/>
        <w:rPr>
          <w:b/>
          <w:sz w:val="28"/>
          <w:szCs w:val="28"/>
        </w:rPr>
      </w:pPr>
      <w:r w:rsidRPr="00B311F5">
        <w:rPr>
          <w:b/>
          <w:sz w:val="28"/>
          <w:szCs w:val="28"/>
        </w:rPr>
        <w:t xml:space="preserve">V. Trách nhiệm của Chủ đầu tư: </w:t>
      </w:r>
    </w:p>
    <w:p w14:paraId="24BD2C5B" w14:textId="77777777" w:rsidR="006F2378" w:rsidRPr="00B311F5" w:rsidRDefault="006F2378" w:rsidP="006F2378">
      <w:pPr>
        <w:shd w:val="clear" w:color="auto" w:fill="FFFFFF"/>
        <w:spacing w:before="120" w:line="288" w:lineRule="auto"/>
        <w:ind w:firstLine="720"/>
        <w:rPr>
          <w:b/>
          <w:sz w:val="28"/>
          <w:szCs w:val="28"/>
        </w:rPr>
      </w:pPr>
      <w:r w:rsidRPr="00B311F5">
        <w:rPr>
          <w:b/>
          <w:sz w:val="28"/>
          <w:szCs w:val="28"/>
        </w:rPr>
        <w:t xml:space="preserve">1. Cung cấp điều kiện làm việc </w:t>
      </w:r>
    </w:p>
    <w:p w14:paraId="085B61AC"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lastRenderedPageBreak/>
        <w:t xml:space="preserve">- Bố trí riêng phòng làm việc có đầy đủ trang thiết bị (máy chiếu, máy in...), văn phòng phẩm, nước uống trong suốt thời gian đoàn làm việc tại cơ quan; </w:t>
      </w:r>
    </w:p>
    <w:p w14:paraId="34BEC952"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t xml:space="preserve">- Bố trí đầy đủ địa điểm để phỏng vấn các đối tượng liên quan; </w:t>
      </w:r>
    </w:p>
    <w:p w14:paraId="163E0D5B"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t>- Cung cấp các tài liệu có liên quan đến nhiệm vụ của tư vấn, kể cả các tài liệu nghiên cứu liên quan hiện có nhằm tạo điều kiện thuận lợi cho nhà thầu thực hiện nhiệm vụ của mình.</w:t>
      </w:r>
    </w:p>
    <w:p w14:paraId="6593293C"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t>- Có trách nhiệm thông báo rộng rãi tới cán bộ VDB các thông tin về việc tư vấn của đơn vị. Đồng thời, tạo điều kiện thuận lợi cho cán bộ được tiếp xúc và cung cấp thêm thông tin cho đoàn tư vấn (nếu cần).</w:t>
      </w:r>
    </w:p>
    <w:p w14:paraId="59A1C015" w14:textId="77777777" w:rsidR="006F2378" w:rsidRPr="00B311F5" w:rsidRDefault="006F2378" w:rsidP="006F2378">
      <w:pPr>
        <w:shd w:val="clear" w:color="auto" w:fill="FFFFFF"/>
        <w:spacing w:before="120" w:line="288" w:lineRule="auto"/>
        <w:ind w:firstLine="720"/>
        <w:rPr>
          <w:b/>
          <w:sz w:val="28"/>
          <w:szCs w:val="28"/>
        </w:rPr>
      </w:pPr>
      <w:r w:rsidRPr="00B311F5">
        <w:rPr>
          <w:b/>
          <w:sz w:val="28"/>
          <w:szCs w:val="28"/>
        </w:rPr>
        <w:t xml:space="preserve">2. Cán bộ hỗ trợ của chủ đầu tư </w:t>
      </w:r>
    </w:p>
    <w:p w14:paraId="2D52C4F0"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t xml:space="preserve">- Trong quá trình thực hiện gói thầu, chủ đầu tư sẽ bố trí các cán bộ cùng với nhà thầu làm việc để giải quyết những vướng mắc trong quá trình thực hiện hợp đồng; </w:t>
      </w:r>
    </w:p>
    <w:p w14:paraId="5B5A06D3" w14:textId="77777777" w:rsidR="006F2378" w:rsidRPr="00B311F5" w:rsidRDefault="006F2378" w:rsidP="006F2378">
      <w:pPr>
        <w:shd w:val="clear" w:color="auto" w:fill="FFFFFF"/>
        <w:spacing w:before="120" w:line="288" w:lineRule="auto"/>
        <w:ind w:firstLine="720"/>
        <w:rPr>
          <w:sz w:val="28"/>
          <w:szCs w:val="28"/>
        </w:rPr>
      </w:pPr>
      <w:r w:rsidRPr="00B311F5">
        <w:rPr>
          <w:sz w:val="28"/>
          <w:szCs w:val="28"/>
        </w:rPr>
        <w:t xml:space="preserve">- Hợp tác, trao đổi, thảo luận với đoàn đánh giá ngoài về kết quả dự thảo, kết quả chính thức của nhà thầu tại Ngân hàng Phát triển Việt Nam theo đúng quy định; </w:t>
      </w:r>
    </w:p>
    <w:p w14:paraId="27C4AC1D" w14:textId="77777777" w:rsidR="006F2378" w:rsidRPr="00B311F5" w:rsidRDefault="006F2378" w:rsidP="006F2378">
      <w:pPr>
        <w:shd w:val="clear" w:color="auto" w:fill="FFFFFF"/>
        <w:spacing w:before="120" w:line="288" w:lineRule="auto"/>
        <w:ind w:firstLine="720"/>
        <w:rPr>
          <w:i/>
          <w:iCs/>
          <w:sz w:val="28"/>
          <w:szCs w:val="28"/>
          <w:lang w:val="it-IT"/>
        </w:rPr>
      </w:pPr>
      <w:r w:rsidRPr="00B311F5">
        <w:rPr>
          <w:sz w:val="28"/>
          <w:szCs w:val="28"/>
        </w:rPr>
        <w:t>- Nhà thầu không phải chịu bất kỳ một khoản chi phí nào cho cán bộ hỗ trợ của bên mời thầu trong quá trình làm việc, trừ trường hợp sự hỗ trợ đó là do yêu cầu công việc từ phía nhà thầu mà cán bộ của bên mời thầu phải trực tiếp tham gia thực hiện những công việc thuộc phạm vi gói thầu.</w:t>
      </w:r>
    </w:p>
    <w:p w14:paraId="3F0B97BF" w14:textId="77777777" w:rsidR="006F2378" w:rsidRPr="00B311F5" w:rsidRDefault="006F2378" w:rsidP="006F2378">
      <w:pPr>
        <w:spacing w:before="60" w:after="60"/>
        <w:ind w:firstLine="720"/>
        <w:rPr>
          <w:i/>
          <w:iCs/>
          <w:sz w:val="28"/>
          <w:szCs w:val="28"/>
          <w:lang w:val="it-IT"/>
        </w:rPr>
      </w:pPr>
    </w:p>
    <w:p w14:paraId="580A70F0" w14:textId="77777777" w:rsidR="00282C02" w:rsidRDefault="00282C02"/>
    <w:sectPr w:rsidR="00282C0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9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A170B"/>
    <w:multiLevelType w:val="hybridMultilevel"/>
    <w:tmpl w:val="465ED0A0"/>
    <w:lvl w:ilvl="0" w:tplc="42CA956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C0479"/>
    <w:multiLevelType w:val="hybridMultilevel"/>
    <w:tmpl w:val="1C46343E"/>
    <w:lvl w:ilvl="0" w:tplc="9EC6B556">
      <w:start w:val="1"/>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num w:numId="1" w16cid:durableId="950282006">
    <w:abstractNumId w:val="1"/>
  </w:num>
  <w:num w:numId="2" w16cid:durableId="338702923">
    <w:abstractNumId w:val="2"/>
  </w:num>
  <w:num w:numId="3" w16cid:durableId="9984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8"/>
    <w:rsid w:val="001246EB"/>
    <w:rsid w:val="00137743"/>
    <w:rsid w:val="00282C02"/>
    <w:rsid w:val="00376930"/>
    <w:rsid w:val="00413C4D"/>
    <w:rsid w:val="006F2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8DD9"/>
  <w15:chartTrackingRefBased/>
  <w15:docId w15:val="{0C7413F2-C8C7-4C97-88BC-39A077F7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78"/>
    <w:pPr>
      <w:spacing w:after="0" w:line="240" w:lineRule="auto"/>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6F23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3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3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3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23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F23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23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23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23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6F23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3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37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37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237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23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23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23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23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23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2378"/>
    <w:pPr>
      <w:spacing w:before="160"/>
      <w:jc w:val="center"/>
    </w:pPr>
    <w:rPr>
      <w:i/>
      <w:iCs/>
      <w:color w:val="404040" w:themeColor="text1" w:themeTint="BF"/>
    </w:rPr>
  </w:style>
  <w:style w:type="character" w:customStyle="1" w:styleId="QuoteChar">
    <w:name w:val="Quote Char"/>
    <w:basedOn w:val="DefaultParagraphFont"/>
    <w:link w:val="Quote"/>
    <w:uiPriority w:val="29"/>
    <w:rsid w:val="006F2378"/>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mu"/>
    <w:basedOn w:val="Normal"/>
    <w:link w:val="ListParagraphChar"/>
    <w:uiPriority w:val="1"/>
    <w:qFormat/>
    <w:rsid w:val="006F2378"/>
    <w:pPr>
      <w:ind w:left="720"/>
      <w:contextualSpacing/>
    </w:pPr>
  </w:style>
  <w:style w:type="character" w:styleId="IntenseEmphasis">
    <w:name w:val="Intense Emphasis"/>
    <w:basedOn w:val="DefaultParagraphFont"/>
    <w:uiPriority w:val="21"/>
    <w:qFormat/>
    <w:rsid w:val="006F2378"/>
    <w:rPr>
      <w:i/>
      <w:iCs/>
      <w:color w:val="2F5496" w:themeColor="accent1" w:themeShade="BF"/>
    </w:rPr>
  </w:style>
  <w:style w:type="paragraph" w:styleId="IntenseQuote">
    <w:name w:val="Intense Quote"/>
    <w:basedOn w:val="Normal"/>
    <w:next w:val="Normal"/>
    <w:link w:val="IntenseQuoteChar"/>
    <w:uiPriority w:val="30"/>
    <w:qFormat/>
    <w:rsid w:val="006F2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378"/>
    <w:rPr>
      <w:i/>
      <w:iCs/>
      <w:color w:val="2F5496" w:themeColor="accent1" w:themeShade="BF"/>
    </w:rPr>
  </w:style>
  <w:style w:type="character" w:styleId="IntenseReference">
    <w:name w:val="Intense Reference"/>
    <w:basedOn w:val="DefaultParagraphFont"/>
    <w:uiPriority w:val="32"/>
    <w:qFormat/>
    <w:rsid w:val="006F2378"/>
    <w:rPr>
      <w:b/>
      <w:bCs/>
      <w:smallCaps/>
      <w:color w:val="2F5496" w:themeColor="accent1" w:themeShade="BF"/>
      <w:spacing w:val="5"/>
    </w:rPr>
  </w:style>
  <w:style w:type="paragraph" w:styleId="NormalWeb">
    <w:name w:val="Normal (Web)"/>
    <w:basedOn w:val="Normal"/>
    <w:uiPriority w:val="99"/>
    <w:rsid w:val="006F2378"/>
    <w:pPr>
      <w:spacing w:before="100" w:beforeAutospacing="1" w:after="100" w:afterAutospacing="1"/>
      <w:jc w:val="left"/>
    </w:pPr>
    <w:rPr>
      <w:rFonts w:ascii="Arial Unicode MS" w:eastAsia="Arial Unicode MS" w:hAnsi="Arial Unicode MS" w:cs="Arial Unicode MS"/>
      <w:szCs w:val="24"/>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6F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Ngọc Tú</dc:creator>
  <cp:keywords/>
  <dc:description/>
  <cp:lastModifiedBy>Đỗ Ngọc Tú</cp:lastModifiedBy>
  <cp:revision>1</cp:revision>
  <dcterms:created xsi:type="dcterms:W3CDTF">2025-12-31T04:14:00Z</dcterms:created>
  <dcterms:modified xsi:type="dcterms:W3CDTF">2025-12-31T04:16:00Z</dcterms:modified>
</cp:coreProperties>
</file>