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2F" w:rsidRPr="008E0198" w:rsidRDefault="00913E2F" w:rsidP="00913E2F">
      <w:pPr>
        <w:pStyle w:val="Style11"/>
        <w:tabs>
          <w:tab w:val="left" w:pos="0"/>
          <w:tab w:val="left" w:pos="851"/>
          <w:tab w:val="left" w:pos="1418"/>
        </w:tabs>
        <w:spacing w:before="120" w:after="120" w:line="264" w:lineRule="auto"/>
        <w:ind w:firstLine="567"/>
        <w:jc w:val="center"/>
        <w:rPr>
          <w:sz w:val="28"/>
          <w:szCs w:val="28"/>
          <w:lang w:val="nl-NL"/>
        </w:rPr>
      </w:pPr>
      <w:r w:rsidRPr="008E0198">
        <w:rPr>
          <w:b/>
          <w:sz w:val="28"/>
          <w:szCs w:val="28"/>
          <w:lang w:val="nl-NL"/>
        </w:rPr>
        <w:t>Phần 2. YÊU CẦU VỀ KỸ THUẬT</w:t>
      </w:r>
    </w:p>
    <w:p w:rsidR="00913E2F" w:rsidRPr="008E0198" w:rsidRDefault="00913E2F" w:rsidP="00913E2F">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Pr="008E0198">
        <w:rPr>
          <w:b/>
          <w:sz w:val="28"/>
          <w:szCs w:val="28"/>
          <w:lang w:val="vi-VN"/>
        </w:rPr>
        <w:t>Chương V. YÊU CẦU VỀ KỸ THUẬT</w:t>
      </w:r>
    </w:p>
    <w:p w:rsidR="00913E2F" w:rsidRPr="008E0198" w:rsidRDefault="00913E2F" w:rsidP="00913E2F">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rsidR="00913E2F" w:rsidRDefault="00913E2F" w:rsidP="00913E2F">
      <w:pPr>
        <w:tabs>
          <w:tab w:val="left" w:pos="1418"/>
        </w:tabs>
        <w:spacing w:before="120" w:after="120" w:line="264" w:lineRule="auto"/>
        <w:ind w:firstLine="709"/>
        <w:rPr>
          <w:sz w:val="28"/>
          <w:szCs w:val="28"/>
        </w:rPr>
      </w:pPr>
      <w:r w:rsidRPr="008E0198">
        <w:rPr>
          <w:sz w:val="28"/>
          <w:szCs w:val="28"/>
          <w:lang w:val="vi-VN"/>
        </w:rPr>
        <w:t>1. Phạm vi công việc của gói thầu.</w:t>
      </w:r>
    </w:p>
    <w:p w:rsidR="00913E2F" w:rsidRPr="0054490F" w:rsidRDefault="00913E2F" w:rsidP="00913E2F">
      <w:pPr>
        <w:tabs>
          <w:tab w:val="left" w:pos="1418"/>
        </w:tabs>
        <w:spacing w:before="120" w:after="120" w:line="264" w:lineRule="auto"/>
        <w:ind w:firstLine="709"/>
        <w:rPr>
          <w:sz w:val="28"/>
          <w:szCs w:val="28"/>
          <w:lang w:val="vi-VN"/>
        </w:rPr>
      </w:pPr>
      <w:r w:rsidRPr="0054490F">
        <w:rPr>
          <w:sz w:val="28"/>
          <w:szCs w:val="28"/>
          <w:lang w:val="vi-VN"/>
        </w:rPr>
        <w:t>1.</w:t>
      </w:r>
      <w:r w:rsidRPr="00955BC6">
        <w:rPr>
          <w:sz w:val="28"/>
          <w:szCs w:val="28"/>
          <w:lang w:val="vi-VN"/>
        </w:rPr>
        <w:t>1</w:t>
      </w:r>
      <w:r w:rsidRPr="0054490F">
        <w:rPr>
          <w:sz w:val="28"/>
          <w:szCs w:val="28"/>
          <w:lang w:val="vi-VN"/>
        </w:rPr>
        <w:t xml:space="preserve"> Tên dự án: </w:t>
      </w:r>
      <w:r w:rsidR="00A15543" w:rsidRPr="00A15543">
        <w:rPr>
          <w:sz w:val="28"/>
          <w:szCs w:val="28"/>
          <w:lang w:val="vi-VN"/>
        </w:rPr>
        <w:t>Xây dựng hạ tầng đất ở thôn Hợp Tiến, xã Mai Phụ, tỉnh Hà Tĩnh</w:t>
      </w:r>
      <w:r w:rsidRPr="0054490F">
        <w:rPr>
          <w:sz w:val="28"/>
          <w:szCs w:val="28"/>
          <w:lang w:val="vi-VN"/>
        </w:rPr>
        <w:t>.</w:t>
      </w:r>
    </w:p>
    <w:p w:rsidR="00913E2F" w:rsidRPr="00A15543" w:rsidRDefault="00913E2F" w:rsidP="00913E2F">
      <w:pPr>
        <w:widowControl w:val="0"/>
        <w:spacing w:before="120" w:after="120" w:line="264" w:lineRule="auto"/>
        <w:ind w:firstLine="709"/>
        <w:rPr>
          <w:sz w:val="28"/>
          <w:szCs w:val="28"/>
        </w:rPr>
      </w:pPr>
      <w:r w:rsidRPr="003C0FB6">
        <w:rPr>
          <w:sz w:val="28"/>
          <w:szCs w:val="28"/>
          <w:lang w:val="vi-VN"/>
        </w:rPr>
        <w:t>1.</w:t>
      </w:r>
      <w:r w:rsidRPr="0054490F">
        <w:rPr>
          <w:sz w:val="28"/>
          <w:szCs w:val="28"/>
          <w:lang w:val="vi-VN"/>
        </w:rPr>
        <w:t xml:space="preserve">2. Nhóm dự án, loại và cấp công trình: </w:t>
      </w:r>
      <w:r w:rsidRPr="00F61B87">
        <w:rPr>
          <w:sz w:val="28"/>
          <w:szCs w:val="28"/>
          <w:lang w:val="vi-VN"/>
        </w:rPr>
        <w:t xml:space="preserve">Dự án nhóm C, công trình </w:t>
      </w:r>
      <w:r w:rsidR="00A15543">
        <w:rPr>
          <w:sz w:val="28"/>
          <w:szCs w:val="28"/>
        </w:rPr>
        <w:t>Hạ tầng kỹ thuật cấp IV</w:t>
      </w:r>
    </w:p>
    <w:p w:rsidR="00913E2F" w:rsidRPr="0054490F" w:rsidRDefault="00913E2F" w:rsidP="00913E2F">
      <w:pPr>
        <w:widowControl w:val="0"/>
        <w:spacing w:before="120" w:after="120" w:line="264" w:lineRule="auto"/>
        <w:ind w:firstLine="709"/>
        <w:rPr>
          <w:sz w:val="28"/>
          <w:szCs w:val="28"/>
          <w:lang w:val="vi-VN"/>
        </w:rPr>
      </w:pPr>
      <w:r w:rsidRPr="0054490F">
        <w:rPr>
          <w:sz w:val="28"/>
          <w:szCs w:val="28"/>
        </w:rPr>
        <w:t>1.</w:t>
      </w:r>
      <w:r w:rsidRPr="0054490F">
        <w:rPr>
          <w:sz w:val="28"/>
          <w:szCs w:val="28"/>
          <w:lang w:val="vi-VN"/>
        </w:rPr>
        <w:t xml:space="preserve">3. Người quyết định đầu tư: </w:t>
      </w:r>
      <w:r>
        <w:rPr>
          <w:sz w:val="28"/>
          <w:szCs w:val="28"/>
        </w:rPr>
        <w:t xml:space="preserve"> </w:t>
      </w:r>
      <w:r w:rsidRPr="006A19E4">
        <w:rPr>
          <w:sz w:val="28"/>
          <w:szCs w:val="28"/>
        </w:rPr>
        <w:t xml:space="preserve">Chủ tịch UBND </w:t>
      </w:r>
      <w:r w:rsidR="003A3AA0">
        <w:rPr>
          <w:sz w:val="28"/>
          <w:szCs w:val="28"/>
        </w:rPr>
        <w:t>xã</w:t>
      </w:r>
      <w:r>
        <w:rPr>
          <w:sz w:val="28"/>
          <w:szCs w:val="28"/>
        </w:rPr>
        <w:t xml:space="preserve"> </w:t>
      </w:r>
      <w:r w:rsidR="00D811D3">
        <w:rPr>
          <w:sz w:val="28"/>
          <w:szCs w:val="28"/>
        </w:rPr>
        <w:t>Mai Phụ</w:t>
      </w:r>
      <w:r w:rsidRPr="0054490F">
        <w:rPr>
          <w:sz w:val="28"/>
          <w:szCs w:val="28"/>
          <w:lang w:val="vi-VN"/>
        </w:rPr>
        <w:t>.</w:t>
      </w:r>
    </w:p>
    <w:p w:rsidR="00913E2F" w:rsidRPr="0054490F" w:rsidRDefault="00913E2F" w:rsidP="00913E2F">
      <w:pPr>
        <w:widowControl w:val="0"/>
        <w:spacing w:before="120" w:after="120" w:line="264" w:lineRule="auto"/>
        <w:ind w:firstLine="709"/>
        <w:rPr>
          <w:sz w:val="28"/>
          <w:szCs w:val="28"/>
          <w:lang w:val="vi-VN"/>
        </w:rPr>
      </w:pPr>
      <w:r w:rsidRPr="0054490F">
        <w:rPr>
          <w:sz w:val="28"/>
          <w:szCs w:val="28"/>
        </w:rPr>
        <w:t>1.</w:t>
      </w:r>
      <w:r w:rsidRPr="0054490F">
        <w:rPr>
          <w:sz w:val="28"/>
          <w:szCs w:val="28"/>
          <w:lang w:val="vi-VN"/>
        </w:rPr>
        <w:t xml:space="preserve">4. Tên Chủ đầu tư: </w:t>
      </w:r>
      <w:r>
        <w:rPr>
          <w:sz w:val="28"/>
          <w:szCs w:val="28"/>
          <w:lang w:val="vi-VN"/>
        </w:rPr>
        <w:t xml:space="preserve">Ủy ban nhân dân </w:t>
      </w:r>
      <w:r w:rsidR="00AF7D88">
        <w:rPr>
          <w:sz w:val="28"/>
          <w:szCs w:val="28"/>
        </w:rPr>
        <w:t>xã</w:t>
      </w:r>
      <w:r>
        <w:rPr>
          <w:sz w:val="28"/>
          <w:szCs w:val="28"/>
        </w:rPr>
        <w:t xml:space="preserve"> </w:t>
      </w:r>
      <w:r w:rsidR="00D811D3">
        <w:rPr>
          <w:sz w:val="28"/>
          <w:szCs w:val="28"/>
        </w:rPr>
        <w:t>Mai Phụ</w:t>
      </w:r>
      <w:r>
        <w:rPr>
          <w:sz w:val="28"/>
          <w:szCs w:val="28"/>
          <w:lang w:val="vi-VN"/>
        </w:rPr>
        <w:t xml:space="preserve"> </w:t>
      </w:r>
      <w:r w:rsidRPr="00FE5639">
        <w:rPr>
          <w:sz w:val="28"/>
          <w:szCs w:val="28"/>
          <w:lang w:val="vi-VN"/>
        </w:rPr>
        <w:t>.</w:t>
      </w:r>
    </w:p>
    <w:p w:rsidR="00913E2F" w:rsidRPr="0054490F" w:rsidRDefault="00913E2F" w:rsidP="00913E2F">
      <w:pPr>
        <w:widowControl w:val="0"/>
        <w:spacing w:before="120" w:after="120" w:line="264" w:lineRule="auto"/>
        <w:ind w:firstLine="709"/>
        <w:rPr>
          <w:sz w:val="28"/>
          <w:szCs w:val="28"/>
          <w:lang w:val="vi-VN"/>
        </w:rPr>
      </w:pPr>
      <w:r w:rsidRPr="0054490F">
        <w:rPr>
          <w:sz w:val="28"/>
          <w:szCs w:val="28"/>
        </w:rPr>
        <w:t>1.</w:t>
      </w:r>
      <w:r w:rsidRPr="0054490F">
        <w:rPr>
          <w:sz w:val="28"/>
          <w:szCs w:val="28"/>
          <w:lang w:val="vi-VN"/>
        </w:rPr>
        <w:t xml:space="preserve">5. Địa điểm xây dựng: </w:t>
      </w:r>
      <w:r w:rsidR="008537EB">
        <w:rPr>
          <w:sz w:val="28"/>
          <w:szCs w:val="28"/>
        </w:rPr>
        <w:t>Thôn hợp Hợp Tiến, xã Mai Phụ</w:t>
      </w:r>
      <w:r w:rsidRPr="006A19E4">
        <w:rPr>
          <w:sz w:val="28"/>
          <w:szCs w:val="28"/>
          <w:lang w:val="vi-VN"/>
        </w:rPr>
        <w:t>, Tỉnh Hà Tĩnh</w:t>
      </w:r>
    </w:p>
    <w:p w:rsidR="00913E2F" w:rsidRPr="002864C7" w:rsidRDefault="00913E2F" w:rsidP="00913E2F">
      <w:pPr>
        <w:widowControl w:val="0"/>
        <w:spacing w:before="120" w:after="120" w:line="264" w:lineRule="auto"/>
        <w:ind w:firstLine="709"/>
        <w:rPr>
          <w:sz w:val="28"/>
          <w:szCs w:val="28"/>
          <w:lang w:val="vi-VN"/>
        </w:rPr>
      </w:pPr>
      <w:r w:rsidRPr="002864C7">
        <w:rPr>
          <w:sz w:val="28"/>
          <w:szCs w:val="28"/>
          <w:lang w:val="vi-VN"/>
        </w:rPr>
        <w:t>1.</w:t>
      </w:r>
      <w:r w:rsidRPr="0054490F">
        <w:rPr>
          <w:sz w:val="28"/>
          <w:szCs w:val="28"/>
          <w:lang w:val="vi-VN"/>
        </w:rPr>
        <w:t xml:space="preserve">6. Giá trị tổng mức đầu tư: </w:t>
      </w:r>
      <w:r w:rsidR="002864C7" w:rsidRPr="002864C7">
        <w:rPr>
          <w:lang w:val="vi-VN"/>
        </w:rPr>
        <w:t>8.429.000.000 đồng</w:t>
      </w:r>
      <w:r w:rsidR="002864C7" w:rsidRPr="002864C7">
        <w:rPr>
          <w:sz w:val="28"/>
          <w:szCs w:val="28"/>
          <w:lang w:val="vi-VN"/>
        </w:rPr>
        <w:t xml:space="preserve"> </w:t>
      </w:r>
      <w:r w:rsidRPr="003F5C0A">
        <w:rPr>
          <w:sz w:val="28"/>
          <w:szCs w:val="28"/>
          <w:lang w:val="vi-VN"/>
        </w:rPr>
        <w:t xml:space="preserve">(Bằng chữ: </w:t>
      </w:r>
      <w:r w:rsidR="002864C7" w:rsidRPr="002864C7">
        <w:rPr>
          <w:sz w:val="28"/>
          <w:szCs w:val="28"/>
          <w:lang w:val="vi-VN"/>
        </w:rPr>
        <w:t>(Tám tỷ bốn trăm hai mươi chín triệu đồng)</w:t>
      </w:r>
      <w:r w:rsidRPr="0054490F">
        <w:rPr>
          <w:sz w:val="28"/>
          <w:szCs w:val="28"/>
          <w:lang w:val="vi-VN"/>
        </w:rPr>
        <w:t>.</w:t>
      </w:r>
    </w:p>
    <w:p w:rsidR="00913E2F" w:rsidRDefault="00913E2F" w:rsidP="00913E2F">
      <w:pPr>
        <w:widowControl w:val="0"/>
        <w:spacing w:before="120" w:after="120" w:line="264" w:lineRule="auto"/>
        <w:ind w:firstLine="709"/>
        <w:rPr>
          <w:sz w:val="28"/>
          <w:szCs w:val="28"/>
        </w:rPr>
      </w:pPr>
      <w:r w:rsidRPr="0054490F">
        <w:rPr>
          <w:sz w:val="28"/>
          <w:szCs w:val="28"/>
        </w:rPr>
        <w:t>1.</w:t>
      </w:r>
      <w:r w:rsidRPr="0054490F">
        <w:rPr>
          <w:sz w:val="28"/>
          <w:szCs w:val="28"/>
          <w:lang w:val="vi-VN"/>
        </w:rPr>
        <w:t>7. Nguồn vốn:</w:t>
      </w:r>
      <w:r w:rsidRPr="00FE5639">
        <w:t xml:space="preserve"> </w:t>
      </w:r>
      <w:r w:rsidRPr="006A19E4">
        <w:rPr>
          <w:sz w:val="28"/>
          <w:szCs w:val="28"/>
          <w:lang w:val="vi-VN"/>
        </w:rPr>
        <w:t xml:space="preserve">Ngân sách </w:t>
      </w:r>
      <w:r w:rsidR="00C811F1">
        <w:rPr>
          <w:sz w:val="28"/>
          <w:szCs w:val="28"/>
        </w:rPr>
        <w:t>xã</w:t>
      </w:r>
      <w:r w:rsidRPr="006A19E4">
        <w:rPr>
          <w:sz w:val="28"/>
          <w:szCs w:val="28"/>
          <w:lang w:val="vi-VN"/>
        </w:rPr>
        <w:t xml:space="preserve"> và chủ đầu tư huy động các nguồn vốn hợp pháp khác</w:t>
      </w:r>
    </w:p>
    <w:p w:rsidR="00913E2F" w:rsidRPr="00125513" w:rsidRDefault="00913E2F" w:rsidP="00913E2F">
      <w:pPr>
        <w:widowControl w:val="0"/>
        <w:spacing w:before="120" w:after="120" w:line="264" w:lineRule="auto"/>
        <w:ind w:firstLine="709"/>
        <w:rPr>
          <w:sz w:val="28"/>
          <w:szCs w:val="28"/>
        </w:rPr>
      </w:pPr>
      <w:r w:rsidRPr="0054490F">
        <w:rPr>
          <w:sz w:val="28"/>
          <w:szCs w:val="28"/>
        </w:rPr>
        <w:t>1.</w:t>
      </w:r>
      <w:r w:rsidRPr="0054490F">
        <w:rPr>
          <w:sz w:val="28"/>
          <w:szCs w:val="28"/>
          <w:lang w:val="vi-VN"/>
        </w:rPr>
        <w:t xml:space="preserve">8. Thời gian thực hiện: Năm </w:t>
      </w:r>
      <w:r>
        <w:rPr>
          <w:sz w:val="28"/>
          <w:szCs w:val="28"/>
        </w:rPr>
        <w:t>2025</w:t>
      </w:r>
    </w:p>
    <w:p w:rsidR="00913E2F" w:rsidRPr="00C57E2B" w:rsidRDefault="00913E2F" w:rsidP="00913E2F">
      <w:pPr>
        <w:widowControl w:val="0"/>
        <w:spacing w:before="120" w:after="120" w:line="264" w:lineRule="auto"/>
        <w:ind w:firstLine="709"/>
        <w:rPr>
          <w:sz w:val="28"/>
          <w:szCs w:val="28"/>
          <w:lang w:val="vi-VN"/>
        </w:rPr>
      </w:pPr>
      <w:r w:rsidRPr="00C57E2B">
        <w:rPr>
          <w:sz w:val="28"/>
          <w:szCs w:val="28"/>
          <w:lang w:val="vi-VN"/>
        </w:rPr>
        <w:t>1.9. Quy mô đầu tư</w:t>
      </w:r>
    </w:p>
    <w:p w:rsidR="00913E2F" w:rsidRPr="000934FD" w:rsidRDefault="00A00D51" w:rsidP="00913E2F">
      <w:pPr>
        <w:widowControl w:val="0"/>
        <w:spacing w:before="120" w:line="340" w:lineRule="exact"/>
        <w:ind w:firstLine="709"/>
        <w:rPr>
          <w:sz w:val="28"/>
          <w:szCs w:val="28"/>
          <w:lang w:val="nl-NL"/>
        </w:rPr>
      </w:pPr>
      <w:r w:rsidRPr="00575C15">
        <w:rPr>
          <w:sz w:val="28"/>
          <w:szCs w:val="28"/>
          <w:lang w:val="vi-VN"/>
        </w:rPr>
        <w:t>Theo</w:t>
      </w:r>
      <w:r>
        <w:rPr>
          <w:sz w:val="28"/>
          <w:szCs w:val="28"/>
        </w:rPr>
        <w:t xml:space="preserve"> hồ sơ</w:t>
      </w:r>
      <w:r w:rsidRPr="00575C15">
        <w:rPr>
          <w:sz w:val="28"/>
          <w:szCs w:val="28"/>
          <w:lang w:val="vi-VN"/>
        </w:rPr>
        <w:t xml:space="preserve"> thiết kế BVTC</w:t>
      </w:r>
      <w:r w:rsidR="00175DEB">
        <w:rPr>
          <w:sz w:val="28"/>
          <w:szCs w:val="28"/>
        </w:rPr>
        <w:t xml:space="preserve"> và quyết định phê duyệt dự án đính kèm</w:t>
      </w:r>
      <w:r w:rsidRPr="00575C15">
        <w:rPr>
          <w:sz w:val="28"/>
          <w:szCs w:val="28"/>
          <w:lang w:val="vi-VN"/>
        </w:rPr>
        <w:t xml:space="preserve"> được duyệt đính kèm</w:t>
      </w:r>
      <w:r w:rsidR="00913E2F" w:rsidRPr="000934FD">
        <w:rPr>
          <w:sz w:val="28"/>
          <w:szCs w:val="28"/>
          <w:lang w:val="nl-NL"/>
        </w:rPr>
        <w:t>.</w:t>
      </w:r>
    </w:p>
    <w:p w:rsidR="00913E2F" w:rsidRPr="00955BC6" w:rsidRDefault="00913E2F" w:rsidP="00913E2F">
      <w:pPr>
        <w:widowControl w:val="0"/>
        <w:tabs>
          <w:tab w:val="left" w:pos="1418"/>
        </w:tabs>
        <w:spacing w:before="120" w:after="120" w:line="264" w:lineRule="auto"/>
        <w:ind w:firstLine="709"/>
        <w:rPr>
          <w:sz w:val="28"/>
          <w:szCs w:val="28"/>
        </w:rPr>
      </w:pPr>
      <w:r>
        <w:rPr>
          <w:sz w:val="28"/>
          <w:szCs w:val="28"/>
          <w:lang w:val="vi-VN"/>
        </w:rPr>
        <w:t>2. Thời hạn hoàn thành</w:t>
      </w:r>
      <w:r>
        <w:rPr>
          <w:sz w:val="28"/>
          <w:szCs w:val="28"/>
        </w:rPr>
        <w:t xml:space="preserve">: </w:t>
      </w:r>
      <w:r w:rsidR="00F22050">
        <w:rPr>
          <w:sz w:val="28"/>
          <w:szCs w:val="28"/>
        </w:rPr>
        <w:t>12</w:t>
      </w:r>
      <w:r>
        <w:rPr>
          <w:sz w:val="28"/>
          <w:szCs w:val="28"/>
        </w:rPr>
        <w:t>0 ngày</w:t>
      </w:r>
    </w:p>
    <w:p w:rsidR="00913E2F" w:rsidRPr="008E0198" w:rsidRDefault="00913E2F" w:rsidP="00913E2F">
      <w:pPr>
        <w:widowControl w:val="0"/>
        <w:tabs>
          <w:tab w:val="left" w:pos="1418"/>
        </w:tabs>
        <w:spacing w:before="120" w:after="120" w:line="264" w:lineRule="auto"/>
        <w:ind w:firstLine="709"/>
        <w:rPr>
          <w:b/>
          <w:sz w:val="28"/>
          <w:szCs w:val="28"/>
          <w:lang w:val="vi-VN"/>
        </w:rPr>
      </w:pPr>
      <w:r w:rsidRPr="008E0198">
        <w:rPr>
          <w:b/>
          <w:sz w:val="28"/>
          <w:szCs w:val="28"/>
          <w:lang w:val="vi-VN"/>
        </w:rPr>
        <w:t>II. Yêu cầu về tiến độ thực hiện</w:t>
      </w:r>
    </w:p>
    <w:p w:rsidR="00913E2F" w:rsidRPr="002D247D" w:rsidRDefault="00913E2F" w:rsidP="00913E2F">
      <w:pPr>
        <w:widowControl w:val="0"/>
        <w:spacing w:before="120" w:after="120" w:line="264" w:lineRule="auto"/>
        <w:ind w:firstLine="709"/>
        <w:rPr>
          <w:sz w:val="28"/>
          <w:szCs w:val="28"/>
          <w:lang w:val="es-ES"/>
        </w:rPr>
      </w:pPr>
      <w:r w:rsidRPr="002D247D">
        <w:rPr>
          <w:sz w:val="28"/>
          <w:szCs w:val="28"/>
          <w:lang w:val="es-ES"/>
        </w:rPr>
        <w:t xml:space="preserve">Nêu yêu cầu về thời gian từ khi khởi công </w:t>
      </w:r>
      <w:r w:rsidRPr="002D247D">
        <w:rPr>
          <w:rFonts w:eastAsia="Calibri"/>
          <w:kern w:val="24"/>
          <w:sz w:val="28"/>
          <w:szCs w:val="28"/>
          <w:lang w:val="vi-VN" w:eastAsia="vi-VN"/>
        </w:rPr>
        <w:t>đến</w:t>
      </w:r>
      <w:r w:rsidRPr="002D247D">
        <w:rPr>
          <w:sz w:val="28"/>
          <w:szCs w:val="28"/>
          <w:lang w:val="es-ES"/>
        </w:rPr>
        <w:t xml:space="preserve"> khi hoàn thành hợp đồng </w:t>
      </w:r>
      <w:r>
        <w:rPr>
          <w:sz w:val="28"/>
          <w:szCs w:val="28"/>
          <w:lang w:val="es-ES"/>
        </w:rPr>
        <w:t xml:space="preserve">: </w:t>
      </w:r>
      <w:r w:rsidRPr="00F22050">
        <w:rPr>
          <w:bCs/>
          <w:color w:val="0000CC"/>
          <w:sz w:val="28"/>
          <w:szCs w:val="28"/>
        </w:rPr>
        <w:t>T</w:t>
      </w:r>
      <w:r w:rsidRPr="00F22050">
        <w:rPr>
          <w:bCs/>
          <w:color w:val="0000CC"/>
          <w:sz w:val="28"/>
          <w:szCs w:val="28"/>
          <w:lang w:val="vi-VN"/>
        </w:rPr>
        <w:t>ối đa</w:t>
      </w:r>
      <w:r w:rsidRPr="00F22050">
        <w:rPr>
          <w:bCs/>
          <w:color w:val="0000CC"/>
          <w:sz w:val="28"/>
          <w:szCs w:val="28"/>
        </w:rPr>
        <w:t xml:space="preserve"> </w:t>
      </w:r>
      <w:r w:rsidR="00F22050">
        <w:rPr>
          <w:bCs/>
          <w:color w:val="0000CC"/>
          <w:sz w:val="28"/>
          <w:szCs w:val="28"/>
        </w:rPr>
        <w:t>12</w:t>
      </w:r>
      <w:r w:rsidRPr="00F22050">
        <w:rPr>
          <w:bCs/>
          <w:color w:val="0000CC"/>
          <w:sz w:val="28"/>
          <w:szCs w:val="28"/>
        </w:rPr>
        <w:t>0 ngày</w:t>
      </w:r>
    </w:p>
    <w:p w:rsidR="00913E2F" w:rsidRPr="008E0198" w:rsidRDefault="00913E2F" w:rsidP="00913E2F">
      <w:pPr>
        <w:widowControl w:val="0"/>
        <w:tabs>
          <w:tab w:val="left" w:pos="700"/>
          <w:tab w:val="left" w:pos="1418"/>
        </w:tabs>
        <w:spacing w:before="120" w:after="120" w:line="264" w:lineRule="auto"/>
        <w:ind w:firstLine="709"/>
        <w:rPr>
          <w:b/>
          <w:bCs/>
          <w:sz w:val="28"/>
          <w:szCs w:val="28"/>
        </w:rPr>
      </w:pPr>
      <w:r w:rsidRPr="008E0198">
        <w:rPr>
          <w:b/>
          <w:bCs/>
          <w:sz w:val="28"/>
          <w:szCs w:val="28"/>
        </w:rPr>
        <w:t>III. Yêu cầu về kỹ thuật/chỉ dẫn kỹ thuật</w:t>
      </w:r>
    </w:p>
    <w:p w:rsidR="00913E2F" w:rsidRPr="00442F1E" w:rsidRDefault="00913E2F" w:rsidP="00913E2F">
      <w:pPr>
        <w:tabs>
          <w:tab w:val="left" w:pos="1418"/>
        </w:tabs>
        <w:spacing w:before="120" w:after="120" w:line="264" w:lineRule="auto"/>
        <w:ind w:firstLine="709"/>
        <w:rPr>
          <w:sz w:val="28"/>
          <w:szCs w:val="28"/>
        </w:rPr>
      </w:pPr>
      <w:bookmarkStart w:id="0" w:name="_Hlk163114159"/>
      <w:r w:rsidRPr="00442F1E">
        <w:rPr>
          <w:sz w:val="28"/>
          <w:szCs w:val="28"/>
        </w:rPr>
        <w:t xml:space="preserve">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này và phải mô tả đủ chi tiết để chứng minh tính phù hợp của đề xuất đối với các yêu cầu công việc và thời hạn cần hoàn thành công việc. Đề xuất kỹ thuật sẽ được đánh giá xem các giải pháp kỹ thuật (bao gồm tính khả thi vật tư, vật liệu chính, các hạng mục công việc xây lắp chính, sự tuân thủ các quy chuẩn tiêu chuẩn áp dụng, sự phù hợp và khả thi huy động nhân sự, thiết bị thi công; nhân sự phụ trách kỹ thuật đề xuất được huy động phù hợp về số lượng, sẵn sàng để huy động và có trình độ năng lực kinh nghiệm phù hợp vị trí đảm nhận; thiết bị thi công đề xuất phù hợp về số lượng, chủng loại, công suất và sẵn sàng để huy động..), tổ chức công trường và </w:t>
      </w:r>
      <w:r w:rsidRPr="00442F1E">
        <w:rPr>
          <w:sz w:val="28"/>
          <w:szCs w:val="28"/>
        </w:rPr>
        <w:lastRenderedPageBreak/>
        <w:t>biện pháp tổ chức thi công (bao gồm sự đầy đủ các hạng mục công việc xây lắp chính, áp dụng sự tuân thủ các quy chuẩn tiêu chuẩn hiện hành, sự phù hợp và khả thi sẵn sàng huy động nhân sự phụ trách kỹ thuật, thiết bị thi công, kế hoạch tiến độ thi công…), các biện pháp đảm bảo chất lượng, kế hoạch huy động và kế hoạch thi công …được thể hiện bằng cách thức phù hợp và tuân thủ các yêu cầu quy định tại Chương này mà không có sai lệch, hạn chế, hoặc thiếu sót đáng kể. Đề xuất kỹ thuật đề xuất được chấp thuận là ràng buộc pháp lý theo hợp đồng của nhà thầu với chủ đầu tư cho công trình về chất lượng - tiến độ - nghĩa vụ và trách nhiệm - giá dự thầu/giá hợp đồng thanh toán.</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Nhà thầu thi công với sự hiểu biết kỹ thuật, kinh nghiệm thi công, nguồn lực hiện có… trình bày Đề xuất kỹ thuật cho gói thầu/công trình cần đáp ứng các yêu cầu tối thiểu của công trình, Yêu cầu về kỹ thuật/chỉ dẫn kỹ thuật bao gồm và không chỉ giới hạn ở những yêu cầu dưới đây:</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1. Tính hợp lý và khả thi của các giải pháp kỹ thuật, biện pháp tổ chức thi công phù hợp với đề xuất về tiến độ thi công.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xml:space="preserve">1.1. Yêu cầu đối với nguyên, vật liệu chính như </w:t>
      </w:r>
      <w:r w:rsidRPr="00442F1E">
        <w:rPr>
          <w:color w:val="FF0000"/>
          <w:sz w:val="28"/>
          <w:szCs w:val="28"/>
        </w:rPr>
        <w:t>Xi măng các loại, Sắt t</w:t>
      </w:r>
      <w:r>
        <w:rPr>
          <w:color w:val="FF0000"/>
          <w:sz w:val="28"/>
          <w:szCs w:val="28"/>
        </w:rPr>
        <w:t>hép các loại…</w:t>
      </w:r>
      <w:r w:rsidRPr="00442F1E">
        <w:rPr>
          <w:sz w:val="28"/>
          <w:szCs w:val="28"/>
        </w:rPr>
        <w:t xml:space="preserve"> Nhà thầu kê khai nguồn gốc, chủng loại vật liệu rõ ràng, cụ thể và áp dụng các tiêu chuẩn kỹ thuật hiện hành (tiêu chuẩn Việt Nam còn hiệu lực) cho từng loại vật liệu sử dụng.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1.2. Yêu cầu đối với nguyên, vật liệu chính như</w:t>
      </w:r>
      <w:r>
        <w:rPr>
          <w:sz w:val="28"/>
          <w:szCs w:val="28"/>
        </w:rPr>
        <w:t xml:space="preserve">, </w:t>
      </w:r>
      <w:r w:rsidRPr="00B713CD">
        <w:rPr>
          <w:color w:val="FF0000"/>
          <w:sz w:val="28"/>
          <w:szCs w:val="28"/>
        </w:rPr>
        <w:t>Đất các loại,</w:t>
      </w:r>
      <w:r w:rsidRPr="00442F1E">
        <w:rPr>
          <w:sz w:val="28"/>
          <w:szCs w:val="28"/>
        </w:rPr>
        <w:t xml:space="preserve"> </w:t>
      </w:r>
      <w:r w:rsidRPr="00B713CD">
        <w:rPr>
          <w:color w:val="FF0000"/>
          <w:sz w:val="28"/>
          <w:szCs w:val="28"/>
        </w:rPr>
        <w:t>Cát các loại, Đá các loại</w:t>
      </w:r>
      <w:r>
        <w:rPr>
          <w:color w:val="FF0000"/>
          <w:sz w:val="28"/>
          <w:szCs w:val="28"/>
        </w:rPr>
        <w:t xml:space="preserve">, </w:t>
      </w:r>
      <w:r w:rsidR="00A72677">
        <w:rPr>
          <w:color w:val="FF0000"/>
          <w:sz w:val="28"/>
          <w:szCs w:val="28"/>
        </w:rPr>
        <w:t>Hổn hợp BTXM</w:t>
      </w:r>
      <w:bookmarkStart w:id="1" w:name="_GoBack"/>
      <w:bookmarkEnd w:id="1"/>
      <w:r w:rsidRPr="00B713CD">
        <w:rPr>
          <w:color w:val="FF0000"/>
          <w:sz w:val="28"/>
          <w:szCs w:val="28"/>
        </w:rPr>
        <w:t xml:space="preserve">,: Nhà thầu kê khai nguồn gốc, chủng loại </w:t>
      </w:r>
      <w:r w:rsidRPr="00442F1E">
        <w:rPr>
          <w:sz w:val="28"/>
          <w:szCs w:val="28"/>
        </w:rPr>
        <w:t>vật liệu rõ ràng, cụ thể và áp dụng các tiêu chuẩn kỹ thuật hiện hành (tiêu chuẩn Việt Nam còn hiệu lực) cho từng loại vật liệu sử dụng.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1.3. Yêu cầu đối với vận chuyển nguyên, vật liệu: Nhà thầu có cam kết bằng văn bản tuân thủ các quy định An toàn giao thông trong quá trình vận chuyển nguyên, vật liệu.</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1.4. Yêu cầu đối với điều kiện tham gia giao thông của xe máy chuyên dùng: Nhà thầu có cam kết bằng văn bản tuân thủ các quy định về Điều kiện tham gia giao thông của xe máy chuyên dùng quy định tại Điều 57 Luật Giao thông đường bộ số 23/2008/QH12 ngày 13/11/2008.</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xml:space="preserve">1.5. Giải pháp kỹ thuật và biện pháp tổ chức thi công tổng thể, chi tiết phù hợp với đề xuất về tiến độ thi công: </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1.6.1 Công tác chuẩn bị;</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1.6.2 Biện pháp tổ chức thi công.</w:t>
      </w:r>
    </w:p>
    <w:p w:rsidR="00913E2F" w:rsidRPr="00442F1E" w:rsidRDefault="00913E2F" w:rsidP="00913E2F">
      <w:pPr>
        <w:tabs>
          <w:tab w:val="left" w:pos="1418"/>
        </w:tabs>
        <w:spacing w:before="120" w:after="120" w:line="264" w:lineRule="auto"/>
        <w:ind w:firstLine="709"/>
        <w:rPr>
          <w:sz w:val="28"/>
          <w:szCs w:val="28"/>
        </w:rPr>
      </w:pPr>
      <w:r>
        <w:rPr>
          <w:sz w:val="28"/>
          <w:szCs w:val="28"/>
        </w:rPr>
        <w:t>- Thuyết minh biện pháp giải pháp thi công đầy đủ các hạng mục theo hồ sơ thiết kế được duyệt:</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lastRenderedPageBreak/>
        <w:t>1.8. Giải pháp giảm thiểu chấn động, rạn nứt nhà dân trong quá trình thi công: Bên B phải tự chủ động nghiên cứu điều kiện thực tế để có giải pháp thi công phù hợp nhằm giảm thiểu rủi ro ảnh hưởng đến công trình lân cận trong suốt quá trình thi công như thi công khoan cọc, lu rung, hoạt động của máy móc thiết bị,… gây ra chấn động, dịch chuyển kết cấu có thể dẫn đến nứt, sụt lún, hư hỏng nhà ở, công trình lân cận. Để đảm bảo chất lượng và tiến độ công trình, trong trường hợp thi công qua các khu dân cư, các thiết bị thi công có gây chấn động như lu rung... làm ảnh hưởng đến các công trình liền kề thì Bên B phải có giải pháp thi công và tự huy động các thiết bị thi công thay thế khác có tính năng phù hợp. Trường hợp nếu có phát sinh hư hỏng, tổn thất phải bồi thường do các yếu tố và nguyên nhân trên, Bên B phải có trách nhiệm bồi thường cho bên bị thiệt hại (nếu có) bằng nguồn kinh phí của mình để đảm bảo tiến độ thi công liên tục và không bị gián đoạn, hoặc Bên B có giải pháp khắc phục trong quá trình thực hiện thi công dự án.</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xml:space="preserve">1.9. Biện pháp bảo đảm an toàn giao thông đường bộ khi thi công trên đường đang khai thác: Tổ chức giao thông cho các phương tiện giao thông đường bộ, người tham gia giao thông cũng như bố trí các trang thiết bị tổ chức giao thông, dẫn hướng, rào chắn tại các vị trí thực hiện các hoạt động thi công trên đường bộ đang khai thác nhằm đảm bảo ATGT, bảo vệ sức khỏe, tính mạng con người, bảo vệ tài sản nhà nước, nhân dân và bảo vệ môi trường. Trang thiết bị tổ chức giao thông, dẫn hướng, rào chắn, sơ đồ tổ chức giao thông và các yêu cầu khác phải tuân thủ theo thiết kế được duyệt và các quy định Tiêu chuẩn cơ sở TCCS 14:2016/TCĐBVN - Tiêu chuẩn về tổ chức giao thông và bố trí phòng hộ khi thi công trên đường đang khai thác </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2. Tiến độ thi công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xml:space="preserve">2.1. Thời gian thi công: </w:t>
      </w:r>
      <w:r>
        <w:rPr>
          <w:sz w:val="28"/>
          <w:szCs w:val="28"/>
        </w:rPr>
        <w:t>120 ngày</w:t>
      </w:r>
      <w:r w:rsidRPr="00442F1E">
        <w:rPr>
          <w:sz w:val="28"/>
          <w:szCs w:val="28"/>
        </w:rPr>
        <w:t xml:space="preserve"> kể từ ngày hợp đồng có hiệu lực</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2.2. Biểu đồ tiến độ thi công: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Có Biểu đồ tiến độ thi công chi tiết theo các hạng mục chính của công trình phù hợp Biện pháp thi công và tiến độ của gói thầu.</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Có Biểu đồ huy động nhân lực, thiết bị đảm bảo phù hợp với tiến độ thi công chi tiết và tổng tiến độ của gói thầu.</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3. Cách thức quản lý dự án bao gồm: Tổ chức quản lý dự án, tổ chứ quản lý hiện trường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3.1. Tổ chức quản lý dự án</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Tiếp nhận và quản lý mặt bằng xây dựng, bảo quản mốc định vị và mốc giới công trình, quản lý công trường xây dựng theo quy định.</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xml:space="preserve">- Lập và thông báo cho chủ đầu tư và các chủ thể có liên quan về hệ thống quản lý thi công xây dựng của nhà thầu. Hệ thống quản lý thi công xây dựng phải </w:t>
      </w:r>
      <w:r w:rsidRPr="00442F1E">
        <w:rPr>
          <w:sz w:val="28"/>
          <w:szCs w:val="28"/>
        </w:rPr>
        <w:lastRenderedPageBreak/>
        <w:t>phù hợp với E-HSDT,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Kế hoạch tổ chức thí nghiệm, kiểm tra, kiểm định, thử nghiệm, chạy thử, quan trắc, đo đạc các thông số kỹ thuật của công trình theo yêu cầu thiết kế và chỉ dẫn kỹ thuật.</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Biện pháp kiểm tra, kiểm soát chất lượng vật liệu, sản phẩm, cấu kiện, thiết bị được sử dụng cho công trình; biện pháp thi công.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Tiến độ thi công xây dựng công trình.</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Kế hoạch kiểm tra, nghiệm thu công việc xây dựng, nghiệm thu giai đoạn thi công xây dựng hoặc bộ phận (hạng mục) công trình xây dựng, nghiệm thu hoàn thành hạng mục công trình, công trình xây dựng.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Kế hoạch tổng hợp về an toàn theo các nội dung quy định tại Phụ lục III Nghị định này; các biện pháp đảm bảo an toàn chi tiết đối với những công việc có nguy cơ mất an toàn lao động cao đã được xác định trong kế hoạch tổng hợp về an toàn.</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3.2. Tổ chức quản lý hiện trường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Thuyết minh, thể hiện rõ hệ thống quản lý dự án từ Công ty, của từng thành viên liên danh (nếu có) cho tới Ban chỉ huy công trường trong việc cung ứng nhân lực, thiết bị, nguồn lực tài chính cho gói thầu. Trường hợp các nhà thầu cùng thi công, phải thể hiện rõ việc tổ chức thực hiện của từng nhà thầu thông qua từng phân đoạn hoặc hạng mục công trình theo phân công (hoặc thuyết minh rõ việc cùng một Ban điều hành, không có phân chia cụ thể phạm vi công việc).</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Sơ đồ tổ chức của Ban điều hành, thể hiện trách nhiệm và mối quan hệ liên hệ giữa các chức danh, phân công trách nhiệm của từng bộ phận và các tổ đội thi công. Sơ đồ tổ chức của Ban điều hành có nêu đầy đủ các vị trí nhân sự (chỉ huy trưởng; kỹ sư phụ trách kỹ thuật thi công; cán bộ phụ trách ATGT, ATLĐ và VSMT...) mà nhà thầu dự kiến huy động cho gói thầu đáp ứng yêu cầu, tính đặc thù của gói thầu, phù hợp với biện pháp tổ chức thi công của nhà thầu.</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Trường hợp nhà thầu liên danh, phải có phân công trách nhiệm, phối hợp giữa các thành viên trong quản lý, điều hành thi công, trong giải quyết khi bất kỳ một thành viên không còn năng lực để tiếp tục thi công, khi công trình có tồn tại về chất lượng, tiến độ.</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xml:space="preserve">- Bản vẽ thể hiện mặt bằng bố trí công trường phù hợp với tổ chức thi công gói thầu (bao gồm: nhà điều hành, lán trại, các cơ sở thí nghiệm, bãi chứa vật liệu, </w:t>
      </w:r>
      <w:r w:rsidRPr="00442F1E">
        <w:rPr>
          <w:sz w:val="28"/>
          <w:szCs w:val="28"/>
        </w:rPr>
        <w:lastRenderedPageBreak/>
        <w:t>thiết bị, cấu kiện, đường công vụ vận chuyển nội bộ, ...) thông qua bản vẽ đính kèm (của nhà thầu đề xuất hoặc thống nhất bố trí như hồ sơ thiết kế - nếu có)</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4. Các biện pháp đảm bảo chất lượng; đảm bảo điều kiện vệ sinh môi trường và các điều kiện khác như phòng cháy, chữa cháy, an toàn lao động và phòng chống thiên tai trong mùa mưa lũ</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4.1. Biện pháp đảm bảo chất lượng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các tổ đội thi công; kế hoạch và biện pháp đảm bảo chất lượng, tiến độ; khắc phục sai sót về chất lượng, tiến độ).</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Cách thức và biện pháp kiểm soát chất lượng vật liệu và hỗn hợp vật liệu đầu vào (vật liệu và hỗn hợp vật liệu chính) từ khi khảo sát, đưa đến công trình và trước khi thi công, thể hiện tính hợp lý, khả thi để đảm bảo chất lượng, tiến độ công trình (tập kết, thí nghiệm, giải pháp xử lý khi phát hiện vật liệu không phù hợp với yêu cầu ...)</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Cách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4.2. Đảm bảo điều kiện vệ sinh môi trường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Có kế hoạch và biện pháp bảo đảm vệ sinh môi trường hợp lý, khả thi phù hợp với đề xuất về biện pháp tổ chức thi công.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Có biện pháp giảm thiểu, bảo vệ môi trường: bao gồm các nội dung tiếng ồn, bụi và khói, rung, kiểm soát nước thải, kiểm soát đổ thải, vệ sinh</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4.3. Đảm bảo phòng cháy, chữa cháy</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Có biện pháp phòng cháy, chữa cháy hợp lý, khả thi phù hợp với đề xuất về biện pháp tổ chức thi công.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Biện pháp phòng chống cháy nổ tại công trường xây dựng bao gồm: Các quy định, quy phạm tiêu chuẩn; các giải pháp, biện pháp, trang bị phương tiện phòng chống cháy nổ; tổ chức bộ máy quản lý hệ thống phòng chống cháy nổ.</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4.4. Đảm bảo an toàn lao động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Biện pháp đảm bảo an toàn lao động, an toàn thiết bị thi công tại công trường xây dựng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Trang bị an toàn</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Tổ chức đào tạo, thực hiện và kiểm tra an toàn lao động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lastRenderedPageBreak/>
        <w:t>-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4.5. Phòng chống thiên tai trong mùa mưa lũ</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Sơ tán người ra khỏi khu vực nguy hiểm, nơi không bảo đảm an toàn; tập trung triển khai biện pháp bảo đảm an toàn cho người, đặc biệt đối tượng dễ bị tổn thương trong tình huống thiên tai khẩn cấp.</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Thực hiện biện pháp bảo đảm an toàn đối với tài sản của Nhà nước và nhân dân tại khu vực xảy ra thiên tai.</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Kiểm tra, phát hiện và xử lý sự cố công trình.</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Giám sát, hướng dẫn và chủ động thực hiện việc hạn chế hoặc cấm người, phương tiện đi vào khu vực nguy hiểm.</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Bảo đảm giao thông và thông tin liên lạc đáp ứng yêu cầu chỉ đạo, chỉ huy phòng, chống thiên tai.</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Huy động khẩn cấp và tuân thủ quyết định chỉ đạo, huy động khẩn cấp về nhân lực, vật tư, phương tiện, trang thiết bị, nhu yếu phẩm để kịp thời ứng phó với thiên tai.</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5. Mức độ đáp ứng các yêu cầu về bảo hành, bảo trì</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Thời hạn bảo hành là 12 tháng kể từ khi công trình được nghiệm thu và bàn giao.</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Có nêu trách nhiệm của nhà thầu và sự phối hợp trong giai đoạn bảo hành, khi công trình có hư hỏng, khiếm khuyết.</w:t>
      </w:r>
    </w:p>
    <w:p w:rsidR="00913E2F" w:rsidRPr="00442F1E" w:rsidRDefault="00913E2F" w:rsidP="00913E2F">
      <w:pPr>
        <w:tabs>
          <w:tab w:val="left" w:pos="1418"/>
        </w:tabs>
        <w:spacing w:before="120" w:after="120" w:line="264" w:lineRule="auto"/>
        <w:ind w:firstLine="709"/>
        <w:rPr>
          <w:sz w:val="28"/>
          <w:szCs w:val="28"/>
        </w:rPr>
      </w:pPr>
      <w:r w:rsidRPr="00442F1E">
        <w:rPr>
          <w:sz w:val="28"/>
          <w:szCs w:val="28"/>
        </w:rPr>
        <w:t>- Có đề xuất giải pháp, thời gian sửa chữa khắc phục đảm bảo khả thi (công trình có hư hỏng, khiếm khuyết do lỗi của nhà thầu gây ra trong quá trình thi công trong giai đoạn bảo hành).</w:t>
      </w:r>
    </w:p>
    <w:bookmarkEnd w:id="0"/>
    <w:p w:rsidR="00913E2F" w:rsidRPr="008E0198" w:rsidRDefault="00913E2F" w:rsidP="00913E2F">
      <w:pPr>
        <w:widowControl w:val="0"/>
        <w:tabs>
          <w:tab w:val="left" w:pos="1418"/>
        </w:tabs>
        <w:spacing w:before="120" w:after="120" w:line="264" w:lineRule="auto"/>
        <w:ind w:firstLine="709"/>
        <w:rPr>
          <w:b/>
          <w:sz w:val="28"/>
          <w:szCs w:val="28"/>
        </w:rPr>
      </w:pPr>
      <w:r w:rsidRPr="008E0198">
        <w:rPr>
          <w:b/>
          <w:sz w:val="28"/>
          <w:szCs w:val="28"/>
        </w:rPr>
        <w:t>IV. Các bản vẽ</w:t>
      </w:r>
    </w:p>
    <w:p w:rsidR="00913E2F" w:rsidRPr="008E0198" w:rsidRDefault="00913E2F" w:rsidP="00913E2F">
      <w:pPr>
        <w:widowControl w:val="0"/>
        <w:tabs>
          <w:tab w:val="left" w:pos="1418"/>
          <w:tab w:val="left" w:pos="2127"/>
        </w:tabs>
        <w:spacing w:before="120" w:after="120" w:line="264" w:lineRule="auto"/>
        <w:ind w:firstLine="567"/>
        <w:rPr>
          <w:i/>
          <w:sz w:val="28"/>
          <w:szCs w:val="28"/>
        </w:rPr>
      </w:pPr>
      <w:r w:rsidRPr="00443D2B">
        <w:rPr>
          <w:bCs/>
          <w:sz w:val="28"/>
          <w:szCs w:val="28"/>
        </w:rPr>
        <w:t>Chi tiết có Hồ sơ thiết kế kèm theo hồ sơ mời thầu này</w:t>
      </w:r>
    </w:p>
    <w:p w:rsidR="00913E2F" w:rsidRPr="008E0198" w:rsidRDefault="00913E2F" w:rsidP="00913E2F">
      <w:pPr>
        <w:widowControl w:val="0"/>
        <w:tabs>
          <w:tab w:val="left" w:pos="1418"/>
          <w:tab w:val="left" w:pos="2127"/>
        </w:tabs>
        <w:spacing w:before="120" w:after="120" w:line="264" w:lineRule="auto"/>
        <w:ind w:firstLine="567"/>
        <w:rPr>
          <w:i/>
          <w:sz w:val="28"/>
          <w:szCs w:val="28"/>
        </w:rPr>
      </w:pPr>
    </w:p>
    <w:p w:rsidR="001A5681" w:rsidRDefault="001A5681"/>
    <w:sectPr w:rsidR="001A5681" w:rsidSect="00D82802">
      <w:pgSz w:w="11907" w:h="16840" w:code="9"/>
      <w:pgMar w:top="1134" w:right="1134" w:bottom="99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2F"/>
    <w:rsid w:val="00175DEB"/>
    <w:rsid w:val="001852A4"/>
    <w:rsid w:val="001A5681"/>
    <w:rsid w:val="002864C7"/>
    <w:rsid w:val="00373CBA"/>
    <w:rsid w:val="003A3AA0"/>
    <w:rsid w:val="008537EB"/>
    <w:rsid w:val="00913E2F"/>
    <w:rsid w:val="00A00D51"/>
    <w:rsid w:val="00A15543"/>
    <w:rsid w:val="00A72677"/>
    <w:rsid w:val="00AF7D88"/>
    <w:rsid w:val="00C811F1"/>
    <w:rsid w:val="00D811D3"/>
    <w:rsid w:val="00D82802"/>
    <w:rsid w:val="00F2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EDEA"/>
  <w15:chartTrackingRefBased/>
  <w15:docId w15:val="{6D623DFD-D656-42B2-8A60-964E91AF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E2F"/>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13E2F"/>
    <w:pPr>
      <w:widowControl w:val="0"/>
      <w:autoSpaceDE w:val="0"/>
      <w:autoSpaceDN w:val="0"/>
      <w:spacing w:line="384" w:lineRule="atLeast"/>
      <w:jc w:val="left"/>
    </w:pPr>
    <w:rPr>
      <w:szCs w:val="24"/>
    </w:rPr>
  </w:style>
  <w:style w:type="character" w:customStyle="1" w:styleId="fontstyle01">
    <w:name w:val="fontstyle01"/>
    <w:basedOn w:val="DefaultParagraphFont"/>
    <w:rsid w:val="002864C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2864C7"/>
    <w:rPr>
      <w:rFonts w:ascii="Cambria-Italic" w:hAnsi="Cambria-Italic"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1951</Words>
  <Characters>11127</Characters>
  <Application>Microsoft Office Word</Application>
  <DocSecurity>0</DocSecurity>
  <Lines>92</Lines>
  <Paragraphs>26</Paragraphs>
  <ScaleCrop>false</ScaleCrop>
  <Company>Microsoft</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2025-04-01T03:17:00Z</dcterms:created>
  <dcterms:modified xsi:type="dcterms:W3CDTF">2025-12-29T01:43:00Z</dcterms:modified>
</cp:coreProperties>
</file>