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F4" w:rsidRPr="00F55FF4" w:rsidRDefault="00F55FF4" w:rsidP="00F55FF4">
      <w:pPr>
        <w:spacing w:before="60" w:after="60"/>
        <w:jc w:val="center"/>
        <w:outlineLvl w:val="0"/>
        <w:rPr>
          <w:b/>
          <w:bCs/>
          <w:color w:val="0D0D0D" w:themeColor="text1" w:themeTint="F2"/>
          <w:sz w:val="28"/>
          <w:szCs w:val="28"/>
          <w:lang w:val="nl-NL"/>
        </w:rPr>
      </w:pPr>
      <w:bookmarkStart w:id="0" w:name="_Toc104800535"/>
      <w:bookmarkStart w:id="1" w:name="_Hlk213839506"/>
      <w:bookmarkStart w:id="2" w:name="_GoBack"/>
      <w:r w:rsidRPr="00F55FF4">
        <w:rPr>
          <w:b/>
          <w:bCs/>
          <w:color w:val="0D0D0D" w:themeColor="text1" w:themeTint="F2"/>
          <w:sz w:val="28"/>
          <w:szCs w:val="28"/>
          <w:lang w:val="nl-NL"/>
        </w:rPr>
        <w:t>Chương V. YÊU CẦU VỀ KỸ THUẬT</w:t>
      </w:r>
      <w:bookmarkEnd w:id="0"/>
    </w:p>
    <w:p w:rsidR="00F55FF4" w:rsidRPr="00F55FF4" w:rsidRDefault="00F55FF4" w:rsidP="00F55FF4">
      <w:pPr>
        <w:spacing w:before="60" w:after="60"/>
        <w:ind w:firstLine="567"/>
        <w:rPr>
          <w:b/>
          <w:color w:val="0D0D0D" w:themeColor="text1" w:themeTint="F2"/>
          <w:sz w:val="28"/>
          <w:szCs w:val="28"/>
          <w:lang w:val="nl-NL"/>
        </w:rPr>
      </w:pPr>
    </w:p>
    <w:p w:rsidR="00F55FF4" w:rsidRPr="00F55FF4" w:rsidRDefault="00F55FF4" w:rsidP="00F55FF4">
      <w:pPr>
        <w:spacing w:before="60" w:after="60"/>
        <w:ind w:firstLine="567"/>
        <w:rPr>
          <w:b/>
          <w:color w:val="0D0D0D" w:themeColor="text1" w:themeTint="F2"/>
          <w:sz w:val="28"/>
          <w:szCs w:val="28"/>
          <w:lang w:val="nl-NL"/>
        </w:rPr>
      </w:pPr>
      <w:r w:rsidRPr="00F55FF4">
        <w:rPr>
          <w:b/>
          <w:color w:val="0D0D0D" w:themeColor="text1" w:themeTint="F2"/>
          <w:sz w:val="28"/>
          <w:szCs w:val="28"/>
          <w:lang w:val="nl-NL"/>
        </w:rPr>
        <w:t>1. Giới thiệu chung về dự án/dự toán mua sắm, gói thầu:</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lang w:val="nl-NL"/>
        </w:rPr>
        <w:t xml:space="preserve">+ Tên </w:t>
      </w:r>
      <w:r w:rsidRPr="00F55FF4">
        <w:rPr>
          <w:color w:val="0D0D0D" w:themeColor="text1" w:themeTint="F2"/>
          <w:sz w:val="28"/>
          <w:szCs w:val="28"/>
        </w:rPr>
        <w:t>dịch vụ công ích (DVCI): Thu gom, vận chuyển rác thải sinh hoạt tồn đọng trên địa bàn xã Tiên Du về nhà máy xử lý CTRSH công nghệ cao phát năng lượng tại phường Song Liễu</w:t>
      </w:r>
      <w:r w:rsidRPr="00F55FF4">
        <w:rPr>
          <w:bCs/>
          <w:color w:val="0D0D0D" w:themeColor="text1" w:themeTint="F2"/>
          <w:sz w:val="28"/>
          <w:szCs w:val="28"/>
        </w:rPr>
        <w:t>.</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Tên gói thầu số 01: Thu gom, vận chuyển rác thải tồn đọng.</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Tóm tắt công việc chính của gói thầu: Thu gom, vận chuyển rác thải tồn đọng.</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xml:space="preserve">+ Nguồn vốn: Ngân sách tỉnh, ngân sách xã và các nguồn vốn hợp pháp </w:t>
      </w:r>
      <w:proofErr w:type="gramStart"/>
      <w:r w:rsidRPr="00F55FF4">
        <w:rPr>
          <w:bCs/>
          <w:color w:val="0D0D0D" w:themeColor="text1" w:themeTint="F2"/>
          <w:sz w:val="28"/>
          <w:szCs w:val="28"/>
        </w:rPr>
        <w:t>khác  (</w:t>
      </w:r>
      <w:proofErr w:type="gramEnd"/>
      <w:r w:rsidRPr="00F55FF4">
        <w:rPr>
          <w:bCs/>
          <w:color w:val="0D0D0D" w:themeColor="text1" w:themeTint="F2"/>
          <w:sz w:val="28"/>
          <w:szCs w:val="28"/>
        </w:rPr>
        <w:t>nếu có).</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Hình thức lựa chọn nhà thầu:</w:t>
      </w:r>
      <w:r w:rsidRPr="00F55FF4">
        <w:rPr>
          <w:bCs/>
          <w:color w:val="0D0D0D" w:themeColor="text1" w:themeTint="F2"/>
        </w:rPr>
        <w:t xml:space="preserve"> </w:t>
      </w:r>
      <w:r w:rsidRPr="00F55FF4">
        <w:rPr>
          <w:bCs/>
          <w:color w:val="0D0D0D" w:themeColor="text1" w:themeTint="F2"/>
          <w:sz w:val="28"/>
          <w:szCs w:val="28"/>
        </w:rPr>
        <w:t>Chào hàng cạnh tranh trong nước, qua mạng.</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Phương thức lựa chọn nhà thầu: Một giai đoạn, một túi hồ sơ.</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Thời gian tổ chức lựa chọn nhà thầu:</w:t>
      </w:r>
      <w:r w:rsidRPr="00F55FF4">
        <w:rPr>
          <w:bCs/>
          <w:color w:val="0D0D0D" w:themeColor="text1" w:themeTint="F2"/>
        </w:rPr>
        <w:t xml:space="preserve"> </w:t>
      </w:r>
      <w:r w:rsidRPr="00F55FF4">
        <w:rPr>
          <w:bCs/>
          <w:color w:val="0D0D0D" w:themeColor="text1" w:themeTint="F2"/>
          <w:sz w:val="28"/>
          <w:szCs w:val="28"/>
        </w:rPr>
        <w:t>15 ngày.</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Thời gian bắt đầu tổ chức lựa chọn nhà thầu: Tháng 12, năm 2025.</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Loại hợp đồng: Trọn gói.</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Thời gian thực hiện gói thầu: 20 ngày.</w:t>
      </w:r>
    </w:p>
    <w:p w:rsidR="00F55FF4" w:rsidRPr="00F55FF4" w:rsidRDefault="00F55FF4" w:rsidP="00F55FF4">
      <w:pPr>
        <w:spacing w:before="60" w:after="60"/>
        <w:ind w:firstLine="567"/>
        <w:rPr>
          <w:bCs/>
          <w:color w:val="0D0D0D" w:themeColor="text1" w:themeTint="F2"/>
          <w:sz w:val="28"/>
          <w:szCs w:val="28"/>
          <w:lang w:val="nl-NL"/>
        </w:rPr>
      </w:pPr>
      <w:r w:rsidRPr="00F55FF4">
        <w:rPr>
          <w:bCs/>
          <w:color w:val="0D0D0D" w:themeColor="text1" w:themeTint="F2"/>
          <w:sz w:val="28"/>
          <w:szCs w:val="28"/>
        </w:rPr>
        <w:t>+ Tùy chọn mua thêm: Không áp dụng.</w:t>
      </w:r>
    </w:p>
    <w:p w:rsidR="00F55FF4" w:rsidRPr="00F55FF4" w:rsidRDefault="00F55FF4" w:rsidP="00F55FF4">
      <w:pPr>
        <w:spacing w:before="60" w:after="60"/>
        <w:ind w:firstLine="567"/>
        <w:rPr>
          <w:b/>
          <w:color w:val="0D0D0D" w:themeColor="text1" w:themeTint="F2"/>
          <w:sz w:val="28"/>
          <w:szCs w:val="28"/>
          <w:lang w:val="nl-NL"/>
        </w:rPr>
      </w:pPr>
      <w:r w:rsidRPr="00F55FF4">
        <w:rPr>
          <w:b/>
          <w:color w:val="0D0D0D" w:themeColor="text1" w:themeTint="F2"/>
          <w:sz w:val="28"/>
          <w:szCs w:val="28"/>
          <w:lang w:val="nl-NL"/>
        </w:rPr>
        <w:t>2. Mục tiêu công việc:</w:t>
      </w:r>
    </w:p>
    <w:p w:rsidR="00F55FF4" w:rsidRPr="00F55FF4" w:rsidRDefault="00F55FF4" w:rsidP="00F55FF4">
      <w:pPr>
        <w:spacing w:before="60" w:after="60"/>
        <w:ind w:firstLine="567"/>
        <w:rPr>
          <w:b/>
          <w:color w:val="0D0D0D" w:themeColor="text1" w:themeTint="F2"/>
          <w:sz w:val="28"/>
          <w:szCs w:val="28"/>
          <w:lang w:val="nl-NL"/>
        </w:rPr>
      </w:pPr>
      <w:proofErr w:type="gramStart"/>
      <w:r w:rsidRPr="00F55FF4">
        <w:rPr>
          <w:color w:val="0D0D0D" w:themeColor="text1" w:themeTint="F2"/>
          <w:sz w:val="28"/>
          <w:szCs w:val="28"/>
        </w:rPr>
        <w:t>Thu gom, vận chuyển rác thải sinh hoạt tồn đọng trên địa bàn xã Tiên Du về nhà máy xử lý CTRSH công nghệ cao phát năng lượng tại phường Song Liễu</w:t>
      </w:r>
      <w:r w:rsidRPr="00F55FF4">
        <w:rPr>
          <w:bCs/>
          <w:color w:val="0D0D0D" w:themeColor="text1" w:themeTint="F2"/>
          <w:sz w:val="28"/>
          <w:szCs w:val="28"/>
        </w:rPr>
        <w:t>.</w:t>
      </w:r>
      <w:proofErr w:type="gramEnd"/>
    </w:p>
    <w:p w:rsidR="00F55FF4" w:rsidRPr="00F55FF4" w:rsidRDefault="00F55FF4" w:rsidP="00F55FF4">
      <w:pPr>
        <w:spacing w:before="60" w:after="60"/>
        <w:ind w:firstLine="567"/>
        <w:rPr>
          <w:b/>
          <w:color w:val="0D0D0D" w:themeColor="text1" w:themeTint="F2"/>
          <w:sz w:val="28"/>
          <w:szCs w:val="28"/>
          <w:lang w:val="nl-NL"/>
        </w:rPr>
      </w:pPr>
      <w:r w:rsidRPr="00F55FF4">
        <w:rPr>
          <w:b/>
          <w:color w:val="0D0D0D" w:themeColor="text1" w:themeTint="F2"/>
          <w:sz w:val="28"/>
          <w:szCs w:val="28"/>
          <w:lang w:val="nl-NL"/>
        </w:rPr>
        <w:t>3. Yêu cầu kỹ thuật của gói thầu:</w:t>
      </w:r>
    </w:p>
    <w:p w:rsidR="00F55FF4" w:rsidRPr="00F55FF4" w:rsidRDefault="00F55FF4" w:rsidP="00F55FF4">
      <w:pPr>
        <w:spacing w:before="60" w:after="60"/>
        <w:ind w:firstLine="567"/>
        <w:rPr>
          <w:b/>
          <w:color w:val="0D0D0D" w:themeColor="text1" w:themeTint="F2"/>
          <w:sz w:val="28"/>
          <w:szCs w:val="28"/>
          <w:lang w:val="nl-NL"/>
        </w:rPr>
      </w:pPr>
      <w:r w:rsidRPr="00F55FF4">
        <w:rPr>
          <w:b/>
          <w:color w:val="0D0D0D" w:themeColor="text1" w:themeTint="F2"/>
          <w:sz w:val="28"/>
          <w:szCs w:val="28"/>
          <w:lang w:val="nl-NL"/>
        </w:rPr>
        <w:t>3.1 Yêu cầu về thiết bị.</w:t>
      </w:r>
    </w:p>
    <w:p w:rsidR="00F55FF4" w:rsidRPr="00F55FF4" w:rsidRDefault="00F55FF4" w:rsidP="00F55FF4">
      <w:pPr>
        <w:widowControl w:val="0"/>
        <w:tabs>
          <w:tab w:val="right" w:pos="7254"/>
        </w:tabs>
        <w:spacing w:before="120" w:after="120"/>
        <w:jc w:val="center"/>
        <w:rPr>
          <w:color w:val="0D0D0D" w:themeColor="text1" w:themeTint="F2"/>
          <w:sz w:val="28"/>
          <w:szCs w:val="28"/>
          <w:lang w:val="pl-PL"/>
        </w:rPr>
      </w:pPr>
      <w:r w:rsidRPr="00F55FF4">
        <w:rPr>
          <w:b/>
          <w:color w:val="0D0D0D" w:themeColor="text1" w:themeTint="F2"/>
          <w:sz w:val="28"/>
          <w:szCs w:val="28"/>
          <w:lang w:val="pl-PL"/>
        </w:rPr>
        <w:t>Yêu cầu về thiết bị chủ yếu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6640"/>
        <w:gridCol w:w="2172"/>
      </w:tblGrid>
      <w:tr w:rsidR="00F55FF4" w:rsidRPr="00F55FF4" w:rsidTr="00607380">
        <w:trPr>
          <w:trHeight w:val="567"/>
        </w:trPr>
        <w:tc>
          <w:tcPr>
            <w:tcW w:w="399" w:type="pct"/>
            <w:shd w:val="clear" w:color="auto" w:fill="E2EFD9"/>
            <w:vAlign w:val="center"/>
          </w:tcPr>
          <w:p w:rsidR="00F55FF4" w:rsidRPr="00F55FF4" w:rsidRDefault="00F55FF4" w:rsidP="00607380">
            <w:pPr>
              <w:widowControl w:val="0"/>
              <w:spacing w:before="120" w:after="120"/>
              <w:jc w:val="center"/>
              <w:rPr>
                <w:b/>
                <w:bCs/>
                <w:color w:val="0D0D0D" w:themeColor="text1" w:themeTint="F2"/>
                <w:sz w:val="28"/>
                <w:szCs w:val="28"/>
              </w:rPr>
            </w:pPr>
            <w:r w:rsidRPr="00F55FF4">
              <w:rPr>
                <w:b/>
                <w:bCs/>
                <w:color w:val="0D0D0D" w:themeColor="text1" w:themeTint="F2"/>
                <w:sz w:val="28"/>
                <w:szCs w:val="28"/>
              </w:rPr>
              <w:t>STT</w:t>
            </w:r>
          </w:p>
        </w:tc>
        <w:tc>
          <w:tcPr>
            <w:tcW w:w="3467" w:type="pct"/>
            <w:shd w:val="clear" w:color="auto" w:fill="E2EFD9"/>
            <w:vAlign w:val="center"/>
          </w:tcPr>
          <w:p w:rsidR="00F55FF4" w:rsidRPr="00F55FF4" w:rsidRDefault="00F55FF4" w:rsidP="00607380">
            <w:pPr>
              <w:widowControl w:val="0"/>
              <w:spacing w:before="120" w:after="120"/>
              <w:jc w:val="center"/>
              <w:rPr>
                <w:b/>
                <w:bCs/>
                <w:color w:val="0D0D0D" w:themeColor="text1" w:themeTint="F2"/>
                <w:sz w:val="28"/>
                <w:szCs w:val="28"/>
                <w:vertAlign w:val="superscript"/>
              </w:rPr>
            </w:pPr>
            <w:r w:rsidRPr="00F55FF4">
              <w:rPr>
                <w:b/>
                <w:bCs/>
                <w:color w:val="0D0D0D" w:themeColor="text1" w:themeTint="F2"/>
                <w:sz w:val="28"/>
                <w:szCs w:val="28"/>
              </w:rPr>
              <w:t>Loại thiết bị và đặc điểm thiết bị</w:t>
            </w:r>
          </w:p>
        </w:tc>
        <w:tc>
          <w:tcPr>
            <w:tcW w:w="1134" w:type="pct"/>
            <w:shd w:val="clear" w:color="auto" w:fill="E2EFD9"/>
            <w:vAlign w:val="center"/>
          </w:tcPr>
          <w:p w:rsidR="00F55FF4" w:rsidRPr="00F55FF4" w:rsidRDefault="00F55FF4" w:rsidP="00607380">
            <w:pPr>
              <w:widowControl w:val="0"/>
              <w:spacing w:before="120" w:after="120"/>
              <w:jc w:val="center"/>
              <w:rPr>
                <w:b/>
                <w:bCs/>
                <w:color w:val="0D0D0D" w:themeColor="text1" w:themeTint="F2"/>
                <w:sz w:val="28"/>
                <w:szCs w:val="28"/>
              </w:rPr>
            </w:pPr>
            <w:r w:rsidRPr="00F55FF4">
              <w:rPr>
                <w:b/>
                <w:bCs/>
                <w:color w:val="0D0D0D" w:themeColor="text1" w:themeTint="F2"/>
                <w:sz w:val="28"/>
                <w:szCs w:val="28"/>
              </w:rPr>
              <w:t>Số lượng tối thiểu cần có</w:t>
            </w:r>
          </w:p>
        </w:tc>
      </w:tr>
      <w:tr w:rsidR="00F55FF4" w:rsidRPr="00F55FF4" w:rsidTr="00607380">
        <w:trPr>
          <w:trHeight w:val="567"/>
        </w:trPr>
        <w:tc>
          <w:tcPr>
            <w:tcW w:w="399" w:type="pct"/>
            <w:vAlign w:val="center"/>
          </w:tcPr>
          <w:p w:rsidR="00F55FF4" w:rsidRPr="00F55FF4" w:rsidRDefault="00F55FF4" w:rsidP="00607380">
            <w:pPr>
              <w:pStyle w:val="Header"/>
              <w:widowControl w:val="0"/>
              <w:spacing w:before="120" w:after="120"/>
              <w:jc w:val="center"/>
              <w:rPr>
                <w:color w:val="0D0D0D" w:themeColor="text1" w:themeTint="F2"/>
                <w:sz w:val="28"/>
                <w:szCs w:val="28"/>
              </w:rPr>
            </w:pPr>
            <w:r w:rsidRPr="00F55FF4">
              <w:rPr>
                <w:color w:val="0D0D0D" w:themeColor="text1" w:themeTint="F2"/>
                <w:sz w:val="28"/>
                <w:szCs w:val="28"/>
              </w:rPr>
              <w:t>1</w:t>
            </w:r>
          </w:p>
        </w:tc>
        <w:tc>
          <w:tcPr>
            <w:tcW w:w="3467" w:type="pct"/>
          </w:tcPr>
          <w:p w:rsidR="00F55FF4" w:rsidRPr="00F55FF4" w:rsidRDefault="00F55FF4" w:rsidP="00607380">
            <w:pPr>
              <w:widowControl w:val="0"/>
              <w:spacing w:before="120" w:after="120"/>
              <w:jc w:val="left"/>
              <w:outlineLvl w:val="0"/>
              <w:rPr>
                <w:rFonts w:eastAsia="Calibri"/>
                <w:bCs/>
                <w:iCs/>
                <w:color w:val="0D0D0D" w:themeColor="text1" w:themeTint="F2"/>
                <w:sz w:val="28"/>
                <w:szCs w:val="28"/>
                <w:lang w:val="pl-PL"/>
              </w:rPr>
            </w:pPr>
            <w:r w:rsidRPr="00F55FF4">
              <w:rPr>
                <w:rFonts w:eastAsia="Calibri"/>
                <w:bCs/>
                <w:iCs/>
                <w:color w:val="0D0D0D" w:themeColor="text1" w:themeTint="F2"/>
                <w:sz w:val="28"/>
                <w:szCs w:val="28"/>
                <w:lang w:val="pl-PL"/>
              </w:rPr>
              <w:t>Máy xúc (Có tài liệu chứng minh sở hữu hoặc đi thuê và đăng kiểm còn hiệu lực và các giấy tờ yêu cầu chuyên ngành quy định)</w:t>
            </w:r>
          </w:p>
        </w:tc>
        <w:tc>
          <w:tcPr>
            <w:tcW w:w="1134" w:type="pct"/>
            <w:vAlign w:val="center"/>
          </w:tcPr>
          <w:p w:rsidR="00F55FF4" w:rsidRPr="00F55FF4" w:rsidRDefault="00F55FF4" w:rsidP="00607380">
            <w:pPr>
              <w:widowControl w:val="0"/>
              <w:spacing w:before="120" w:after="120"/>
              <w:jc w:val="center"/>
              <w:outlineLvl w:val="0"/>
              <w:rPr>
                <w:rFonts w:eastAsia="Calibri"/>
                <w:bCs/>
                <w:iCs/>
                <w:color w:val="0D0D0D" w:themeColor="text1" w:themeTint="F2"/>
                <w:sz w:val="28"/>
                <w:szCs w:val="28"/>
                <w:lang w:val="pl-PL"/>
              </w:rPr>
            </w:pPr>
            <w:r w:rsidRPr="00F55FF4">
              <w:rPr>
                <w:rFonts w:eastAsia="Calibri"/>
                <w:bCs/>
                <w:iCs/>
                <w:color w:val="0D0D0D" w:themeColor="text1" w:themeTint="F2"/>
                <w:sz w:val="28"/>
                <w:szCs w:val="28"/>
                <w:lang w:val="pl-PL"/>
              </w:rPr>
              <w:t>1</w:t>
            </w:r>
          </w:p>
        </w:tc>
      </w:tr>
      <w:tr w:rsidR="00F55FF4" w:rsidRPr="00F55FF4" w:rsidTr="00607380">
        <w:trPr>
          <w:trHeight w:val="515"/>
        </w:trPr>
        <w:tc>
          <w:tcPr>
            <w:tcW w:w="399" w:type="pct"/>
            <w:vAlign w:val="center"/>
          </w:tcPr>
          <w:p w:rsidR="00F55FF4" w:rsidRPr="00F55FF4" w:rsidRDefault="00F55FF4" w:rsidP="00607380">
            <w:pPr>
              <w:widowControl w:val="0"/>
              <w:spacing w:before="120" w:after="120"/>
              <w:jc w:val="center"/>
              <w:rPr>
                <w:color w:val="0D0D0D" w:themeColor="text1" w:themeTint="F2"/>
                <w:sz w:val="28"/>
                <w:szCs w:val="28"/>
              </w:rPr>
            </w:pPr>
            <w:r w:rsidRPr="00F55FF4">
              <w:rPr>
                <w:color w:val="0D0D0D" w:themeColor="text1" w:themeTint="F2"/>
                <w:sz w:val="28"/>
                <w:szCs w:val="28"/>
              </w:rPr>
              <w:t>2</w:t>
            </w:r>
          </w:p>
        </w:tc>
        <w:tc>
          <w:tcPr>
            <w:tcW w:w="3467" w:type="pct"/>
          </w:tcPr>
          <w:p w:rsidR="00F55FF4" w:rsidRPr="00F55FF4" w:rsidRDefault="00F55FF4" w:rsidP="00607380">
            <w:pPr>
              <w:widowControl w:val="0"/>
              <w:spacing w:before="120" w:after="120"/>
              <w:jc w:val="left"/>
              <w:outlineLvl w:val="0"/>
              <w:rPr>
                <w:rFonts w:eastAsia="Calibri"/>
                <w:bCs/>
                <w:iCs/>
                <w:color w:val="0D0D0D" w:themeColor="text1" w:themeTint="F2"/>
                <w:sz w:val="28"/>
                <w:szCs w:val="28"/>
                <w:lang w:val="pl-PL"/>
              </w:rPr>
            </w:pPr>
            <w:r w:rsidRPr="00F55FF4">
              <w:rPr>
                <w:rFonts w:eastAsia="Calibri"/>
                <w:bCs/>
                <w:iCs/>
                <w:color w:val="0D0D0D" w:themeColor="text1" w:themeTint="F2"/>
                <w:sz w:val="28"/>
                <w:szCs w:val="28"/>
                <w:lang w:val="pl-PL"/>
              </w:rPr>
              <w:t xml:space="preserve">Xe ép rác kín </w:t>
            </w:r>
            <w:r w:rsidRPr="00F55FF4">
              <w:rPr>
                <w:rStyle w:val="Strong"/>
                <w:color w:val="0D0D0D" w:themeColor="text1" w:themeTint="F2"/>
                <w:sz w:val="28"/>
                <w:szCs w:val="28"/>
              </w:rPr>
              <w:t xml:space="preserve">&gt;= 7 tấn </w:t>
            </w:r>
            <w:r w:rsidRPr="00F55FF4">
              <w:rPr>
                <w:rFonts w:eastAsia="Calibri"/>
                <w:bCs/>
                <w:iCs/>
                <w:color w:val="0D0D0D" w:themeColor="text1" w:themeTint="F2"/>
                <w:sz w:val="28"/>
                <w:szCs w:val="28"/>
                <w:lang w:val="pl-PL"/>
              </w:rPr>
              <w:t>(Có tài liệu chứng minh sở hữu hoặc đi thuê và đăng kiểm còn hiệu lực và các giấy tờ yêu cầu chuyên ngành quy định)</w:t>
            </w:r>
          </w:p>
        </w:tc>
        <w:tc>
          <w:tcPr>
            <w:tcW w:w="1134" w:type="pct"/>
            <w:vAlign w:val="center"/>
          </w:tcPr>
          <w:p w:rsidR="00F55FF4" w:rsidRPr="00F55FF4" w:rsidRDefault="00F55FF4" w:rsidP="00607380">
            <w:pPr>
              <w:widowControl w:val="0"/>
              <w:spacing w:before="120" w:after="120"/>
              <w:jc w:val="center"/>
              <w:outlineLvl w:val="0"/>
              <w:rPr>
                <w:rFonts w:eastAsia="Calibri"/>
                <w:bCs/>
                <w:iCs/>
                <w:color w:val="0D0D0D" w:themeColor="text1" w:themeTint="F2"/>
                <w:sz w:val="28"/>
                <w:szCs w:val="28"/>
                <w:lang w:val="pl-PL"/>
              </w:rPr>
            </w:pPr>
            <w:r w:rsidRPr="00F55FF4">
              <w:rPr>
                <w:rFonts w:eastAsia="Calibri"/>
                <w:bCs/>
                <w:iCs/>
                <w:color w:val="0D0D0D" w:themeColor="text1" w:themeTint="F2"/>
                <w:sz w:val="28"/>
                <w:szCs w:val="28"/>
                <w:lang w:val="pl-PL"/>
              </w:rPr>
              <w:t>1</w:t>
            </w:r>
          </w:p>
        </w:tc>
      </w:tr>
      <w:tr w:rsidR="00F55FF4" w:rsidRPr="00F55FF4" w:rsidTr="00607380">
        <w:trPr>
          <w:trHeight w:val="515"/>
        </w:trPr>
        <w:tc>
          <w:tcPr>
            <w:tcW w:w="399" w:type="pct"/>
            <w:vAlign w:val="center"/>
          </w:tcPr>
          <w:p w:rsidR="00F55FF4" w:rsidRPr="00F55FF4" w:rsidRDefault="00F55FF4" w:rsidP="00607380">
            <w:pPr>
              <w:widowControl w:val="0"/>
              <w:spacing w:before="120" w:after="120"/>
              <w:jc w:val="center"/>
              <w:rPr>
                <w:color w:val="0D0D0D" w:themeColor="text1" w:themeTint="F2"/>
                <w:sz w:val="28"/>
                <w:szCs w:val="28"/>
              </w:rPr>
            </w:pPr>
            <w:r w:rsidRPr="00F55FF4">
              <w:rPr>
                <w:color w:val="0D0D0D" w:themeColor="text1" w:themeTint="F2"/>
                <w:sz w:val="28"/>
                <w:szCs w:val="28"/>
              </w:rPr>
              <w:t>3</w:t>
            </w:r>
          </w:p>
        </w:tc>
        <w:tc>
          <w:tcPr>
            <w:tcW w:w="3467" w:type="pct"/>
          </w:tcPr>
          <w:p w:rsidR="00F55FF4" w:rsidRPr="00F55FF4" w:rsidRDefault="00F55FF4" w:rsidP="00607380">
            <w:pPr>
              <w:widowControl w:val="0"/>
              <w:spacing w:before="120" w:after="120"/>
              <w:jc w:val="left"/>
              <w:outlineLvl w:val="0"/>
              <w:rPr>
                <w:rFonts w:eastAsia="Calibri"/>
                <w:bCs/>
                <w:iCs/>
                <w:color w:val="0D0D0D" w:themeColor="text1" w:themeTint="F2"/>
                <w:sz w:val="28"/>
                <w:szCs w:val="28"/>
                <w:lang w:val="pl-PL"/>
              </w:rPr>
            </w:pPr>
            <w:r w:rsidRPr="00F55FF4">
              <w:rPr>
                <w:rFonts w:eastAsia="Calibri"/>
                <w:bCs/>
                <w:iCs/>
                <w:color w:val="0D0D0D" w:themeColor="text1" w:themeTint="F2"/>
                <w:sz w:val="28"/>
                <w:szCs w:val="28"/>
                <w:lang w:val="pl-PL"/>
              </w:rPr>
              <w:t xml:space="preserve">Xe ép rác kín </w:t>
            </w:r>
            <w:r w:rsidRPr="00F55FF4">
              <w:rPr>
                <w:rStyle w:val="Strong"/>
                <w:color w:val="0D0D0D" w:themeColor="text1" w:themeTint="F2"/>
                <w:sz w:val="28"/>
                <w:szCs w:val="28"/>
              </w:rPr>
              <w:t xml:space="preserve">&gt;= 10 tấn </w:t>
            </w:r>
            <w:r w:rsidRPr="00F55FF4">
              <w:rPr>
                <w:rFonts w:eastAsia="Calibri"/>
                <w:bCs/>
                <w:iCs/>
                <w:color w:val="0D0D0D" w:themeColor="text1" w:themeTint="F2"/>
                <w:sz w:val="28"/>
                <w:szCs w:val="28"/>
                <w:lang w:val="pl-PL"/>
              </w:rPr>
              <w:t xml:space="preserve">(Có tài liệu chứng minh sở hữu </w:t>
            </w:r>
            <w:r w:rsidRPr="00F55FF4">
              <w:rPr>
                <w:rFonts w:eastAsia="Calibri"/>
                <w:bCs/>
                <w:iCs/>
                <w:color w:val="0D0D0D" w:themeColor="text1" w:themeTint="F2"/>
                <w:sz w:val="28"/>
                <w:szCs w:val="28"/>
                <w:lang w:val="pl-PL"/>
              </w:rPr>
              <w:lastRenderedPageBreak/>
              <w:t>hoặc đi thuê và đăng kiểm còn hiệu lực và các giấy tờ yêu cầu chuyên ngành quy định)</w:t>
            </w:r>
          </w:p>
        </w:tc>
        <w:tc>
          <w:tcPr>
            <w:tcW w:w="1134" w:type="pct"/>
            <w:vAlign w:val="center"/>
          </w:tcPr>
          <w:p w:rsidR="00F55FF4" w:rsidRPr="00F55FF4" w:rsidRDefault="00F55FF4" w:rsidP="00607380">
            <w:pPr>
              <w:widowControl w:val="0"/>
              <w:spacing w:before="120" w:after="120"/>
              <w:jc w:val="center"/>
              <w:outlineLvl w:val="0"/>
              <w:rPr>
                <w:rFonts w:eastAsia="Calibri"/>
                <w:bCs/>
                <w:iCs/>
                <w:color w:val="0D0D0D" w:themeColor="text1" w:themeTint="F2"/>
                <w:sz w:val="28"/>
                <w:szCs w:val="28"/>
                <w:lang w:val="pl-PL"/>
              </w:rPr>
            </w:pPr>
            <w:r w:rsidRPr="00F55FF4">
              <w:rPr>
                <w:rFonts w:eastAsia="Calibri"/>
                <w:bCs/>
                <w:iCs/>
                <w:color w:val="0D0D0D" w:themeColor="text1" w:themeTint="F2"/>
                <w:sz w:val="28"/>
                <w:szCs w:val="28"/>
                <w:lang w:val="pl-PL"/>
              </w:rPr>
              <w:lastRenderedPageBreak/>
              <w:t>1</w:t>
            </w:r>
          </w:p>
        </w:tc>
      </w:tr>
      <w:tr w:rsidR="00F55FF4" w:rsidRPr="00F55FF4" w:rsidTr="00607380">
        <w:trPr>
          <w:trHeight w:val="515"/>
        </w:trPr>
        <w:tc>
          <w:tcPr>
            <w:tcW w:w="399" w:type="pct"/>
            <w:vAlign w:val="center"/>
          </w:tcPr>
          <w:p w:rsidR="00F55FF4" w:rsidRPr="00F55FF4" w:rsidRDefault="00F55FF4" w:rsidP="00607380">
            <w:pPr>
              <w:widowControl w:val="0"/>
              <w:spacing w:before="120" w:after="120"/>
              <w:jc w:val="center"/>
              <w:rPr>
                <w:color w:val="0D0D0D" w:themeColor="text1" w:themeTint="F2"/>
                <w:sz w:val="28"/>
                <w:szCs w:val="28"/>
              </w:rPr>
            </w:pPr>
            <w:r w:rsidRPr="00F55FF4">
              <w:rPr>
                <w:color w:val="0D0D0D" w:themeColor="text1" w:themeTint="F2"/>
                <w:sz w:val="28"/>
                <w:szCs w:val="28"/>
              </w:rPr>
              <w:lastRenderedPageBreak/>
              <w:t>4</w:t>
            </w:r>
          </w:p>
        </w:tc>
        <w:tc>
          <w:tcPr>
            <w:tcW w:w="3467" w:type="pct"/>
          </w:tcPr>
          <w:p w:rsidR="00F55FF4" w:rsidRPr="00F55FF4" w:rsidRDefault="00F55FF4" w:rsidP="00607380">
            <w:pPr>
              <w:widowControl w:val="0"/>
              <w:spacing w:before="120" w:after="120"/>
              <w:jc w:val="left"/>
              <w:outlineLvl w:val="0"/>
              <w:rPr>
                <w:rFonts w:eastAsia="Calibri"/>
                <w:bCs/>
                <w:iCs/>
                <w:color w:val="0D0D0D" w:themeColor="text1" w:themeTint="F2"/>
                <w:sz w:val="28"/>
                <w:szCs w:val="28"/>
                <w:lang w:val="pl-PL"/>
              </w:rPr>
            </w:pPr>
            <w:r w:rsidRPr="00F55FF4">
              <w:rPr>
                <w:rFonts w:eastAsia="Calibri"/>
                <w:bCs/>
                <w:iCs/>
                <w:color w:val="0D0D0D" w:themeColor="text1" w:themeTint="F2"/>
                <w:sz w:val="28"/>
                <w:szCs w:val="28"/>
                <w:lang w:val="pl-PL"/>
              </w:rPr>
              <w:t>Xe tải thùng &gt;= 1 tấn  (Có tài liệu chứng minh sở hữu hoặc đi thuê và đăng kiểm còn hiệu lực và các giấy tờ yêu cầu chuyên ngành quy định)</w:t>
            </w:r>
          </w:p>
        </w:tc>
        <w:tc>
          <w:tcPr>
            <w:tcW w:w="1134" w:type="pct"/>
            <w:vAlign w:val="center"/>
          </w:tcPr>
          <w:p w:rsidR="00F55FF4" w:rsidRPr="00F55FF4" w:rsidRDefault="00F55FF4" w:rsidP="00607380">
            <w:pPr>
              <w:widowControl w:val="0"/>
              <w:spacing w:before="120" w:after="120"/>
              <w:jc w:val="center"/>
              <w:outlineLvl w:val="0"/>
              <w:rPr>
                <w:rFonts w:eastAsia="Calibri"/>
                <w:bCs/>
                <w:iCs/>
                <w:color w:val="0D0D0D" w:themeColor="text1" w:themeTint="F2"/>
                <w:sz w:val="28"/>
                <w:szCs w:val="28"/>
                <w:lang w:val="pl-PL"/>
              </w:rPr>
            </w:pPr>
            <w:r w:rsidRPr="00F55FF4">
              <w:rPr>
                <w:rFonts w:eastAsia="Calibri"/>
                <w:bCs/>
                <w:iCs/>
                <w:color w:val="0D0D0D" w:themeColor="text1" w:themeTint="F2"/>
                <w:sz w:val="28"/>
                <w:szCs w:val="28"/>
                <w:lang w:val="pl-PL"/>
              </w:rPr>
              <w:t>1</w:t>
            </w:r>
          </w:p>
        </w:tc>
      </w:tr>
    </w:tbl>
    <w:p w:rsidR="00F55FF4" w:rsidRPr="00F55FF4" w:rsidRDefault="00F55FF4" w:rsidP="00F55FF4">
      <w:pPr>
        <w:spacing w:before="60" w:after="60"/>
        <w:ind w:firstLine="567"/>
        <w:rPr>
          <w:b/>
          <w:color w:val="0D0D0D" w:themeColor="text1" w:themeTint="F2"/>
          <w:sz w:val="28"/>
          <w:szCs w:val="28"/>
          <w:lang w:val="nl-NL"/>
        </w:rPr>
      </w:pPr>
    </w:p>
    <w:p w:rsidR="00F55FF4" w:rsidRPr="00F55FF4" w:rsidRDefault="00F55FF4" w:rsidP="00F55FF4">
      <w:pPr>
        <w:spacing w:before="60" w:after="60"/>
        <w:ind w:firstLine="567"/>
        <w:rPr>
          <w:b/>
          <w:bCs/>
          <w:iCs/>
          <w:color w:val="0D0D0D" w:themeColor="text1" w:themeTint="F2"/>
          <w:spacing w:val="-2"/>
          <w:sz w:val="28"/>
          <w:szCs w:val="28"/>
          <w:lang w:val="nl-NL"/>
        </w:rPr>
      </w:pPr>
      <w:r w:rsidRPr="00F55FF4">
        <w:rPr>
          <w:b/>
          <w:bCs/>
          <w:iCs/>
          <w:color w:val="0D0D0D" w:themeColor="text1" w:themeTint="F2"/>
          <w:spacing w:val="-2"/>
          <w:sz w:val="28"/>
          <w:szCs w:val="28"/>
          <w:lang w:val="nl-NL"/>
        </w:rPr>
        <w:t>3.2 Yêu cầu về phương tiện thu gom, vận chuyển chất thải.</w:t>
      </w:r>
    </w:p>
    <w:p w:rsidR="00F55FF4" w:rsidRPr="00F55FF4" w:rsidRDefault="00F55FF4" w:rsidP="00F55FF4">
      <w:pPr>
        <w:spacing w:before="60" w:after="60"/>
        <w:ind w:firstLine="567"/>
        <w:rPr>
          <w:iCs/>
          <w:color w:val="0D0D0D" w:themeColor="text1" w:themeTint="F2"/>
          <w:spacing w:val="-2"/>
          <w:sz w:val="28"/>
          <w:szCs w:val="28"/>
        </w:rPr>
      </w:pPr>
      <w:r w:rsidRPr="00F55FF4">
        <w:rPr>
          <w:iCs/>
          <w:color w:val="0D0D0D" w:themeColor="text1" w:themeTint="F2"/>
          <w:spacing w:val="-2"/>
          <w:sz w:val="28"/>
          <w:szCs w:val="28"/>
          <w:lang w:val="nl-NL"/>
        </w:rPr>
        <w:t xml:space="preserve">- </w:t>
      </w:r>
      <w:r w:rsidRPr="00F55FF4">
        <w:rPr>
          <w:iCs/>
          <w:color w:val="0D0D0D" w:themeColor="text1" w:themeTint="F2"/>
          <w:spacing w:val="-2"/>
          <w:sz w:val="28"/>
          <w:szCs w:val="28"/>
        </w:rPr>
        <w:t>Sử dụng xe chuyên dụng, đảm bảo an toàn vận chuyển rác thải sinh hoạt, rác thải tồn lưu hoặc rác thải công nghiệp nếu có; Xe phải có thùng kín, chống rò rỉ, ngăn mùi và đảm bảo vệ sinh môi trường trong quá trình vận chuyển.</w:t>
      </w:r>
    </w:p>
    <w:p w:rsidR="00F55FF4" w:rsidRPr="00F55FF4" w:rsidRDefault="00F55FF4" w:rsidP="00F55FF4">
      <w:pPr>
        <w:spacing w:before="60" w:after="60"/>
        <w:ind w:firstLine="567"/>
        <w:rPr>
          <w:b/>
          <w:iCs/>
          <w:color w:val="0D0D0D" w:themeColor="text1" w:themeTint="F2"/>
          <w:sz w:val="28"/>
          <w:szCs w:val="28"/>
        </w:rPr>
      </w:pPr>
      <w:r w:rsidRPr="00F55FF4">
        <w:rPr>
          <w:b/>
          <w:iCs/>
          <w:color w:val="0D0D0D" w:themeColor="text1" w:themeTint="F2"/>
          <w:sz w:val="28"/>
          <w:szCs w:val="28"/>
        </w:rPr>
        <w:t>-</w:t>
      </w:r>
      <w:r w:rsidRPr="00F55FF4">
        <w:rPr>
          <w:iCs/>
          <w:color w:val="0D0D0D" w:themeColor="text1" w:themeTint="F2"/>
          <w:sz w:val="28"/>
          <w:szCs w:val="28"/>
        </w:rPr>
        <w:t xml:space="preserve"> </w:t>
      </w:r>
      <w:r w:rsidRPr="00F55FF4">
        <w:rPr>
          <w:bCs/>
          <w:iCs/>
          <w:color w:val="0D0D0D" w:themeColor="text1" w:themeTint="F2"/>
          <w:sz w:val="28"/>
          <w:szCs w:val="28"/>
        </w:rPr>
        <w:t>Phương tiện phải được kiểm tra định kỳ, đảm bảo vận hành tốt, không gây sự cố trong quá trình bốc xúc và vận chuyển; Trang bị đầy đủ thiết bị hỗ trợ như máy bốc xúc, cần trục, bạt che phủ rác thải khi cần.</w:t>
      </w:r>
    </w:p>
    <w:p w:rsidR="00F55FF4" w:rsidRPr="00F55FF4" w:rsidRDefault="00F55FF4" w:rsidP="00F55FF4">
      <w:pPr>
        <w:spacing w:before="60" w:after="60"/>
        <w:ind w:firstLine="567"/>
        <w:rPr>
          <w:bCs/>
          <w:color w:val="0D0D0D" w:themeColor="text1" w:themeTint="F2"/>
          <w:sz w:val="28"/>
          <w:szCs w:val="28"/>
        </w:rPr>
      </w:pPr>
      <w:r w:rsidRPr="00F55FF4">
        <w:rPr>
          <w:b/>
          <w:color w:val="0D0D0D" w:themeColor="text1" w:themeTint="F2"/>
          <w:sz w:val="28"/>
          <w:szCs w:val="28"/>
        </w:rPr>
        <w:t>-</w:t>
      </w:r>
      <w:r w:rsidRPr="00F55FF4">
        <w:rPr>
          <w:color w:val="0D0D0D" w:themeColor="text1" w:themeTint="F2"/>
        </w:rPr>
        <w:t xml:space="preserve"> </w:t>
      </w:r>
      <w:r w:rsidRPr="00F55FF4">
        <w:rPr>
          <w:bCs/>
          <w:color w:val="0D0D0D" w:themeColor="text1" w:themeTint="F2"/>
          <w:sz w:val="28"/>
          <w:szCs w:val="28"/>
        </w:rPr>
        <w:t>Phương tiện phải được trang bị biển báo, đèn tín hiệu, thiết bị phòng cháy chữa cháy (nếu cần);</w:t>
      </w:r>
      <w:r w:rsidRPr="00F55FF4">
        <w:rPr>
          <w:bCs/>
          <w:color w:val="0D0D0D" w:themeColor="text1" w:themeTint="F2"/>
        </w:rPr>
        <w:t xml:space="preserve"> </w:t>
      </w:r>
      <w:r w:rsidRPr="00F55FF4">
        <w:rPr>
          <w:bCs/>
          <w:color w:val="0D0D0D" w:themeColor="text1" w:themeTint="F2"/>
          <w:sz w:val="28"/>
          <w:szCs w:val="28"/>
        </w:rPr>
        <w:t>Tuân thủ các quy định về tốc độ, lộ trình và hạn chế phát tán bụi, mùi hôi ra môi trường xung quanh.</w:t>
      </w:r>
    </w:p>
    <w:p w:rsidR="00F55FF4" w:rsidRPr="00F55FF4" w:rsidRDefault="00F55FF4" w:rsidP="00F55FF4">
      <w:pPr>
        <w:spacing w:before="60" w:after="60"/>
        <w:ind w:firstLine="567"/>
        <w:rPr>
          <w:b/>
          <w:color w:val="0D0D0D" w:themeColor="text1" w:themeTint="F2"/>
          <w:sz w:val="28"/>
          <w:szCs w:val="28"/>
          <w:lang w:val="nl-NL"/>
        </w:rPr>
      </w:pPr>
      <w:r w:rsidRPr="00F55FF4">
        <w:rPr>
          <w:b/>
          <w:color w:val="0D0D0D" w:themeColor="text1" w:themeTint="F2"/>
          <w:sz w:val="28"/>
          <w:szCs w:val="28"/>
        </w:rPr>
        <w:t xml:space="preserve">- </w:t>
      </w:r>
      <w:r w:rsidRPr="00F55FF4">
        <w:rPr>
          <w:bCs/>
          <w:color w:val="0D0D0D" w:themeColor="text1" w:themeTint="F2"/>
          <w:sz w:val="28"/>
          <w:szCs w:val="28"/>
        </w:rPr>
        <w:t>Rác thải tồn lưu được thu gom, phân loại trước khi bốc xúc nhằm tránh lẫn rác nguy hại, chất thải tái chế và rác thông thường;</w:t>
      </w:r>
      <w:r w:rsidRPr="00F55FF4">
        <w:rPr>
          <w:bCs/>
          <w:color w:val="0D0D0D" w:themeColor="text1" w:themeTint="F2"/>
        </w:rPr>
        <w:t xml:space="preserve"> </w:t>
      </w:r>
      <w:r w:rsidRPr="00F55FF4">
        <w:rPr>
          <w:bCs/>
          <w:color w:val="0D0D0D" w:themeColor="text1" w:themeTint="F2"/>
          <w:sz w:val="28"/>
          <w:szCs w:val="28"/>
        </w:rPr>
        <w:t>Sử dụng máy bốc xúc chuyên dụng, đảm bảo không phát tán bụi, mùi và giữ an toàn cho nhân công.</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w:t>
      </w:r>
      <w:r w:rsidRPr="00F55FF4">
        <w:rPr>
          <w:color w:val="0D0D0D" w:themeColor="text1" w:themeTint="F2"/>
        </w:rPr>
        <w:t xml:space="preserve"> </w:t>
      </w:r>
      <w:r w:rsidRPr="00F55FF4">
        <w:rPr>
          <w:bCs/>
          <w:color w:val="0D0D0D" w:themeColor="text1" w:themeTint="F2"/>
          <w:sz w:val="28"/>
          <w:szCs w:val="28"/>
        </w:rPr>
        <w:t>Vận chuyển rác thải bằng xe chuyên dụng, thùng kín, đảm bảo không rò rỉ, ngăn mùi, tuân thủ quy định về vệ sinh môi trường; Tuân thủ lộ trình và tốc độ vận chuyển an toàn, tránh gây ảnh hưởng đến khu dân cư xung quanh.</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w:t>
      </w:r>
      <w:r w:rsidRPr="00F55FF4">
        <w:rPr>
          <w:color w:val="0D0D0D" w:themeColor="text1" w:themeTint="F2"/>
        </w:rPr>
        <w:t xml:space="preserve"> </w:t>
      </w:r>
      <w:r w:rsidRPr="00F55FF4">
        <w:rPr>
          <w:bCs/>
          <w:color w:val="0D0D0D" w:themeColor="text1" w:themeTint="F2"/>
          <w:sz w:val="28"/>
          <w:szCs w:val="28"/>
        </w:rPr>
        <w:t xml:space="preserve">Đảm bảo an toàn </w:t>
      </w:r>
      <w:proofErr w:type="gramStart"/>
      <w:r w:rsidRPr="00F55FF4">
        <w:rPr>
          <w:bCs/>
          <w:color w:val="0D0D0D" w:themeColor="text1" w:themeTint="F2"/>
          <w:sz w:val="28"/>
          <w:szCs w:val="28"/>
        </w:rPr>
        <w:t>lao</w:t>
      </w:r>
      <w:proofErr w:type="gramEnd"/>
      <w:r w:rsidRPr="00F55FF4">
        <w:rPr>
          <w:bCs/>
          <w:color w:val="0D0D0D" w:themeColor="text1" w:themeTint="F2"/>
          <w:sz w:val="28"/>
          <w:szCs w:val="28"/>
        </w:rPr>
        <w:t xml:space="preserve"> động, phòng chống cháy nổ và trang bị thiết bị bảo hộ cho toàn bộ nhân viên; Thực hiện nghiêm các quy định về bảo vệ môi trường, phòng chống ô nhiễm đất, nước, không khí trong khu vực xử lý rác.</w:t>
      </w:r>
    </w:p>
    <w:p w:rsidR="00F55FF4" w:rsidRPr="00F55FF4" w:rsidRDefault="00F55FF4" w:rsidP="00F55FF4">
      <w:pPr>
        <w:spacing w:before="60" w:after="60"/>
        <w:ind w:firstLine="567"/>
        <w:rPr>
          <w:b/>
          <w:color w:val="0D0D0D" w:themeColor="text1" w:themeTint="F2"/>
          <w:sz w:val="28"/>
          <w:szCs w:val="28"/>
        </w:rPr>
      </w:pPr>
      <w:r w:rsidRPr="00F55FF4">
        <w:rPr>
          <w:b/>
          <w:color w:val="0D0D0D" w:themeColor="text1" w:themeTint="F2"/>
          <w:sz w:val="28"/>
          <w:szCs w:val="28"/>
        </w:rPr>
        <w:t xml:space="preserve">3.3 Yêu cầu về phòng chống chát nổ, an toàn </w:t>
      </w:r>
      <w:proofErr w:type="gramStart"/>
      <w:r w:rsidRPr="00F55FF4">
        <w:rPr>
          <w:b/>
          <w:color w:val="0D0D0D" w:themeColor="text1" w:themeTint="F2"/>
          <w:sz w:val="28"/>
          <w:szCs w:val="28"/>
        </w:rPr>
        <w:t>lao</w:t>
      </w:r>
      <w:proofErr w:type="gramEnd"/>
      <w:r w:rsidRPr="00F55FF4">
        <w:rPr>
          <w:b/>
          <w:color w:val="0D0D0D" w:themeColor="text1" w:themeTint="F2"/>
          <w:sz w:val="28"/>
          <w:szCs w:val="28"/>
        </w:rPr>
        <w:t xml:space="preserve"> động, vệ sinh môi trường.</w:t>
      </w:r>
    </w:p>
    <w:p w:rsidR="00F55FF4" w:rsidRPr="00F55FF4" w:rsidRDefault="00F55FF4" w:rsidP="00F55FF4">
      <w:pPr>
        <w:spacing w:before="60" w:after="60"/>
        <w:ind w:firstLine="567"/>
        <w:rPr>
          <w:bCs/>
          <w:color w:val="0D0D0D" w:themeColor="text1" w:themeTint="F2"/>
          <w:sz w:val="28"/>
          <w:szCs w:val="28"/>
        </w:rPr>
      </w:pPr>
      <w:r w:rsidRPr="00F55FF4">
        <w:rPr>
          <w:b/>
          <w:color w:val="0D0D0D" w:themeColor="text1" w:themeTint="F2"/>
          <w:sz w:val="28"/>
          <w:szCs w:val="28"/>
        </w:rPr>
        <w:t xml:space="preserve">- </w:t>
      </w:r>
      <w:r w:rsidRPr="00F55FF4">
        <w:rPr>
          <w:bCs/>
          <w:color w:val="0D0D0D" w:themeColor="text1" w:themeTint="F2"/>
          <w:sz w:val="28"/>
          <w:szCs w:val="28"/>
        </w:rPr>
        <w:t>Trang bị đầy đủ bình chữa cháy, thiết bị cảnh báo cháy nổ tại khu vực làm việc và kho chứa rác thải dễ cháy;</w:t>
      </w:r>
      <w:r w:rsidRPr="00F55FF4">
        <w:rPr>
          <w:bCs/>
          <w:color w:val="0D0D0D" w:themeColor="text1" w:themeTint="F2"/>
        </w:rPr>
        <w:t xml:space="preserve"> </w:t>
      </w:r>
      <w:r w:rsidRPr="00F55FF4">
        <w:rPr>
          <w:bCs/>
          <w:color w:val="0D0D0D" w:themeColor="text1" w:themeTint="F2"/>
          <w:sz w:val="28"/>
          <w:szCs w:val="28"/>
        </w:rPr>
        <w:t>Cấm tuyệt đối việc sử dụng lửa, hút thuốc hoặc các nguồn nhiệt trong khu vực xử lý rác thải;</w:t>
      </w:r>
      <w:r w:rsidRPr="00F55FF4">
        <w:rPr>
          <w:bCs/>
          <w:color w:val="0D0D0D" w:themeColor="text1" w:themeTint="F2"/>
        </w:rPr>
        <w:t xml:space="preserve"> </w:t>
      </w:r>
      <w:r w:rsidRPr="00F55FF4">
        <w:rPr>
          <w:bCs/>
          <w:color w:val="0D0D0D" w:themeColor="text1" w:themeTint="F2"/>
          <w:sz w:val="28"/>
          <w:szCs w:val="28"/>
        </w:rPr>
        <w:t>Lập phương án xử lý sự cố cháy nổ và tổ chức tập huấn cho toàn bộ nhân viên.</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Trang bị bảo hộ cá nhân đầy đủ: mũ, găng tay, giày bảo hộ, khẩu trang, kính bảo hộ;</w:t>
      </w:r>
      <w:r w:rsidRPr="00F55FF4">
        <w:rPr>
          <w:color w:val="0D0D0D" w:themeColor="text1" w:themeTint="F2"/>
        </w:rPr>
        <w:t xml:space="preserve"> </w:t>
      </w:r>
      <w:r w:rsidRPr="00F55FF4">
        <w:rPr>
          <w:bCs/>
          <w:color w:val="0D0D0D" w:themeColor="text1" w:themeTint="F2"/>
          <w:sz w:val="28"/>
          <w:szCs w:val="28"/>
        </w:rPr>
        <w:t>Đào tạo nhân viên về an toàn lao động, quy trình vận hành máy móc, thiết bị bốc xúc và vận chuyển rác thải;</w:t>
      </w:r>
      <w:r w:rsidRPr="00F55FF4">
        <w:rPr>
          <w:color w:val="0D0D0D" w:themeColor="text1" w:themeTint="F2"/>
        </w:rPr>
        <w:t xml:space="preserve"> </w:t>
      </w:r>
      <w:r w:rsidRPr="00F55FF4">
        <w:rPr>
          <w:bCs/>
          <w:color w:val="0D0D0D" w:themeColor="text1" w:themeTint="F2"/>
          <w:sz w:val="28"/>
          <w:szCs w:val="28"/>
        </w:rPr>
        <w:t>Lắp đặt biển báo, rào chắn tại khu vực nguy hiểm và quy định phạm vi hoạt động an toàn.</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lastRenderedPageBreak/>
        <w:t>-</w:t>
      </w:r>
      <w:r w:rsidRPr="00F55FF4">
        <w:rPr>
          <w:color w:val="0D0D0D" w:themeColor="text1" w:themeTint="F2"/>
        </w:rPr>
        <w:t xml:space="preserve"> </w:t>
      </w:r>
      <w:r w:rsidRPr="00F55FF4">
        <w:rPr>
          <w:bCs/>
          <w:color w:val="0D0D0D" w:themeColor="text1" w:themeTint="F2"/>
          <w:sz w:val="28"/>
          <w:szCs w:val="28"/>
        </w:rPr>
        <w:t>Thu gom, phân loại và vận chuyển rác thải đúng quy định, hạn chế bụi, mùi hôi và ô nhiễm môi trường xung quanh;</w:t>
      </w:r>
      <w:r w:rsidRPr="00F55FF4">
        <w:rPr>
          <w:color w:val="0D0D0D" w:themeColor="text1" w:themeTint="F2"/>
        </w:rPr>
        <w:t xml:space="preserve"> </w:t>
      </w:r>
      <w:r w:rsidRPr="00F55FF4">
        <w:rPr>
          <w:bCs/>
          <w:color w:val="0D0D0D" w:themeColor="text1" w:themeTint="F2"/>
          <w:sz w:val="28"/>
          <w:szCs w:val="28"/>
        </w:rPr>
        <w:t>Vệ sinh khu vực làm việc định kỳ, đảm bảo không ảnh hưởng đến đất, nước và không khí xung quanh;</w:t>
      </w:r>
      <w:r w:rsidRPr="00F55FF4">
        <w:rPr>
          <w:color w:val="0D0D0D" w:themeColor="text1" w:themeTint="F2"/>
        </w:rPr>
        <w:t xml:space="preserve"> </w:t>
      </w:r>
      <w:r w:rsidRPr="00F55FF4">
        <w:rPr>
          <w:bCs/>
          <w:color w:val="0D0D0D" w:themeColor="text1" w:themeTint="F2"/>
          <w:sz w:val="28"/>
          <w:szCs w:val="28"/>
        </w:rPr>
        <w:t>Sử dụng thiết bị che chắn, phun nước hạn chế bụi trong quá trình bốc xúc và vận chuyển.</w:t>
      </w:r>
    </w:p>
    <w:p w:rsidR="00F55FF4" w:rsidRPr="00F55FF4" w:rsidRDefault="00F55FF4" w:rsidP="00F55FF4">
      <w:pPr>
        <w:spacing w:before="60" w:after="60"/>
        <w:ind w:firstLine="567"/>
        <w:rPr>
          <w:b/>
          <w:color w:val="0D0D0D" w:themeColor="text1" w:themeTint="F2"/>
          <w:sz w:val="28"/>
          <w:szCs w:val="28"/>
        </w:rPr>
      </w:pPr>
      <w:r w:rsidRPr="00F55FF4">
        <w:rPr>
          <w:b/>
          <w:color w:val="0D0D0D" w:themeColor="text1" w:themeTint="F2"/>
          <w:sz w:val="28"/>
          <w:szCs w:val="28"/>
        </w:rPr>
        <w:t>3.5 Yêu cầu về quản lý chất lượng.</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xml:space="preserve">- Tuân thủ quy trình: Nhà thầu phải thực hiện bốc xúc, vận chuyển </w:t>
      </w:r>
      <w:proofErr w:type="gramStart"/>
      <w:r w:rsidRPr="00F55FF4">
        <w:rPr>
          <w:bCs/>
          <w:color w:val="0D0D0D" w:themeColor="text1" w:themeTint="F2"/>
          <w:sz w:val="28"/>
          <w:szCs w:val="28"/>
        </w:rPr>
        <w:t>theo</w:t>
      </w:r>
      <w:proofErr w:type="gramEnd"/>
      <w:r w:rsidRPr="00F55FF4">
        <w:rPr>
          <w:bCs/>
          <w:color w:val="0D0D0D" w:themeColor="text1" w:themeTint="F2"/>
          <w:sz w:val="28"/>
          <w:szCs w:val="28"/>
        </w:rPr>
        <w:t xml:space="preserve"> các quy định hiện hành về môi trường; Kiểm soát chặt chẽ từng bước công việc, từ thu gom, vận chuyển đến xử lý cuối cùng, đảm bảo không phát sinh lỗi, sự cố hay ảnh hưởng xấu đến môi trường.</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Giám sát chất lượng: Thiết lập hệ thống giám sát, kiểm tra định kỳ chất lượng công việc, tình trạng máy móc, thiết bị, cũng như việc thực hiện vệ sinh môi trường và an toàn lao động; Lập biên bản, báo cáo kết quả kiểm tra, phát hiện sai sót kịp thời để khắc phục.</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Đảm bảo tiêu chuẩn kỹ thuật và môi trường: Phương tiện, thiết bị và vật tư sử dụng phải đạt tiêu chuẩn chất lượng, được bảo trì định kỳ; Tuân thủ các tiêu chuẩn về an toàn lao động, phòng chống cháy nổ và bảo vệ môi trường trong suốt quá trình triển khai gói thầu.</w:t>
      </w:r>
    </w:p>
    <w:p w:rsidR="00F55FF4" w:rsidRPr="00F55FF4" w:rsidRDefault="00F55FF4" w:rsidP="00F55FF4">
      <w:pPr>
        <w:spacing w:before="60" w:after="60"/>
        <w:ind w:firstLine="567"/>
        <w:rPr>
          <w:bCs/>
          <w:color w:val="0D0D0D" w:themeColor="text1" w:themeTint="F2"/>
          <w:sz w:val="28"/>
          <w:szCs w:val="28"/>
        </w:rPr>
      </w:pPr>
      <w:r w:rsidRPr="00F55FF4">
        <w:rPr>
          <w:bCs/>
          <w:color w:val="0D0D0D" w:themeColor="text1" w:themeTint="F2"/>
          <w:sz w:val="28"/>
          <w:szCs w:val="28"/>
        </w:rPr>
        <w:t xml:space="preserve">- Cải tiến và trách nhiệm: Nhà thầu có trách nhiệm đề xuất các biện pháp cải tiến quy trình để nâng cao hiệu quả và chất lượng công việc; Chịu trách nhiệm trước cơ quan quản lý về chất lượng công việc, an toàn </w:t>
      </w:r>
      <w:proofErr w:type="gramStart"/>
      <w:r w:rsidRPr="00F55FF4">
        <w:rPr>
          <w:bCs/>
          <w:color w:val="0D0D0D" w:themeColor="text1" w:themeTint="F2"/>
          <w:sz w:val="28"/>
          <w:szCs w:val="28"/>
        </w:rPr>
        <w:t>lao</w:t>
      </w:r>
      <w:proofErr w:type="gramEnd"/>
      <w:r w:rsidRPr="00F55FF4">
        <w:rPr>
          <w:bCs/>
          <w:color w:val="0D0D0D" w:themeColor="text1" w:themeTint="F2"/>
          <w:sz w:val="28"/>
          <w:szCs w:val="28"/>
        </w:rPr>
        <w:t xml:space="preserve"> động và bảo vệ môi trường.</w:t>
      </w:r>
    </w:p>
    <w:p w:rsidR="00F55FF4" w:rsidRPr="00F55FF4" w:rsidRDefault="00F55FF4" w:rsidP="00F55FF4">
      <w:pPr>
        <w:spacing w:before="60" w:after="60"/>
        <w:ind w:firstLine="567"/>
        <w:rPr>
          <w:b/>
          <w:color w:val="0D0D0D" w:themeColor="text1" w:themeTint="F2"/>
          <w:sz w:val="28"/>
          <w:szCs w:val="28"/>
          <w:lang w:val="nl-NL"/>
        </w:rPr>
      </w:pPr>
      <w:r w:rsidRPr="00F55FF4">
        <w:rPr>
          <w:b/>
          <w:color w:val="0D0D0D" w:themeColor="text1" w:themeTint="F2"/>
          <w:sz w:val="28"/>
          <w:szCs w:val="28"/>
          <w:lang w:val="nl-NL"/>
        </w:rPr>
        <w:t>4. Giải pháp và phương pháp luận:</w:t>
      </w:r>
    </w:p>
    <w:p w:rsidR="00F55FF4" w:rsidRPr="00F55FF4" w:rsidRDefault="00F55FF4" w:rsidP="00F55FF4">
      <w:pPr>
        <w:spacing w:before="60" w:after="60"/>
        <w:ind w:firstLine="567"/>
        <w:rPr>
          <w:i/>
          <w:color w:val="0D0D0D" w:themeColor="text1" w:themeTint="F2"/>
          <w:spacing w:val="-2"/>
          <w:sz w:val="28"/>
          <w:szCs w:val="28"/>
          <w:lang w:val="nl-NL"/>
        </w:rPr>
      </w:pPr>
      <w:r w:rsidRPr="00F55FF4">
        <w:rPr>
          <w:i/>
          <w:color w:val="0D0D0D" w:themeColor="text1" w:themeTint="F2"/>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F55FF4" w:rsidRPr="00F55FF4" w:rsidRDefault="00F55FF4" w:rsidP="00F55FF4">
      <w:pPr>
        <w:spacing w:before="60" w:after="60"/>
        <w:ind w:firstLine="567"/>
        <w:rPr>
          <w:i/>
          <w:color w:val="0D0D0D" w:themeColor="text1" w:themeTint="F2"/>
          <w:spacing w:val="-2"/>
          <w:sz w:val="28"/>
          <w:szCs w:val="28"/>
          <w:lang w:val="nl-NL"/>
        </w:rPr>
      </w:pPr>
      <w:r w:rsidRPr="00F55FF4">
        <w:rPr>
          <w:i/>
          <w:color w:val="0D0D0D" w:themeColor="text1" w:themeTint="F2"/>
          <w:spacing w:val="-2"/>
          <w:sz w:val="28"/>
          <w:szCs w:val="28"/>
          <w:lang w:val="nl-NL"/>
        </w:rPr>
        <w:t>1. Giải pháp và phương pháp luận;</w:t>
      </w:r>
    </w:p>
    <w:p w:rsidR="00F55FF4" w:rsidRPr="00F55FF4" w:rsidRDefault="00F55FF4" w:rsidP="00F55FF4">
      <w:pPr>
        <w:spacing w:before="60" w:after="60"/>
        <w:ind w:firstLine="567"/>
        <w:rPr>
          <w:i/>
          <w:color w:val="0D0D0D" w:themeColor="text1" w:themeTint="F2"/>
          <w:spacing w:val="-2"/>
          <w:sz w:val="28"/>
          <w:szCs w:val="28"/>
          <w:lang w:val="nl-NL"/>
        </w:rPr>
      </w:pPr>
      <w:r w:rsidRPr="00F55FF4">
        <w:rPr>
          <w:i/>
          <w:color w:val="0D0D0D" w:themeColor="text1" w:themeTint="F2"/>
          <w:spacing w:val="-2"/>
          <w:sz w:val="28"/>
          <w:szCs w:val="28"/>
          <w:lang w:val="nl-NL"/>
        </w:rPr>
        <w:t>2.  Kế hoạch công tác.</w:t>
      </w:r>
    </w:p>
    <w:p w:rsidR="00F55FF4" w:rsidRPr="00F55FF4" w:rsidRDefault="00F55FF4" w:rsidP="00F55FF4">
      <w:pPr>
        <w:spacing w:before="60" w:after="60"/>
        <w:ind w:firstLine="567"/>
        <w:rPr>
          <w:b/>
          <w:color w:val="0D0D0D" w:themeColor="text1" w:themeTint="F2"/>
          <w:sz w:val="28"/>
          <w:szCs w:val="28"/>
          <w:lang w:val="nl-NL"/>
        </w:rPr>
      </w:pPr>
      <w:r w:rsidRPr="00F55FF4">
        <w:rPr>
          <w:b/>
          <w:color w:val="0D0D0D" w:themeColor="text1" w:themeTint="F2"/>
          <w:sz w:val="28"/>
          <w:szCs w:val="28"/>
          <w:lang w:val="nl-NL"/>
        </w:rPr>
        <w:t>5. Quy định về kiểm tra, nghiệm thu sản phẩm:</w:t>
      </w:r>
    </w:p>
    <w:p w:rsidR="00F55FF4" w:rsidRPr="00F55FF4" w:rsidRDefault="00F55FF4" w:rsidP="00F55FF4">
      <w:pPr>
        <w:spacing w:before="60" w:after="60"/>
        <w:ind w:firstLine="567"/>
        <w:outlineLvl w:val="0"/>
        <w:rPr>
          <w:i/>
          <w:color w:val="0D0D0D" w:themeColor="text1" w:themeTint="F2"/>
          <w:spacing w:val="-2"/>
          <w:sz w:val="28"/>
          <w:szCs w:val="28"/>
        </w:rPr>
      </w:pPr>
      <w:r w:rsidRPr="00F55FF4">
        <w:rPr>
          <w:i/>
          <w:color w:val="0D0D0D" w:themeColor="text1" w:themeTint="F2"/>
          <w:spacing w:val="-2"/>
          <w:sz w:val="28"/>
          <w:szCs w:val="28"/>
        </w:rPr>
        <w:t xml:space="preserve">- Kiểm tra tại hiện trường: Tất cả công việc </w:t>
      </w:r>
      <w:proofErr w:type="gramStart"/>
      <w:r w:rsidRPr="00F55FF4">
        <w:rPr>
          <w:i/>
          <w:color w:val="0D0D0D" w:themeColor="text1" w:themeTint="F2"/>
          <w:spacing w:val="-2"/>
          <w:sz w:val="28"/>
          <w:szCs w:val="28"/>
        </w:rPr>
        <w:t>thu</w:t>
      </w:r>
      <w:proofErr w:type="gramEnd"/>
      <w:r w:rsidRPr="00F55FF4">
        <w:rPr>
          <w:i/>
          <w:color w:val="0D0D0D" w:themeColor="text1" w:themeTint="F2"/>
          <w:spacing w:val="-2"/>
          <w:sz w:val="28"/>
          <w:szCs w:val="28"/>
        </w:rPr>
        <w:t xml:space="preserve"> gom bốc xúc, vận chuyển rác thải phải được giám sát chặt chẽ tại hiện trường; Các hạng mục công việc sẽ được kiểm tra về khối lượng, chất lượng, an toàn lao động và vệ sinh môi trường trước khi nghiệm thu.</w:t>
      </w:r>
    </w:p>
    <w:p w:rsidR="00F55FF4" w:rsidRPr="00F55FF4" w:rsidRDefault="00F55FF4" w:rsidP="00F55FF4">
      <w:pPr>
        <w:spacing w:before="60" w:after="60"/>
        <w:ind w:firstLine="567"/>
        <w:outlineLvl w:val="0"/>
        <w:rPr>
          <w:i/>
          <w:color w:val="0D0D0D" w:themeColor="text1" w:themeTint="F2"/>
          <w:spacing w:val="-2"/>
          <w:sz w:val="28"/>
          <w:szCs w:val="28"/>
        </w:rPr>
      </w:pPr>
      <w:r w:rsidRPr="00F55FF4">
        <w:rPr>
          <w:i/>
          <w:color w:val="0D0D0D" w:themeColor="text1" w:themeTint="F2"/>
          <w:spacing w:val="-2"/>
          <w:sz w:val="28"/>
          <w:szCs w:val="28"/>
        </w:rPr>
        <w:t>-</w:t>
      </w:r>
      <w:r w:rsidRPr="00F55FF4">
        <w:rPr>
          <w:color w:val="0D0D0D" w:themeColor="text1" w:themeTint="F2"/>
        </w:rPr>
        <w:t xml:space="preserve"> </w:t>
      </w:r>
      <w:r w:rsidRPr="00F55FF4">
        <w:rPr>
          <w:i/>
          <w:color w:val="0D0D0D" w:themeColor="text1" w:themeTint="F2"/>
          <w:spacing w:val="-2"/>
          <w:sz w:val="28"/>
          <w:szCs w:val="28"/>
        </w:rPr>
        <w:t xml:space="preserve">Nghiệm </w:t>
      </w:r>
      <w:proofErr w:type="gramStart"/>
      <w:r w:rsidRPr="00F55FF4">
        <w:rPr>
          <w:i/>
          <w:color w:val="0D0D0D" w:themeColor="text1" w:themeTint="F2"/>
          <w:spacing w:val="-2"/>
          <w:sz w:val="28"/>
          <w:szCs w:val="28"/>
        </w:rPr>
        <w:t>thu</w:t>
      </w:r>
      <w:proofErr w:type="gramEnd"/>
      <w:r w:rsidRPr="00F55FF4">
        <w:rPr>
          <w:i/>
          <w:color w:val="0D0D0D" w:themeColor="text1" w:themeTint="F2"/>
          <w:spacing w:val="-2"/>
          <w:sz w:val="28"/>
          <w:szCs w:val="28"/>
        </w:rPr>
        <w:t xml:space="preserve"> theo từng giai đoạn:</w:t>
      </w:r>
      <w:r w:rsidRPr="00F55FF4">
        <w:rPr>
          <w:color w:val="0D0D0D" w:themeColor="text1" w:themeTint="F2"/>
        </w:rPr>
        <w:t xml:space="preserve"> </w:t>
      </w:r>
      <w:r w:rsidRPr="00F55FF4">
        <w:rPr>
          <w:i/>
          <w:color w:val="0D0D0D" w:themeColor="text1" w:themeTint="F2"/>
          <w:spacing w:val="-2"/>
          <w:sz w:val="28"/>
          <w:szCs w:val="28"/>
        </w:rPr>
        <w:t>Nghiệm thu định kỳ theo từng khối lượng rác thải đã hoàn thành, đảm bảo đúng tiến độ và tiêu chuẩn kỹ thuật;</w:t>
      </w:r>
      <w:r w:rsidRPr="00F55FF4">
        <w:rPr>
          <w:color w:val="0D0D0D" w:themeColor="text1" w:themeTint="F2"/>
        </w:rPr>
        <w:t xml:space="preserve"> </w:t>
      </w:r>
      <w:r w:rsidRPr="00F55FF4">
        <w:rPr>
          <w:i/>
          <w:color w:val="0D0D0D" w:themeColor="text1" w:themeTint="F2"/>
          <w:spacing w:val="-2"/>
          <w:sz w:val="28"/>
          <w:szCs w:val="28"/>
        </w:rPr>
        <w:t>Mỗi giai đoạn nghiệm thu phải lập biên bản chi tiết, có chữ ký xác nhận của đại diện nhà thầu và cơ quan quản lý.</w:t>
      </w:r>
    </w:p>
    <w:p w:rsidR="00F55FF4" w:rsidRPr="00F55FF4" w:rsidRDefault="00F55FF4" w:rsidP="00F55FF4">
      <w:pPr>
        <w:spacing w:before="60" w:after="60"/>
        <w:ind w:firstLine="567"/>
        <w:outlineLvl w:val="0"/>
        <w:rPr>
          <w:i/>
          <w:color w:val="0D0D0D" w:themeColor="text1" w:themeTint="F2"/>
          <w:spacing w:val="-2"/>
          <w:sz w:val="28"/>
          <w:szCs w:val="28"/>
        </w:rPr>
      </w:pPr>
      <w:r w:rsidRPr="00F55FF4">
        <w:rPr>
          <w:i/>
          <w:color w:val="0D0D0D" w:themeColor="text1" w:themeTint="F2"/>
          <w:spacing w:val="-2"/>
          <w:sz w:val="28"/>
          <w:szCs w:val="28"/>
        </w:rPr>
        <w:lastRenderedPageBreak/>
        <w:t xml:space="preserve">- Tiêu chuẩn nghiệm </w:t>
      </w:r>
      <w:proofErr w:type="gramStart"/>
      <w:r w:rsidRPr="00F55FF4">
        <w:rPr>
          <w:i/>
          <w:color w:val="0D0D0D" w:themeColor="text1" w:themeTint="F2"/>
          <w:spacing w:val="-2"/>
          <w:sz w:val="28"/>
          <w:szCs w:val="28"/>
        </w:rPr>
        <w:t>thu</w:t>
      </w:r>
      <w:proofErr w:type="gramEnd"/>
      <w:r w:rsidRPr="00F55FF4">
        <w:rPr>
          <w:i/>
          <w:color w:val="0D0D0D" w:themeColor="text1" w:themeTint="F2"/>
          <w:spacing w:val="-2"/>
          <w:sz w:val="28"/>
          <w:szCs w:val="28"/>
        </w:rPr>
        <w:t>: Công việc phải đáp ứng các tiêu chuẩn kỹ thuật đã được phê duyệt đúng quy trình, không gây ô nhiễm môi trường, đảm bảo an toàn lao động và phòng chống cháy nổ.</w:t>
      </w:r>
    </w:p>
    <w:p w:rsidR="00F55FF4" w:rsidRPr="00F55FF4" w:rsidRDefault="00F55FF4" w:rsidP="00F55FF4">
      <w:pPr>
        <w:spacing w:before="60" w:after="60"/>
        <w:outlineLvl w:val="0"/>
        <w:rPr>
          <w:color w:val="0D0D0D" w:themeColor="text1" w:themeTint="F2"/>
          <w:lang w:val="nl-NL"/>
        </w:rPr>
      </w:pPr>
      <w:r w:rsidRPr="00F55FF4">
        <w:rPr>
          <w:i/>
          <w:color w:val="0D0D0D" w:themeColor="text1" w:themeTint="F2"/>
          <w:spacing w:val="-2"/>
          <w:sz w:val="28"/>
          <w:szCs w:val="28"/>
        </w:rPr>
        <w:t xml:space="preserve">        - Xử lý sai sót: Các hạng mục không đạt yêu cầu phải được nhà thầu khắc phục kịp thời trước khi nghiệm </w:t>
      </w:r>
      <w:proofErr w:type="gramStart"/>
      <w:r w:rsidRPr="00F55FF4">
        <w:rPr>
          <w:i/>
          <w:color w:val="0D0D0D" w:themeColor="text1" w:themeTint="F2"/>
          <w:spacing w:val="-2"/>
          <w:sz w:val="28"/>
          <w:szCs w:val="28"/>
        </w:rPr>
        <w:t>thu</w:t>
      </w:r>
      <w:proofErr w:type="gramEnd"/>
      <w:r w:rsidRPr="00F55FF4">
        <w:rPr>
          <w:i/>
          <w:color w:val="0D0D0D" w:themeColor="text1" w:themeTint="F2"/>
          <w:spacing w:val="-2"/>
          <w:sz w:val="28"/>
          <w:szCs w:val="28"/>
        </w:rPr>
        <w:t xml:space="preserve"> chính thức; Mọi sai sót, vi phạm tiêu chuẩn phải được ghi nhận và có biện pháp xử lý theo quy định.</w:t>
      </w:r>
      <w:bookmarkEnd w:id="1"/>
      <w:r w:rsidRPr="00F55FF4">
        <w:rPr>
          <w:color w:val="0D0D0D" w:themeColor="text1" w:themeTint="F2"/>
          <w:lang w:val="nl-NL"/>
        </w:rPr>
        <w:br w:type="page"/>
      </w:r>
    </w:p>
    <w:bookmarkEnd w:id="2"/>
    <w:p w:rsidR="00106BB4" w:rsidRPr="00F55FF4" w:rsidRDefault="00106BB4">
      <w:pPr>
        <w:rPr>
          <w:color w:val="0D0D0D" w:themeColor="text1" w:themeTint="F2"/>
        </w:rPr>
      </w:pPr>
    </w:p>
    <w:sectPr w:rsidR="00106BB4" w:rsidRPr="00F55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F4"/>
    <w:rsid w:val="00106BB4"/>
    <w:rsid w:val="00F5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F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5FF4"/>
    <w:rPr>
      <w:sz w:val="20"/>
      <w:lang w:val="x-none" w:eastAsia="x-none"/>
    </w:rPr>
  </w:style>
  <w:style w:type="character" w:customStyle="1" w:styleId="HeaderChar">
    <w:name w:val="Header Char"/>
    <w:basedOn w:val="DefaultParagraphFont"/>
    <w:link w:val="Header"/>
    <w:uiPriority w:val="99"/>
    <w:rsid w:val="00F55FF4"/>
    <w:rPr>
      <w:rFonts w:ascii="Times New Roman" w:eastAsia="Times New Roman" w:hAnsi="Times New Roman" w:cs="Times New Roman"/>
      <w:sz w:val="20"/>
      <w:szCs w:val="20"/>
      <w:lang w:val="x-none" w:eastAsia="x-none"/>
    </w:rPr>
  </w:style>
  <w:style w:type="character" w:styleId="Strong">
    <w:name w:val="Strong"/>
    <w:basedOn w:val="DefaultParagraphFont"/>
    <w:uiPriority w:val="22"/>
    <w:qFormat/>
    <w:rsid w:val="00F55F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F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5FF4"/>
    <w:rPr>
      <w:sz w:val="20"/>
      <w:lang w:val="x-none" w:eastAsia="x-none"/>
    </w:rPr>
  </w:style>
  <w:style w:type="character" w:customStyle="1" w:styleId="HeaderChar">
    <w:name w:val="Header Char"/>
    <w:basedOn w:val="DefaultParagraphFont"/>
    <w:link w:val="Header"/>
    <w:uiPriority w:val="99"/>
    <w:rsid w:val="00F55FF4"/>
    <w:rPr>
      <w:rFonts w:ascii="Times New Roman" w:eastAsia="Times New Roman" w:hAnsi="Times New Roman" w:cs="Times New Roman"/>
      <w:sz w:val="20"/>
      <w:szCs w:val="20"/>
      <w:lang w:val="x-none" w:eastAsia="x-none"/>
    </w:rPr>
  </w:style>
  <w:style w:type="character" w:styleId="Strong">
    <w:name w:val="Strong"/>
    <w:basedOn w:val="DefaultParagraphFont"/>
    <w:uiPriority w:val="22"/>
    <w:qFormat/>
    <w:rsid w:val="00F55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2025-12-28T10:26:00Z</dcterms:created>
  <dcterms:modified xsi:type="dcterms:W3CDTF">2025-12-28T10:26:00Z</dcterms:modified>
</cp:coreProperties>
</file>