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61" w:rsidRPr="001602DC" w:rsidRDefault="00C43761" w:rsidP="00C43761">
      <w:pPr>
        <w:spacing w:before="80" w:after="80" w:line="264" w:lineRule="auto"/>
        <w:ind w:firstLine="709"/>
        <w:rPr>
          <w:color w:val="FF0000"/>
          <w:szCs w:val="28"/>
          <w:lang w:val="es-ES"/>
        </w:rPr>
      </w:pPr>
      <w:r w:rsidRPr="00E74508">
        <w:rPr>
          <w:b/>
          <w:iCs/>
          <w:color w:val="FF0000"/>
          <w:szCs w:val="28"/>
          <w:lang w:val="es-ES"/>
        </w:rPr>
        <w:t>3.2. Đánh giá theo phương pháp</w:t>
      </w:r>
      <w:r w:rsidRPr="00E74508" w:rsidDel="00BE4476">
        <w:rPr>
          <w:b/>
          <w:iCs/>
          <w:color w:val="FF0000"/>
          <w:szCs w:val="28"/>
          <w:lang w:val="es-ES"/>
        </w:rPr>
        <w:t xml:space="preserve"> </w:t>
      </w:r>
      <w:r w:rsidRPr="00E74508">
        <w:rPr>
          <w:b/>
          <w:iCs/>
          <w:color w:val="FF0000"/>
          <w:szCs w:val="28"/>
          <w:lang w:val="es-ES"/>
        </w:rPr>
        <w:t>đạt/không đạt</w:t>
      </w:r>
      <w:r w:rsidRPr="00E74508">
        <w:rPr>
          <w:rStyle w:val="FootnoteReference"/>
          <w:b/>
          <w:iCs/>
          <w:color w:val="FF0000"/>
          <w:szCs w:val="28"/>
        </w:rPr>
        <w:footnoteReference w:id="1"/>
      </w:r>
      <w:r w:rsidRPr="00E74508">
        <w:rPr>
          <w:b/>
          <w:color w:val="FF0000"/>
          <w:szCs w:val="28"/>
          <w:lang w:val="es-ES"/>
        </w:rPr>
        <w:t>:</w:t>
      </w: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426"/>
        <w:gridCol w:w="3667"/>
        <w:gridCol w:w="3122"/>
      </w:tblGrid>
      <w:tr w:rsidR="00C43761" w:rsidRPr="001602DC" w:rsidTr="0075530D">
        <w:trPr>
          <w:trHeight w:val="20"/>
          <w:tblHeader/>
          <w:jc w:val="center"/>
        </w:trPr>
        <w:tc>
          <w:tcPr>
            <w:tcW w:w="591" w:type="dxa"/>
            <w:vMerge w:val="restart"/>
            <w:shd w:val="clear" w:color="000000" w:fill="FFFFFF"/>
            <w:vAlign w:val="center"/>
            <w:hideMark/>
          </w:tcPr>
          <w:p w:rsidR="00C43761" w:rsidRPr="001602DC" w:rsidRDefault="00C43761" w:rsidP="0075530D">
            <w:pPr>
              <w:spacing w:before="60" w:after="60"/>
              <w:rPr>
                <w:b/>
                <w:bCs/>
                <w:color w:val="FF0000"/>
                <w:szCs w:val="28"/>
              </w:rPr>
            </w:pPr>
            <w:r w:rsidRPr="001602DC">
              <w:rPr>
                <w:b/>
                <w:bCs/>
                <w:color w:val="FF0000"/>
                <w:szCs w:val="28"/>
              </w:rPr>
              <w:t>TT</w:t>
            </w:r>
          </w:p>
        </w:tc>
        <w:tc>
          <w:tcPr>
            <w:tcW w:w="2351" w:type="dxa"/>
            <w:vMerge w:val="restart"/>
            <w:shd w:val="clear" w:color="000000" w:fill="FFFFFF"/>
            <w:vAlign w:val="center"/>
            <w:hideMark/>
          </w:tcPr>
          <w:p w:rsidR="00C43761" w:rsidRPr="001602DC" w:rsidRDefault="00C43761" w:rsidP="0075530D">
            <w:pPr>
              <w:spacing w:before="60" w:after="60"/>
              <w:jc w:val="center"/>
              <w:rPr>
                <w:b/>
                <w:bCs/>
                <w:color w:val="FF0000"/>
                <w:szCs w:val="28"/>
              </w:rPr>
            </w:pPr>
            <w:r w:rsidRPr="001602DC">
              <w:rPr>
                <w:b/>
                <w:bCs/>
                <w:color w:val="FF0000"/>
                <w:szCs w:val="28"/>
              </w:rPr>
              <w:t>Nội dung đánh giá</w:t>
            </w:r>
          </w:p>
        </w:tc>
        <w:tc>
          <w:tcPr>
            <w:tcW w:w="6579" w:type="dxa"/>
            <w:gridSpan w:val="2"/>
            <w:shd w:val="clear" w:color="000000" w:fill="FFFFFF"/>
            <w:vAlign w:val="center"/>
            <w:hideMark/>
          </w:tcPr>
          <w:p w:rsidR="00C43761" w:rsidRPr="001602DC" w:rsidRDefault="00C43761" w:rsidP="0075530D">
            <w:pPr>
              <w:spacing w:before="60" w:after="60"/>
              <w:jc w:val="center"/>
              <w:rPr>
                <w:b/>
                <w:bCs/>
                <w:color w:val="FF0000"/>
                <w:szCs w:val="28"/>
              </w:rPr>
            </w:pPr>
            <w:r w:rsidRPr="001602DC">
              <w:rPr>
                <w:b/>
                <w:bCs/>
                <w:color w:val="FF0000"/>
                <w:szCs w:val="28"/>
              </w:rPr>
              <w:t>Tiêu chí đánh giá</w:t>
            </w:r>
          </w:p>
        </w:tc>
      </w:tr>
      <w:tr w:rsidR="00C43761" w:rsidRPr="001602DC" w:rsidTr="0075530D">
        <w:trPr>
          <w:trHeight w:val="20"/>
          <w:tblHeader/>
          <w:jc w:val="center"/>
        </w:trPr>
        <w:tc>
          <w:tcPr>
            <w:tcW w:w="591" w:type="dxa"/>
            <w:vMerge/>
            <w:vAlign w:val="center"/>
            <w:hideMark/>
          </w:tcPr>
          <w:p w:rsidR="00C43761" w:rsidRPr="001602DC" w:rsidRDefault="00C43761" w:rsidP="0075530D">
            <w:pPr>
              <w:spacing w:before="60" w:after="60"/>
              <w:rPr>
                <w:b/>
                <w:bCs/>
                <w:color w:val="FF0000"/>
                <w:szCs w:val="28"/>
              </w:rPr>
            </w:pPr>
          </w:p>
        </w:tc>
        <w:tc>
          <w:tcPr>
            <w:tcW w:w="2351" w:type="dxa"/>
            <w:vMerge/>
            <w:vAlign w:val="center"/>
            <w:hideMark/>
          </w:tcPr>
          <w:p w:rsidR="00C43761" w:rsidRPr="001602DC" w:rsidRDefault="00C43761" w:rsidP="0075530D">
            <w:pPr>
              <w:spacing w:before="60" w:after="60"/>
              <w:jc w:val="center"/>
              <w:rPr>
                <w:b/>
                <w:bCs/>
                <w:color w:val="FF0000"/>
                <w:szCs w:val="28"/>
              </w:rPr>
            </w:pPr>
          </w:p>
        </w:tc>
        <w:tc>
          <w:tcPr>
            <w:tcW w:w="3554" w:type="dxa"/>
            <w:shd w:val="clear" w:color="000000" w:fill="FFFFFF"/>
            <w:vAlign w:val="center"/>
            <w:hideMark/>
          </w:tcPr>
          <w:p w:rsidR="00C43761" w:rsidRPr="001602DC" w:rsidRDefault="00C43761" w:rsidP="0075530D">
            <w:pPr>
              <w:spacing w:before="60" w:after="60"/>
              <w:jc w:val="center"/>
              <w:rPr>
                <w:b/>
                <w:bCs/>
                <w:color w:val="FF0000"/>
                <w:szCs w:val="28"/>
              </w:rPr>
            </w:pPr>
            <w:r w:rsidRPr="001602DC">
              <w:rPr>
                <w:b/>
                <w:bCs/>
                <w:color w:val="FF0000"/>
                <w:szCs w:val="28"/>
              </w:rPr>
              <w:t>Đạt</w:t>
            </w:r>
          </w:p>
        </w:tc>
        <w:tc>
          <w:tcPr>
            <w:tcW w:w="3025" w:type="dxa"/>
            <w:shd w:val="clear" w:color="000000" w:fill="FFFFFF"/>
            <w:vAlign w:val="center"/>
            <w:hideMark/>
          </w:tcPr>
          <w:p w:rsidR="00C43761" w:rsidRPr="001602DC" w:rsidRDefault="00C43761" w:rsidP="0075530D">
            <w:pPr>
              <w:spacing w:before="60" w:after="60"/>
              <w:jc w:val="center"/>
              <w:rPr>
                <w:b/>
                <w:bCs/>
                <w:color w:val="FF0000"/>
                <w:szCs w:val="28"/>
              </w:rPr>
            </w:pPr>
            <w:r w:rsidRPr="001602DC">
              <w:rPr>
                <w:b/>
                <w:bCs/>
                <w:color w:val="FF0000"/>
                <w:szCs w:val="28"/>
              </w:rPr>
              <w:t>Không đạt</w:t>
            </w:r>
          </w:p>
        </w:tc>
      </w:tr>
      <w:tr w:rsidR="00C43761" w:rsidRPr="001602DC" w:rsidTr="0075530D">
        <w:trPr>
          <w:trHeight w:val="20"/>
          <w:jc w:val="center"/>
        </w:trPr>
        <w:tc>
          <w:tcPr>
            <w:tcW w:w="591" w:type="dxa"/>
            <w:shd w:val="clear" w:color="000000" w:fill="FFFFFF"/>
            <w:vAlign w:val="center"/>
          </w:tcPr>
          <w:p w:rsidR="00C43761" w:rsidRPr="001602DC" w:rsidRDefault="00C43761" w:rsidP="0075530D">
            <w:pPr>
              <w:spacing w:before="60" w:after="60"/>
              <w:jc w:val="center"/>
              <w:rPr>
                <w:color w:val="FF0000"/>
                <w:szCs w:val="28"/>
              </w:rPr>
            </w:pPr>
            <w:r w:rsidRPr="001602DC">
              <w:rPr>
                <w:color w:val="FF0000"/>
                <w:szCs w:val="28"/>
              </w:rPr>
              <w:t>1</w:t>
            </w:r>
          </w:p>
        </w:tc>
        <w:tc>
          <w:tcPr>
            <w:tcW w:w="2351" w:type="dxa"/>
            <w:shd w:val="clear" w:color="000000" w:fill="FFFFFF"/>
            <w:vAlign w:val="center"/>
          </w:tcPr>
          <w:p w:rsidR="00C43761" w:rsidRPr="001602DC" w:rsidRDefault="00C43761" w:rsidP="0075530D">
            <w:pPr>
              <w:spacing w:before="60" w:after="60"/>
              <w:rPr>
                <w:b/>
                <w:bCs/>
                <w:color w:val="FF0000"/>
                <w:szCs w:val="28"/>
              </w:rPr>
            </w:pPr>
            <w:r w:rsidRPr="001602DC">
              <w:rPr>
                <w:b/>
                <w:bCs/>
                <w:color w:val="FF0000"/>
                <w:szCs w:val="28"/>
              </w:rPr>
              <w:t>Đặc tính kỹ thuật của hàng hoá</w:t>
            </w:r>
          </w:p>
        </w:tc>
        <w:tc>
          <w:tcPr>
            <w:tcW w:w="3554" w:type="dxa"/>
            <w:shd w:val="clear" w:color="000000" w:fill="FFFFFF"/>
            <w:vAlign w:val="center"/>
          </w:tcPr>
          <w:p w:rsidR="00C43761" w:rsidRPr="001602DC" w:rsidRDefault="00C43761" w:rsidP="0075530D">
            <w:pPr>
              <w:spacing w:before="60" w:after="60"/>
              <w:rPr>
                <w:color w:val="FF0000"/>
                <w:szCs w:val="28"/>
              </w:rPr>
            </w:pPr>
            <w:r w:rsidRPr="001602DC">
              <w:rPr>
                <w:color w:val="FF0000"/>
                <w:szCs w:val="28"/>
              </w:rPr>
              <w:t>- Có đặc tính, thông số kỹ thuật đáp ứng yêu cầu tại chương V của E-HSMT.</w:t>
            </w:r>
          </w:p>
          <w:p w:rsidR="00C43761" w:rsidRPr="001602DC" w:rsidRDefault="00C43761" w:rsidP="0075530D">
            <w:pPr>
              <w:spacing w:before="60" w:after="60"/>
              <w:rPr>
                <w:color w:val="FF0000"/>
                <w:szCs w:val="28"/>
              </w:rPr>
            </w:pPr>
            <w:r w:rsidRPr="001602DC">
              <w:rPr>
                <w:color w:val="FF0000"/>
                <w:szCs w:val="28"/>
              </w:rPr>
              <w:t xml:space="preserve">- Có </w:t>
            </w:r>
            <w:bookmarkStart w:id="0" w:name="_Hlk195021947"/>
            <w:r w:rsidRPr="001602DC">
              <w:rPr>
                <w:color w:val="FF0000"/>
                <w:szCs w:val="28"/>
              </w:rPr>
              <w:t>Catalogue hoặc hình ảnh hàng hóa cung cấp thể hiện đầy đủ đặc tính của hàng hoá dự thầu (Trường hợp hàng nhập khẩu thì Catalogue phải được dịch sang tiếng Việt)</w:t>
            </w:r>
            <w:bookmarkEnd w:id="0"/>
          </w:p>
        </w:tc>
        <w:tc>
          <w:tcPr>
            <w:tcW w:w="3025" w:type="dxa"/>
            <w:shd w:val="clear" w:color="000000" w:fill="FFFFFF"/>
            <w:vAlign w:val="center"/>
          </w:tcPr>
          <w:p w:rsidR="00C43761" w:rsidRPr="001602DC" w:rsidRDefault="00C43761" w:rsidP="0075530D">
            <w:pPr>
              <w:spacing w:before="60" w:after="60"/>
              <w:rPr>
                <w:color w:val="FF0000"/>
                <w:szCs w:val="28"/>
              </w:rPr>
            </w:pPr>
            <w:r w:rsidRPr="001602DC">
              <w:rPr>
                <w:color w:val="FF0000"/>
                <w:szCs w:val="28"/>
              </w:rPr>
              <w:t>Không đáp ứng 1 trong các yêu cầu trên</w:t>
            </w:r>
          </w:p>
        </w:tc>
      </w:tr>
      <w:tr w:rsidR="00C43761" w:rsidRPr="001602DC" w:rsidTr="0075530D">
        <w:trPr>
          <w:trHeight w:val="20"/>
          <w:jc w:val="center"/>
        </w:trPr>
        <w:tc>
          <w:tcPr>
            <w:tcW w:w="591" w:type="dxa"/>
            <w:shd w:val="clear" w:color="000000" w:fill="FFFFFF"/>
            <w:vAlign w:val="center"/>
          </w:tcPr>
          <w:p w:rsidR="00C43761" w:rsidRPr="001602DC" w:rsidRDefault="00C43761" w:rsidP="0075530D">
            <w:pPr>
              <w:spacing w:before="60" w:after="60"/>
              <w:jc w:val="center"/>
              <w:rPr>
                <w:color w:val="FF0000"/>
                <w:szCs w:val="28"/>
              </w:rPr>
            </w:pPr>
            <w:r w:rsidRPr="001602DC">
              <w:rPr>
                <w:color w:val="FF0000"/>
                <w:szCs w:val="28"/>
              </w:rPr>
              <w:t>2</w:t>
            </w:r>
          </w:p>
        </w:tc>
        <w:tc>
          <w:tcPr>
            <w:tcW w:w="2351" w:type="dxa"/>
            <w:shd w:val="clear" w:color="000000" w:fill="FFFFFF"/>
            <w:vAlign w:val="center"/>
          </w:tcPr>
          <w:p w:rsidR="00C43761" w:rsidRPr="001602DC" w:rsidRDefault="00C43761" w:rsidP="0075530D">
            <w:pPr>
              <w:spacing w:before="60" w:after="60"/>
              <w:rPr>
                <w:b/>
                <w:bCs/>
                <w:color w:val="FF0000"/>
                <w:szCs w:val="28"/>
              </w:rPr>
            </w:pPr>
            <w:r w:rsidRPr="001602DC">
              <w:rPr>
                <w:b/>
                <w:bCs/>
                <w:color w:val="FF0000"/>
                <w:szCs w:val="28"/>
              </w:rPr>
              <w:t>Tiêu chuẩn, chất lượng hàng hóa</w:t>
            </w:r>
          </w:p>
        </w:tc>
        <w:tc>
          <w:tcPr>
            <w:tcW w:w="3554" w:type="dxa"/>
            <w:shd w:val="clear" w:color="000000" w:fill="FFFFFF"/>
            <w:vAlign w:val="center"/>
          </w:tcPr>
          <w:p w:rsidR="00C43761" w:rsidRPr="001602DC" w:rsidRDefault="00C43761" w:rsidP="0075530D">
            <w:pPr>
              <w:spacing w:before="60" w:after="60"/>
              <w:rPr>
                <w:color w:val="FF0000"/>
                <w:szCs w:val="28"/>
              </w:rPr>
            </w:pPr>
            <w:r w:rsidRPr="001602DC">
              <w:rPr>
                <w:color w:val="FF0000"/>
                <w:szCs w:val="28"/>
              </w:rPr>
              <w:t>- Nhà thầu phải có cam kết toàn bộ hàng hóa mới 100%, sản xuất năm 2024 trở về sau.</w:t>
            </w:r>
          </w:p>
          <w:p w:rsidR="00C43761" w:rsidRPr="001602DC" w:rsidRDefault="00C43761" w:rsidP="0075530D">
            <w:pPr>
              <w:spacing w:before="60" w:after="60"/>
              <w:rPr>
                <w:color w:val="FF0000"/>
                <w:szCs w:val="28"/>
              </w:rPr>
            </w:pPr>
            <w:r w:rsidRPr="001602DC">
              <w:rPr>
                <w:color w:val="FF0000"/>
                <w:szCs w:val="28"/>
              </w:rPr>
              <w:t xml:space="preserve">- Hàng hoá dự thầu phải có nhãn mác rõ ràng với đầy đủ thông tin theo quy định pháp luật hiện hành về nhãn mác. </w:t>
            </w:r>
          </w:p>
          <w:p w:rsidR="00C43761" w:rsidRPr="001602DC" w:rsidRDefault="00C43761" w:rsidP="0075530D">
            <w:pPr>
              <w:spacing w:before="60" w:after="60"/>
              <w:rPr>
                <w:color w:val="FF0000"/>
                <w:szCs w:val="28"/>
              </w:rPr>
            </w:pPr>
            <w:r w:rsidRPr="001602DC">
              <w:rPr>
                <w:color w:val="FF0000"/>
                <w:szCs w:val="28"/>
              </w:rPr>
              <w:t xml:space="preserve">- Cam kết hoặc cung cấp đầy đủ </w:t>
            </w:r>
            <w:r>
              <w:rPr>
                <w:color w:val="FF0000"/>
                <w:szCs w:val="28"/>
              </w:rPr>
              <w:t xml:space="preserve">tài liệu chứng nhận nguồn gốc, xuất xứ, </w:t>
            </w:r>
            <w:r w:rsidRPr="001602DC">
              <w:rPr>
                <w:color w:val="FF0000"/>
                <w:szCs w:val="28"/>
              </w:rPr>
              <w:t>chất lượng</w:t>
            </w:r>
            <w:r>
              <w:rPr>
                <w:color w:val="FF0000"/>
                <w:szCs w:val="28"/>
              </w:rPr>
              <w:t xml:space="preserve"> </w:t>
            </w:r>
            <w:r w:rsidRPr="001602DC">
              <w:rPr>
                <w:color w:val="FF0000"/>
                <w:szCs w:val="28"/>
              </w:rPr>
              <w:t>hàng hóa theo quy định hoặc các tài liệu khác có giá trị tương đương.</w:t>
            </w:r>
          </w:p>
        </w:tc>
        <w:tc>
          <w:tcPr>
            <w:tcW w:w="3025" w:type="dxa"/>
            <w:shd w:val="clear" w:color="000000" w:fill="FFFFFF"/>
            <w:vAlign w:val="center"/>
          </w:tcPr>
          <w:p w:rsidR="00C43761" w:rsidRPr="001602DC" w:rsidRDefault="00C43761" w:rsidP="0075530D">
            <w:pPr>
              <w:spacing w:before="60" w:after="60"/>
              <w:rPr>
                <w:color w:val="FF0000"/>
                <w:szCs w:val="28"/>
              </w:rPr>
            </w:pPr>
            <w:r w:rsidRPr="001602DC">
              <w:rPr>
                <w:color w:val="FF0000"/>
                <w:szCs w:val="28"/>
              </w:rPr>
              <w:t>Không đáp ứng 1 trong các yêu cầu trên</w:t>
            </w:r>
          </w:p>
        </w:tc>
      </w:tr>
      <w:tr w:rsidR="00C43761" w:rsidRPr="001602DC" w:rsidTr="0075530D">
        <w:trPr>
          <w:trHeight w:val="20"/>
          <w:jc w:val="center"/>
        </w:trPr>
        <w:tc>
          <w:tcPr>
            <w:tcW w:w="591" w:type="dxa"/>
            <w:shd w:val="clear" w:color="000000" w:fill="FFFFFF"/>
            <w:vAlign w:val="center"/>
          </w:tcPr>
          <w:p w:rsidR="00C43761" w:rsidRPr="001602DC" w:rsidRDefault="00C43761" w:rsidP="0075530D">
            <w:pPr>
              <w:spacing w:before="60" w:after="60"/>
              <w:jc w:val="center"/>
              <w:rPr>
                <w:color w:val="FF0000"/>
                <w:szCs w:val="28"/>
              </w:rPr>
            </w:pPr>
            <w:r w:rsidRPr="001602DC">
              <w:rPr>
                <w:color w:val="FF0000"/>
                <w:szCs w:val="28"/>
              </w:rPr>
              <w:t>3</w:t>
            </w:r>
          </w:p>
        </w:tc>
        <w:tc>
          <w:tcPr>
            <w:tcW w:w="2351" w:type="dxa"/>
            <w:shd w:val="clear" w:color="000000" w:fill="FFFFFF"/>
            <w:vAlign w:val="center"/>
          </w:tcPr>
          <w:p w:rsidR="00C43761" w:rsidRPr="001602DC" w:rsidRDefault="00C43761" w:rsidP="0075530D">
            <w:pPr>
              <w:spacing w:before="60" w:after="60"/>
              <w:rPr>
                <w:b/>
                <w:bCs/>
                <w:color w:val="FF0000"/>
                <w:szCs w:val="28"/>
              </w:rPr>
            </w:pPr>
            <w:r w:rsidRPr="001602DC">
              <w:rPr>
                <w:b/>
                <w:bCs/>
                <w:color w:val="FF0000"/>
                <w:szCs w:val="28"/>
              </w:rPr>
              <w:t>Tổ chức, cung cấp hàng hoá</w:t>
            </w:r>
          </w:p>
        </w:tc>
        <w:tc>
          <w:tcPr>
            <w:tcW w:w="3554" w:type="dxa"/>
            <w:shd w:val="clear" w:color="000000" w:fill="FFFFFF"/>
            <w:vAlign w:val="center"/>
          </w:tcPr>
          <w:p w:rsidR="00C43761" w:rsidRPr="001602DC" w:rsidRDefault="00C43761" w:rsidP="0075530D">
            <w:pPr>
              <w:spacing w:before="60" w:after="60"/>
              <w:rPr>
                <w:color w:val="FF0000"/>
                <w:szCs w:val="28"/>
              </w:rPr>
            </w:pPr>
            <w:bookmarkStart w:id="1" w:name="_Hlk195022401"/>
            <w:r w:rsidRPr="001602DC">
              <w:rPr>
                <w:color w:val="FF0000"/>
                <w:szCs w:val="28"/>
              </w:rPr>
              <w:t>- Cam kết bảo quản hàng hoá theo quy định của nhà sản xuất.</w:t>
            </w:r>
          </w:p>
          <w:bookmarkEnd w:id="1"/>
          <w:p w:rsidR="00C43761" w:rsidRPr="001602DC" w:rsidRDefault="00C43761" w:rsidP="0075530D">
            <w:pPr>
              <w:spacing w:before="60" w:after="60"/>
              <w:rPr>
                <w:color w:val="FF0000"/>
                <w:szCs w:val="28"/>
              </w:rPr>
            </w:pPr>
            <w:r w:rsidRPr="001602DC">
              <w:rPr>
                <w:color w:val="FF0000"/>
                <w:szCs w:val="28"/>
              </w:rPr>
              <w:t>- Cam kết đóng gói và vận chuyển hàng hoá đảm bảo an toàn theo tiêu chuẩn của nhà sản xuất.</w:t>
            </w:r>
          </w:p>
          <w:p w:rsidR="00C43761" w:rsidRPr="001602DC" w:rsidRDefault="00C43761" w:rsidP="0075530D">
            <w:pPr>
              <w:spacing w:before="60" w:after="60"/>
              <w:rPr>
                <w:color w:val="FF0000"/>
                <w:szCs w:val="28"/>
              </w:rPr>
            </w:pPr>
            <w:r w:rsidRPr="001602DC">
              <w:rPr>
                <w:color w:val="FF0000"/>
                <w:szCs w:val="28"/>
              </w:rPr>
              <w:lastRenderedPageBreak/>
              <w:t>- Có cam kết và bảng tiến độ cung cấp hàng hóa ≤ 30 ngày kể từ ngày hợp đồng có hiệu</w:t>
            </w:r>
          </w:p>
          <w:p w:rsidR="00C43761" w:rsidRPr="001602DC" w:rsidRDefault="00C43761" w:rsidP="0075530D">
            <w:pPr>
              <w:spacing w:before="60" w:after="60"/>
              <w:rPr>
                <w:color w:val="FF0000"/>
                <w:szCs w:val="28"/>
              </w:rPr>
            </w:pPr>
            <w:r w:rsidRPr="001602DC">
              <w:rPr>
                <w:color w:val="FF0000"/>
                <w:szCs w:val="28"/>
              </w:rPr>
              <w:t>lực.</w:t>
            </w:r>
          </w:p>
        </w:tc>
        <w:tc>
          <w:tcPr>
            <w:tcW w:w="3025" w:type="dxa"/>
            <w:shd w:val="clear" w:color="000000" w:fill="FFFFFF"/>
            <w:vAlign w:val="center"/>
          </w:tcPr>
          <w:p w:rsidR="00C43761" w:rsidRPr="001602DC" w:rsidRDefault="00C43761" w:rsidP="0075530D">
            <w:pPr>
              <w:spacing w:before="60" w:after="60"/>
              <w:rPr>
                <w:color w:val="FF0000"/>
                <w:szCs w:val="28"/>
              </w:rPr>
            </w:pPr>
            <w:r w:rsidRPr="001602DC">
              <w:rPr>
                <w:color w:val="FF0000"/>
                <w:szCs w:val="28"/>
              </w:rPr>
              <w:lastRenderedPageBreak/>
              <w:t>Không đáp ứng 1 trong các yêu cầu trên</w:t>
            </w:r>
          </w:p>
        </w:tc>
      </w:tr>
      <w:tr w:rsidR="00C43761" w:rsidRPr="001602DC" w:rsidTr="0075530D">
        <w:trPr>
          <w:trHeight w:val="20"/>
          <w:jc w:val="center"/>
        </w:trPr>
        <w:tc>
          <w:tcPr>
            <w:tcW w:w="591" w:type="dxa"/>
            <w:shd w:val="clear" w:color="000000" w:fill="FFFFFF"/>
            <w:vAlign w:val="center"/>
          </w:tcPr>
          <w:p w:rsidR="00C43761" w:rsidRPr="001602DC" w:rsidRDefault="00C43761" w:rsidP="0075530D">
            <w:pPr>
              <w:spacing w:before="60" w:after="60"/>
              <w:jc w:val="center"/>
              <w:rPr>
                <w:color w:val="FF0000"/>
                <w:szCs w:val="28"/>
              </w:rPr>
            </w:pPr>
            <w:r w:rsidRPr="001602DC">
              <w:rPr>
                <w:color w:val="FF0000"/>
                <w:szCs w:val="28"/>
              </w:rPr>
              <w:lastRenderedPageBreak/>
              <w:t>5</w:t>
            </w:r>
          </w:p>
        </w:tc>
        <w:tc>
          <w:tcPr>
            <w:tcW w:w="2351" w:type="dxa"/>
            <w:shd w:val="clear" w:color="000000" w:fill="FFFFFF"/>
            <w:vAlign w:val="center"/>
          </w:tcPr>
          <w:p w:rsidR="00C43761" w:rsidRPr="001602DC" w:rsidRDefault="00C43761" w:rsidP="0075530D">
            <w:pPr>
              <w:spacing w:before="60" w:after="60"/>
              <w:rPr>
                <w:b/>
                <w:bCs/>
                <w:color w:val="FF0000"/>
                <w:szCs w:val="28"/>
              </w:rPr>
            </w:pPr>
            <w:r w:rsidRPr="001602DC">
              <w:rPr>
                <w:b/>
                <w:bCs/>
                <w:color w:val="FF0000"/>
                <w:szCs w:val="28"/>
              </w:rPr>
              <w:t>Bảo hành</w:t>
            </w:r>
          </w:p>
        </w:tc>
        <w:tc>
          <w:tcPr>
            <w:tcW w:w="3554" w:type="dxa"/>
            <w:shd w:val="clear" w:color="000000" w:fill="FFFFFF"/>
            <w:vAlign w:val="center"/>
          </w:tcPr>
          <w:p w:rsidR="00C43761" w:rsidRPr="001602DC" w:rsidRDefault="00C43761" w:rsidP="0075530D">
            <w:pPr>
              <w:spacing w:before="60" w:after="60"/>
              <w:rPr>
                <w:color w:val="FF0000"/>
                <w:szCs w:val="28"/>
              </w:rPr>
            </w:pPr>
            <w:bookmarkStart w:id="2" w:name="_Hlk195022437"/>
            <w:r w:rsidRPr="001602DC">
              <w:rPr>
                <w:color w:val="FF0000"/>
                <w:szCs w:val="28"/>
              </w:rPr>
              <w:t>- Cam kết bảo hành hàng hoá theo đúng tiêu chuẩn của nhà sản xuất. Cam kết đủ khả năng bảo hành kịp thời hàng hóa trong vòng 24 giờ khi nhận được thông báo lỗi từ chủ đầu tư qua email hoặc điện thoại.</w:t>
            </w:r>
          </w:p>
          <w:p w:rsidR="00C43761" w:rsidRPr="001602DC" w:rsidRDefault="00C43761" w:rsidP="0075530D">
            <w:pPr>
              <w:spacing w:before="60" w:after="60"/>
              <w:rPr>
                <w:color w:val="FF0000"/>
                <w:szCs w:val="28"/>
              </w:rPr>
            </w:pPr>
            <w:r w:rsidRPr="001602DC">
              <w:rPr>
                <w:color w:val="FF0000"/>
                <w:szCs w:val="28"/>
              </w:rPr>
              <w:t>- Cam kết thu hồi và thay thế, đổi trả 1:1 khi hàng hoá bị lỗi, hỏng do nhà cung cấp hoặc khi có thông báo thu hồi của cơ quan có thẩm quyền.</w:t>
            </w:r>
            <w:bookmarkEnd w:id="2"/>
          </w:p>
        </w:tc>
        <w:tc>
          <w:tcPr>
            <w:tcW w:w="3025" w:type="dxa"/>
            <w:shd w:val="clear" w:color="000000" w:fill="FFFFFF"/>
            <w:vAlign w:val="center"/>
          </w:tcPr>
          <w:p w:rsidR="00C43761" w:rsidRPr="001602DC" w:rsidRDefault="00C43761" w:rsidP="0075530D">
            <w:pPr>
              <w:spacing w:before="60" w:after="60"/>
              <w:rPr>
                <w:color w:val="FF0000"/>
                <w:szCs w:val="28"/>
              </w:rPr>
            </w:pPr>
            <w:r w:rsidRPr="001602DC">
              <w:rPr>
                <w:color w:val="FF0000"/>
                <w:szCs w:val="28"/>
              </w:rPr>
              <w:t>Không đáp ứng 1 trong các yêu cầu trên</w:t>
            </w:r>
          </w:p>
        </w:tc>
      </w:tr>
      <w:tr w:rsidR="00C43761" w:rsidRPr="001602DC" w:rsidTr="0075530D">
        <w:trPr>
          <w:trHeight w:val="20"/>
          <w:jc w:val="center"/>
        </w:trPr>
        <w:tc>
          <w:tcPr>
            <w:tcW w:w="2942" w:type="dxa"/>
            <w:gridSpan w:val="2"/>
            <w:shd w:val="clear" w:color="000000" w:fill="FFFFFF"/>
            <w:vAlign w:val="center"/>
            <w:hideMark/>
          </w:tcPr>
          <w:p w:rsidR="00C43761" w:rsidRPr="001602DC" w:rsidRDefault="00C43761" w:rsidP="0075530D">
            <w:pPr>
              <w:spacing w:before="60" w:after="60"/>
              <w:rPr>
                <w:b/>
                <w:bCs/>
                <w:color w:val="FF0000"/>
                <w:szCs w:val="28"/>
              </w:rPr>
            </w:pPr>
            <w:r w:rsidRPr="001602DC">
              <w:rPr>
                <w:b/>
                <w:bCs/>
                <w:color w:val="FF0000"/>
                <w:szCs w:val="28"/>
                <w:lang w:val="it-IT"/>
              </w:rPr>
              <w:t>Kết luận</w:t>
            </w:r>
          </w:p>
        </w:tc>
        <w:tc>
          <w:tcPr>
            <w:tcW w:w="3554" w:type="dxa"/>
            <w:shd w:val="clear" w:color="000000" w:fill="FFFFFF"/>
            <w:vAlign w:val="center"/>
            <w:hideMark/>
          </w:tcPr>
          <w:p w:rsidR="00C43761" w:rsidRPr="001602DC" w:rsidRDefault="00C43761" w:rsidP="0075530D">
            <w:pPr>
              <w:spacing w:before="60" w:after="60"/>
              <w:jc w:val="center"/>
              <w:rPr>
                <w:b/>
                <w:bCs/>
                <w:color w:val="FF0000"/>
                <w:szCs w:val="28"/>
              </w:rPr>
            </w:pPr>
            <w:r w:rsidRPr="001602DC">
              <w:rPr>
                <w:b/>
                <w:bCs/>
                <w:color w:val="FF0000"/>
                <w:szCs w:val="28"/>
                <w:lang w:val="it-IT"/>
              </w:rPr>
              <w:t>“Đạt” tất cả các nội dung nêu trên được đánh giá là Đạt</w:t>
            </w:r>
          </w:p>
        </w:tc>
        <w:tc>
          <w:tcPr>
            <w:tcW w:w="3025" w:type="dxa"/>
            <w:shd w:val="clear" w:color="000000" w:fill="FFFFFF"/>
            <w:vAlign w:val="center"/>
            <w:hideMark/>
          </w:tcPr>
          <w:p w:rsidR="00C43761" w:rsidRPr="001602DC" w:rsidRDefault="00C43761" w:rsidP="0075530D">
            <w:pPr>
              <w:spacing w:before="60" w:after="60"/>
              <w:jc w:val="center"/>
              <w:rPr>
                <w:b/>
                <w:bCs/>
                <w:color w:val="FF0000"/>
                <w:szCs w:val="28"/>
              </w:rPr>
            </w:pPr>
            <w:r w:rsidRPr="001602DC">
              <w:rPr>
                <w:b/>
                <w:bCs/>
                <w:color w:val="FF0000"/>
                <w:szCs w:val="28"/>
                <w:lang w:val="it-IT"/>
              </w:rPr>
              <w:t>“Không đạt” bất cứ nội dung nào nêu trên được đánh giá là Không đạt</w:t>
            </w:r>
          </w:p>
        </w:tc>
      </w:tr>
    </w:tbl>
    <w:p w:rsidR="00C43761" w:rsidRDefault="00C43761" w:rsidP="00C43761">
      <w:pPr>
        <w:spacing w:before="80" w:after="80" w:line="264" w:lineRule="auto"/>
        <w:rPr>
          <w:szCs w:val="28"/>
          <w:lang w:val="es-ES"/>
        </w:rPr>
      </w:pPr>
      <w:r w:rsidRPr="00A369E2">
        <w:rPr>
          <w:szCs w:val="28"/>
          <w:lang w:val="es-ES"/>
        </w:rPr>
        <w:t xml:space="preserve"> </w:t>
      </w:r>
      <w:r>
        <w:rPr>
          <w:szCs w:val="28"/>
          <w:lang w:val="es-ES"/>
        </w:rPr>
        <w:tab/>
      </w:r>
    </w:p>
    <w:p w:rsidR="00C43761" w:rsidRPr="00180F17" w:rsidRDefault="00C43761" w:rsidP="00C43761">
      <w:pPr>
        <w:spacing w:before="80" w:after="80" w:line="264" w:lineRule="auto"/>
        <w:ind w:firstLine="709"/>
        <w:rPr>
          <w:szCs w:val="28"/>
          <w:lang w:val="es-ES"/>
        </w:rPr>
      </w:pPr>
      <w:r w:rsidRPr="003C778F">
        <w:rPr>
          <w:color w:val="FF0000"/>
          <w:szCs w:val="28"/>
          <w:lang w:val="es-ES"/>
        </w:rPr>
        <w:t>E-HSDT được đánh giá là đáp ứng yêu cầu về kỹ thuật khi có tất cả các tiêu chí tổng quát đều được đánh giá là đạt.</w:t>
      </w:r>
      <w:r w:rsidRPr="00180F17">
        <w:rPr>
          <w:szCs w:val="28"/>
          <w:lang w:val="es-ES"/>
        </w:rPr>
        <w:t xml:space="preserve"> </w:t>
      </w:r>
    </w:p>
    <w:p w:rsidR="00FD279C" w:rsidRDefault="00FD279C">
      <w:bookmarkStart w:id="3" w:name="_GoBack"/>
      <w:bookmarkEnd w:id="3"/>
    </w:p>
    <w:sectPr w:rsidR="00FD27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878" w:rsidRDefault="00297878" w:rsidP="00C43761">
      <w:pPr>
        <w:spacing w:after="0" w:line="240" w:lineRule="auto"/>
      </w:pPr>
      <w:r>
        <w:separator/>
      </w:r>
    </w:p>
  </w:endnote>
  <w:endnote w:type="continuationSeparator" w:id="0">
    <w:p w:rsidR="00297878" w:rsidRDefault="00297878" w:rsidP="00C4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878" w:rsidRDefault="00297878" w:rsidP="00C43761">
      <w:pPr>
        <w:spacing w:after="0" w:line="240" w:lineRule="auto"/>
      </w:pPr>
      <w:r>
        <w:separator/>
      </w:r>
    </w:p>
  </w:footnote>
  <w:footnote w:type="continuationSeparator" w:id="0">
    <w:p w:rsidR="00297878" w:rsidRDefault="00297878" w:rsidP="00C43761">
      <w:pPr>
        <w:spacing w:after="0" w:line="240" w:lineRule="auto"/>
      </w:pPr>
      <w:r>
        <w:continuationSeparator/>
      </w:r>
    </w:p>
  </w:footnote>
  <w:footnote w:id="1">
    <w:p w:rsidR="00C43761" w:rsidRPr="00E951D2" w:rsidRDefault="00C43761" w:rsidP="00C4376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61"/>
    <w:rsid w:val="00297878"/>
    <w:rsid w:val="00C43761"/>
    <w:rsid w:val="00FD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84A0-5C30-44D4-986E-87A96489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43761"/>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C43761"/>
    <w:rPr>
      <w:rFonts w:eastAsia="Times New Roman" w:cs="Times New Roman"/>
      <w:sz w:val="20"/>
      <w:szCs w:val="20"/>
    </w:rPr>
  </w:style>
  <w:style w:type="character" w:styleId="FootnoteReference">
    <w:name w:val="footnote reference"/>
    <w:aliases w:val="callout"/>
    <w:uiPriority w:val="99"/>
    <w:rsid w:val="00C43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2025-12-26T01:31:00Z</dcterms:created>
  <dcterms:modified xsi:type="dcterms:W3CDTF">2025-12-26T01:32:00Z</dcterms:modified>
</cp:coreProperties>
</file>