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116EE">
      <w:pPr>
        <w:jc w:val="center"/>
        <w:outlineLvl w:val="0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Phần 2. YÊU CẦU VỀ KỸ THUẬT</w:t>
      </w:r>
    </w:p>
    <w:p w14:paraId="339C3F2F">
      <w:pPr>
        <w:widowControl w:val="0"/>
        <w:spacing w:before="120" w:after="120" w:line="264" w:lineRule="auto"/>
        <w:jc w:val="center"/>
        <w:outlineLvl w:val="1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Chương V. YÊU CẦU VỀ KỸ THUẬT</w:t>
      </w:r>
    </w:p>
    <w:p w14:paraId="21C5DC24">
      <w:pPr>
        <w:pStyle w:val="5"/>
        <w:rPr>
          <w:rFonts w:hint="default" w:ascii="Times New Roman" w:hAnsi="Times New Roman" w:cs="Times New Roman"/>
          <w:sz w:val="20"/>
          <w:szCs w:val="32"/>
          <w:lang w:val="nl-NL"/>
        </w:rPr>
      </w:pPr>
    </w:p>
    <w:p w14:paraId="4DD951FA">
      <w:pPr>
        <w:pStyle w:val="7"/>
        <w:widowControl w:val="0"/>
        <w:spacing w:after="120" w:line="264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>Mục 1. Yêu cầu về kỹ thuật</w:t>
      </w:r>
    </w:p>
    <w:p w14:paraId="510A12DC">
      <w:pPr>
        <w:widowControl w:val="0"/>
        <w:spacing w:before="120" w:after="120" w:line="264" w:lineRule="auto"/>
        <w:ind w:firstLine="709"/>
        <w:rPr>
          <w:rFonts w:hint="default" w:ascii="Times New Roman" w:hAnsi="Times New Roman" w:cs="Times New Roman"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nl-NL"/>
        </w:rPr>
        <w:t xml:space="preserve">Yêu cầu về kỹ thuật bao gồm các nội dung cơ bản như sau: </w:t>
      </w:r>
    </w:p>
    <w:p w14:paraId="76E68E7E">
      <w:pPr>
        <w:widowControl w:val="0"/>
        <w:spacing w:before="120" w:after="120" w:line="264" w:lineRule="auto"/>
        <w:ind w:firstLine="709"/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  <w:t>1.1. Giới thiệu chung về dự án, gói thầu</w:t>
      </w:r>
    </w:p>
    <w:p w14:paraId="03651D29">
      <w:pPr>
        <w:rPr>
          <w:rFonts w:hint="default"/>
          <w:bCs/>
          <w:sz w:val="28"/>
          <w:szCs w:val="28"/>
          <w:highlight w:val="yellow"/>
          <w:lang w:val="en-US"/>
        </w:rPr>
      </w:pPr>
      <w:r>
        <w:rPr>
          <w:rFonts w:hint="default" w:ascii="Times New Roman" w:hAnsi="Times New Roman" w:eastAsia="SimSun" w:cs="Times New Roman"/>
          <w:i/>
          <w:iCs w:val="0"/>
          <w:color w:val="000000" w:themeColor="text1"/>
          <w:kern w:val="0"/>
          <w:sz w:val="28"/>
          <w:szCs w:val="28"/>
          <w:lang w:val="en-GB" w:eastAsia="zh-CN" w:bidi="a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Tên gói thầu: </w:t>
      </w:r>
      <w:r>
        <w:rPr>
          <w:sz w:val="28"/>
          <w:szCs w:val="28"/>
        </w:rPr>
        <w:t>lắp đặt hệ thống Camera khu vực nhà làm việc phòng ban Công ty.</w:t>
      </w:r>
    </w:p>
    <w:p w14:paraId="50822C3F">
      <w:pPr>
        <w:rPr>
          <w:rFonts w:hint="default" w:ascii="Times New Roman" w:hAnsi="Times New Roman" w:eastAsia="SimSun"/>
          <w:b w:val="0"/>
          <w:bCs w:val="0"/>
          <w:i w:val="0"/>
          <w:iCs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GB" w:eastAsia="zh-CN" w:bidi="a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Tên Dự toán:</w:t>
      </w: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GB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/>
          <w:i w:val="0"/>
          <w:iCs/>
          <w:color w:val="000000" w:themeColor="text1"/>
          <w:kern w:val="0"/>
          <w:sz w:val="28"/>
          <w:szCs w:val="28"/>
          <w:lang w:val="en-GB" w:eastAsia="zh-CN"/>
          <w14:textFill>
            <w14:solidFill>
              <w14:schemeClr w14:val="tx1"/>
            </w14:solidFill>
          </w14:textFill>
        </w:rPr>
        <w:t>HỆ THỐNG CAMERA KHU VỰC NHÀ LÀM VIỆC PHÒNG BAN CÔNG TY</w:t>
      </w:r>
    </w:p>
    <w:p w14:paraId="0E10BA4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GB" w:eastAsia="zh-CN" w:bidi="ar"/>
          <w14:textFill>
            <w14:solidFill>
              <w14:schemeClr w14:val="tx1"/>
            </w14:solidFill>
          </w14:textFill>
        </w:rPr>
        <w:t>Địa điểm</w:t>
      </w:r>
      <w:r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sz w:val="26"/>
          <w:szCs w:val="26"/>
        </w:rPr>
        <w:t>Khu vực Phòng Ban Công ty</w:t>
      </w:r>
      <w:r>
        <w:rPr>
          <w:rFonts w:hint="default"/>
          <w:sz w:val="26"/>
          <w:szCs w:val="26"/>
          <w:lang w:val="en-US"/>
        </w:rPr>
        <w:t xml:space="preserve"> Cao su Dầu Tiếng</w:t>
      </w:r>
    </w:p>
    <w:p w14:paraId="6D2D2F27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  <w:t>1.2. Yêu cầu về kỹ thuật</w:t>
      </w:r>
    </w:p>
    <w:p w14:paraId="0250D19D">
      <w:pPr>
        <w:widowControl w:val="0"/>
        <w:spacing w:before="120" w:after="120" w:line="264" w:lineRule="auto"/>
        <w:ind w:firstLine="709"/>
        <w:rPr>
          <w:rFonts w:hint="default" w:ascii="Times New Roman" w:hAnsi="Times New Roman" w:cs="Times New Roman"/>
          <w:i/>
          <w:spacing w:val="-2"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i/>
          <w:spacing w:val="-2"/>
          <w:sz w:val="28"/>
          <w:szCs w:val="28"/>
          <w:lang w:val="nl-NL"/>
        </w:rPr>
        <w:t xml:space="preserve">Yêu cầu về kỹ thuật bao gồm yêu cầu và tiêu chuẩn sau đây: </w:t>
      </w:r>
    </w:p>
    <w:tbl>
      <w:tblPr>
        <w:tblStyle w:val="3"/>
        <w:tblW w:w="10068" w:type="dxa"/>
        <w:tblInd w:w="-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117"/>
        <w:gridCol w:w="4566"/>
        <w:gridCol w:w="814"/>
        <w:gridCol w:w="901"/>
      </w:tblGrid>
      <w:tr w14:paraId="6C6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6AA64CAE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STT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1BC52DF6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Tên thiết bị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2B552D87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Thông số ký thuật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3AFA11D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Số lượng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671E441D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ĐVT</w:t>
            </w:r>
          </w:p>
        </w:tc>
      </w:tr>
      <w:tr w14:paraId="23F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50087D28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470A6054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Đầu ghi hình 16 kênh H.265/H.265+/H.264/H.264+</w:t>
            </w:r>
            <w:r>
              <w:rPr>
                <w:b/>
                <w:bCs/>
                <w:lang w:eastAsia="en-US"/>
              </w:rPr>
              <w:br w:type="textWrapping"/>
            </w:r>
            <w:r>
              <w:rPr>
                <w:rFonts w:ascii="Tahoma" w:hAnsi="Tahoma" w:cs="Tahoma"/>
                <w:b/>
                <w:bCs/>
                <w:lang w:eastAsia="en-US"/>
              </w:rPr>
              <w:t>﻿﻿</w:t>
            </w:r>
            <w:r>
              <w:rPr>
                <w:b/>
                <w:bCs/>
                <w:lang w:eastAsia="en-US"/>
              </w:rPr>
              <w:br w:type="textWrapping"/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7C0AADE6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Băng thông đầu vào/ra: 256Mbps/160Mps</w:t>
            </w:r>
          </w:p>
          <w:p w14:paraId="58BDD592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Lên tới 2 kênh 12 MP/3 kênh 8 MP/6 kênh 4 MP/12 kênh 1080p</w:t>
            </w:r>
          </w:p>
          <w:p w14:paraId="6E830B11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Độ phân giải ghi: 12MP</w:t>
            </w:r>
          </w:p>
          <w:p w14:paraId="7213F6F2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1 HDMI&amp;1 VGA</w:t>
            </w:r>
          </w:p>
          <w:p w14:paraId="5EBAEF5D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4 SATA*16TB</w:t>
            </w:r>
          </w:p>
          <w:p w14:paraId="42E49674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16/4</w:t>
            </w:r>
          </w:p>
          <w:p w14:paraId="393E8AE3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2 cổng RJ45 1000Mbps</w:t>
            </w:r>
          </w:p>
          <w:p w14:paraId="39CB3001">
            <w:pPr>
              <w:suppressAutoHyphens w:val="0"/>
              <w:jc w:val="left"/>
              <w:rPr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Chọn 1 trong 3 tùy chọn: Tất cả các kênh hỗ trợ phát hiện chuyển động 2.0. 1 kênh nhận diện khuôn mặt luồng video, hoặc 4 kênh nhận diện khuôn mặt luồng hình ảnh 2 kênh bảo vệ vành đai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935D00C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2947BE66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324D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1842AACF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379B280C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Camera Ip 2 MegaPixel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784E827D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Chuẩn bảo vệ</w:t>
            </w:r>
          </w:p>
          <w:p w14:paraId="4FA38B09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IP67</w:t>
            </w:r>
          </w:p>
          <w:p w14:paraId="3C27877C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Công nghệ hình ảnh</w:t>
            </w:r>
          </w:p>
          <w:p w14:paraId="217D8E10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True WDR 120dB</w:t>
            </w:r>
          </w:p>
          <w:p w14:paraId="428FC08C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Tích hợp</w:t>
            </w:r>
          </w:p>
          <w:p w14:paraId="73ACA80B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Micro</w:t>
            </w:r>
          </w:p>
          <w:p w14:paraId="394AA248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Phát hiện chuyển động</w:t>
            </w:r>
          </w:p>
          <w:p w14:paraId="76552CAC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Người &amp; Xe</w:t>
            </w:r>
          </w:p>
          <w:p w14:paraId="360A064E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Chuẩn nén video</w:t>
            </w:r>
          </w:p>
          <w:p w14:paraId="7D636F94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H.265 +</w:t>
            </w:r>
          </w:p>
          <w:p w14:paraId="212022CE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Ống kính</w:t>
            </w:r>
          </w:p>
          <w:p w14:paraId="1168C05A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4.0 mm</w:t>
            </w:r>
          </w:p>
          <w:p w14:paraId="3E7521FE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Hỗ trợ</w:t>
            </w:r>
          </w:p>
          <w:p w14:paraId="3B90C066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Nguồn POE</w:t>
            </w:r>
          </w:p>
          <w:p w14:paraId="248E0DB9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Quan sát ban đêm</w:t>
            </w:r>
          </w:p>
          <w:p w14:paraId="04683D1A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Đèn Hồng Ngoại - Đèn LED trợ sáng 50m</w:t>
            </w:r>
          </w:p>
          <w:p w14:paraId="29CEBA19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Quản Lý Từ Xa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1FB9DE42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1723CEF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6EB3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57EAE34B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46740F7D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Switch POE 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44A3C3AA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Switch quản lý thông minh, cổng 100Mbps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4 cổng PoE 10/100 Mbps, 1 cổng RJ45 10/100 Mbps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Chuẩn PoE IEEE 802.3af, IEEE 802.3at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Cổng PoE 1 tới 4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Cổng ưu tiên 1 tới 2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Tổng công suất PoE 60W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Hỗ trợ 802.1Q VLAN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Hỗ trợ PoE watchdog để phát hiện và khởi động lại các camera không phản hồi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Hỗ trợ chống loop STP/RSTP</w:t>
            </w:r>
            <w:r>
              <w:rPr>
                <w:lang w:eastAsia="en-US"/>
              </w:rPr>
              <w:br w:type="textWrapping"/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Hỗ trợ phát hiện cáp để xác định vị trí lỗi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 xml:space="preserve"> •   </w:t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Truyền khoảng cách xa lên tới 300m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3D845FC1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2D5E5FB9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09C9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14EA7CCA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5C941245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Ổ cứng chuyên dùng cho đầu ghi camera 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3A99E344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2TB 3.5" SATA3 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>Ổ cứng lắp trongl 2TB</w:t>
            </w:r>
            <w:bookmarkStart w:id="0" w:name="_GoBack"/>
            <w:bookmarkEnd w:id="0"/>
            <w:r>
              <w:rPr>
                <w:lang w:eastAsia="en-US"/>
              </w:rPr>
              <w:t xml:space="preserve"> 3.5" SATA3,  kích thước 3.5", chuẩn giao tiếp SATẠ 3 (6Gb/s max), Tốc độ truyền dữ liệu (max): 175MB/s, bộ đệm 64 MB Cache.  chuyên dụng cho hệ thống đầu ghi camera giám sát tại nhà, cơ quan, doanh nghiệp, ngân hàng, siêu thị và các nơi công cộng.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A639EA1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4049177C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05AE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60BBB158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740066C6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Ổ cắm điện dài 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3FE654FB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58A4C4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7EBE9D3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4E66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4D8C8535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60AADC07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Tủ Jack camera 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7405AE49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AF1BE98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60054154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4ADC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50C95292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64B2B7A2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Dây mạng Lan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7E360A33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8 lõi đồng nguyên chất đường kính 0.51 ÷ 0.01 mm.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 xml:space="preserve"> </w:t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Vỏ sợi dây HDPE, đường kính 0.9 ÷ 0.05mm.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 xml:space="preserve"> </w:t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Vỏ bọc PVC độ dày 0.5 ÷ 0.05 mm.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 xml:space="preserve"> </w:t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Đường kính dây: 5.5 ÷ 0.4mm.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 xml:space="preserve"> </w:t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Lõi chữ thập: Có.</w:t>
            </w:r>
            <w:r>
              <w:rPr>
                <w:lang w:eastAsia="en-US"/>
              </w:rPr>
              <w:br w:type="textWrapping"/>
            </w:r>
            <w:r>
              <w:rPr>
                <w:lang w:eastAsia="en-US"/>
              </w:rPr>
              <w:t xml:space="preserve"> </w:t>
            </w:r>
            <w:r>
              <w:rPr>
                <w:rFonts w:ascii="Tahoma" w:hAnsi="Tahoma" w:cs="Tahoma"/>
                <w:lang w:eastAsia="en-US"/>
              </w:rPr>
              <w:t>﻿﻿</w:t>
            </w:r>
            <w:r>
              <w:rPr>
                <w:lang w:eastAsia="en-US"/>
              </w:rPr>
              <w:t>Chiều dài cuộn: 305 ÷ 1.5m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2C88E028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351D12CD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Mét</w:t>
            </w:r>
          </w:p>
        </w:tc>
      </w:tr>
      <w:tr w14:paraId="6FFF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4FAD2835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0306EF98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Dây điện 0,75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756053A4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Tiêu chuẩn đi ngầm trong ống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449767EF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68137EC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Mét</w:t>
            </w:r>
          </w:p>
        </w:tc>
      </w:tr>
      <w:tr w14:paraId="3D63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0796159C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3D9AABC5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Ống D20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7DBF796E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Tiêu chuẩn chống cháy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7427CF63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192CF659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Mét</w:t>
            </w:r>
          </w:p>
        </w:tc>
      </w:tr>
      <w:tr w14:paraId="6C62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07738040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63034664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Tivi 43 inch Sony chuẩn HD 4K ( tương thích hệ thống camera)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2DE44184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9D9AF70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7599E598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Cái</w:t>
            </w:r>
          </w:p>
        </w:tc>
      </w:tr>
      <w:tr w14:paraId="2200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36B3C4C3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6355CF90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Vật tư lắp đặt ( Ổ cắm, dây rút, đầu cáp mạng,…)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03B3B8ED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696FADF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2EEFFCE7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Gói</w:t>
            </w:r>
          </w:p>
        </w:tc>
      </w:tr>
      <w:tr w14:paraId="616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128BE8A5">
            <w:pPr>
              <w:suppressAutoHyphens w:val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3117" w:type="dxa"/>
            <w:shd w:val="clear" w:color="auto" w:fill="auto"/>
            <w:noWrap w:val="0"/>
            <w:vAlign w:val="center"/>
          </w:tcPr>
          <w:p w14:paraId="6E835624">
            <w:pPr>
              <w:suppressAutoHyphens w:val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Nhân công lắp đặt</w:t>
            </w:r>
          </w:p>
        </w:tc>
        <w:tc>
          <w:tcPr>
            <w:tcW w:w="4566" w:type="dxa"/>
            <w:shd w:val="clear" w:color="auto" w:fill="auto"/>
            <w:noWrap w:val="0"/>
            <w:vAlign w:val="center"/>
          </w:tcPr>
          <w:p w14:paraId="4C487A1E">
            <w:pPr>
              <w:suppressAutoHyphens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814" w:type="dxa"/>
            <w:shd w:val="clear" w:color="auto" w:fill="auto"/>
            <w:noWrap w:val="0"/>
            <w:vAlign w:val="center"/>
          </w:tcPr>
          <w:p w14:paraId="0D7D0991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1" w:type="dxa"/>
            <w:shd w:val="clear" w:color="auto" w:fill="auto"/>
            <w:noWrap w:val="0"/>
            <w:vAlign w:val="center"/>
          </w:tcPr>
          <w:p w14:paraId="4C34BEC4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Gói</w:t>
            </w:r>
          </w:p>
        </w:tc>
      </w:tr>
    </w:tbl>
    <w:p w14:paraId="7A946190">
      <w:pPr>
        <w:spacing w:before="120" w:after="120" w:line="264" w:lineRule="auto"/>
        <w:ind w:firstLine="709"/>
        <w:jc w:val="left"/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</w:pPr>
    </w:p>
    <w:p w14:paraId="675D8431">
      <w:pPr>
        <w:spacing w:before="120" w:after="120" w:line="264" w:lineRule="auto"/>
        <w:ind w:firstLine="709"/>
        <w:jc w:val="left"/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nl-NL"/>
        </w:rPr>
        <w:t>1.3. Các yêu cầu khác</w:t>
      </w:r>
    </w:p>
    <w:p w14:paraId="085BB1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 w:val="0"/>
          <w:i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GB"/>
        </w:rPr>
        <w:t xml:space="preserve"> </w:t>
      </w:r>
    </w:p>
    <w:p w14:paraId="41A17F6C">
      <w:pPr>
        <w:tabs>
          <w:tab w:val="left" w:pos="4860"/>
          <w:tab w:val="left" w:pos="5220"/>
        </w:tabs>
        <w:ind w:left="720" w:leftChars="300"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GB"/>
        </w:rPr>
      </w:pPr>
    </w:p>
    <w:p w14:paraId="5999217C"/>
    <w:sectPr>
      <w:pgSz w:w="11906" w:h="16838"/>
      <w:pgMar w:top="1440" w:right="7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D509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C17557"/>
    <w:rsid w:val="1A741282"/>
    <w:rsid w:val="24371FF7"/>
    <w:rsid w:val="277A106B"/>
    <w:rsid w:val="42E253B9"/>
    <w:rsid w:val="44AD5096"/>
    <w:rsid w:val="51CA3AC9"/>
    <w:rsid w:val="56F12A9D"/>
    <w:rsid w:val="5CCD3389"/>
    <w:rsid w:val="71480673"/>
    <w:rsid w:val="7595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rPr>
      <w:sz w:val="20"/>
    </w:rPr>
  </w:style>
  <w:style w:type="paragraph" w:styleId="5">
    <w:name w:val="Subtitle"/>
    <w:basedOn w:val="1"/>
    <w:qFormat/>
    <w:uiPriority w:val="0"/>
    <w:pPr>
      <w:jc w:val="center"/>
    </w:pPr>
    <w:rPr>
      <w:b/>
      <w:sz w:val="44"/>
    </w:rPr>
  </w:style>
  <w:style w:type="table" w:styleId="6">
    <w:name w:val="Table Grid"/>
    <w:basedOn w:val="3"/>
    <w:qFormat/>
    <w:uiPriority w:val="39"/>
    <w:rPr>
      <w:rFonts w:asciiTheme="minorHAnsi" w:hAnsiTheme="minorHAnsi" w:eastAsiaTheme="minorEastAsia" w:cstheme="minorBidi"/>
      <w:sz w:val="22"/>
      <w:szCs w:val="22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ection VI. Header"/>
    <w:basedOn w:val="8"/>
    <w:qFormat/>
    <w:uiPriority w:val="0"/>
    <w:pPr>
      <w:spacing w:before="120" w:after="240"/>
    </w:pPr>
    <w:rPr>
      <w:lang w:val="en-US"/>
    </w:rPr>
  </w:style>
  <w:style w:type="paragraph" w:customStyle="1" w:styleId="8">
    <w:name w:val="Section V. Header"/>
    <w:basedOn w:val="1"/>
    <w:qFormat/>
    <w:uiPriority w:val="99"/>
    <w:pPr>
      <w:jc w:val="center"/>
    </w:pPr>
    <w:rPr>
      <w:b/>
      <w:sz w:val="3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61"/>
    <w:qFormat/>
    <w:uiPriority w:val="0"/>
    <w:rPr>
      <w:rFonts w:hint="default" w:ascii="Times New Roman" w:hAnsi="Times New Roman" w:cs="Times New Roman"/>
      <w:color w:val="00000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2024-08-22T02:36:00Z</dcterms:created>
  <dc:creator>tho vanpham</dc:creator>
  <cp:lastModifiedBy>Vuong Dinh Quoc Thai</cp:lastModifiedBy>
  <dcterms:modified xsi:type="dcterms:W3CDTF">2025-12-26T01:25:37Z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9B143101D8FB4A9990539E0BCAA6ECCD_11</vt:lpwstr>
  </property>
</Properties>
</file>