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A8A4" w14:textId="7D15AF30" w:rsidR="003B6340" w:rsidRPr="000820E0" w:rsidRDefault="000820E0" w:rsidP="000820E0">
      <w:pPr>
        <w:ind w:left="1" w:hanging="3"/>
        <w:jc w:val="center"/>
        <w:rPr>
          <w:rFonts w:ascii="Times New Roman" w:hAnsi="Times New Roman" w:cs="Times New Roman"/>
          <w:b/>
          <w:bCs/>
          <w:sz w:val="26"/>
          <w:szCs w:val="26"/>
        </w:rPr>
      </w:pPr>
      <w:r w:rsidRPr="000820E0">
        <w:rPr>
          <w:rFonts w:ascii="Times New Roman" w:hAnsi="Times New Roman" w:cs="Times New Roman"/>
          <w:b/>
          <w:bCs/>
          <w:sz w:val="26"/>
          <w:szCs w:val="26"/>
        </w:rPr>
        <w:t>THÔNG SỐ KĨ THUẬT HÀNG HÓA ĐẤU THẦU</w:t>
      </w:r>
    </w:p>
    <w:tbl>
      <w:tblPr>
        <w:tblW w:w="14029" w:type="dxa"/>
        <w:tblLook w:val="04A0" w:firstRow="1" w:lastRow="0" w:firstColumn="1" w:lastColumn="0" w:noHBand="0" w:noVBand="1"/>
      </w:tblPr>
      <w:tblGrid>
        <w:gridCol w:w="2405"/>
        <w:gridCol w:w="1134"/>
        <w:gridCol w:w="851"/>
        <w:gridCol w:w="1069"/>
        <w:gridCol w:w="8570"/>
      </w:tblGrid>
      <w:tr w:rsidR="000820E0" w:rsidRPr="00915CA8" w14:paraId="2A57001E" w14:textId="77777777" w:rsidTr="0082252B">
        <w:trPr>
          <w:trHeight w:val="1140"/>
        </w:trPr>
        <w:tc>
          <w:tcPr>
            <w:tcW w:w="2405" w:type="dxa"/>
            <w:tcBorders>
              <w:top w:val="single" w:sz="4" w:space="0" w:color="auto"/>
              <w:left w:val="single" w:sz="4" w:space="0" w:color="auto"/>
              <w:bottom w:val="single" w:sz="4" w:space="0" w:color="auto"/>
              <w:right w:val="single" w:sz="4" w:space="0" w:color="auto"/>
            </w:tcBorders>
            <w:vAlign w:val="center"/>
            <w:hideMark/>
          </w:tcPr>
          <w:p w14:paraId="53C38144"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Tên tiếng việt</w:t>
            </w:r>
          </w:p>
        </w:tc>
        <w:tc>
          <w:tcPr>
            <w:tcW w:w="1134" w:type="dxa"/>
            <w:tcBorders>
              <w:top w:val="single" w:sz="4" w:space="0" w:color="auto"/>
              <w:left w:val="nil"/>
              <w:bottom w:val="single" w:sz="4" w:space="0" w:color="auto"/>
              <w:right w:val="single" w:sz="4" w:space="0" w:color="auto"/>
            </w:tcBorders>
            <w:vAlign w:val="center"/>
            <w:hideMark/>
          </w:tcPr>
          <w:p w14:paraId="0E42FB07"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QUY CÁCH</w:t>
            </w:r>
          </w:p>
        </w:tc>
        <w:tc>
          <w:tcPr>
            <w:tcW w:w="851" w:type="dxa"/>
            <w:tcBorders>
              <w:top w:val="single" w:sz="4" w:space="0" w:color="auto"/>
              <w:left w:val="nil"/>
              <w:bottom w:val="single" w:sz="4" w:space="0" w:color="auto"/>
              <w:right w:val="single" w:sz="4" w:space="0" w:color="auto"/>
            </w:tcBorders>
            <w:vAlign w:val="center"/>
            <w:hideMark/>
          </w:tcPr>
          <w:p w14:paraId="3AA4EF8B"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ĐƠN VỊ TÍNH</w:t>
            </w:r>
          </w:p>
        </w:tc>
        <w:tc>
          <w:tcPr>
            <w:tcW w:w="1069" w:type="dxa"/>
            <w:tcBorders>
              <w:top w:val="single" w:sz="4" w:space="0" w:color="auto"/>
              <w:left w:val="nil"/>
              <w:bottom w:val="single" w:sz="4" w:space="0" w:color="auto"/>
              <w:right w:val="single" w:sz="4" w:space="0" w:color="auto"/>
            </w:tcBorders>
            <w:vAlign w:val="center"/>
            <w:hideMark/>
          </w:tcPr>
          <w:p w14:paraId="64868395"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KHỐI LƯỢNG</w:t>
            </w:r>
          </w:p>
        </w:tc>
        <w:tc>
          <w:tcPr>
            <w:tcW w:w="8570" w:type="dxa"/>
            <w:tcBorders>
              <w:top w:val="single" w:sz="4" w:space="0" w:color="auto"/>
              <w:left w:val="nil"/>
              <w:bottom w:val="single" w:sz="4" w:space="0" w:color="auto"/>
              <w:right w:val="single" w:sz="4" w:space="0" w:color="auto"/>
            </w:tcBorders>
            <w:vAlign w:val="center"/>
            <w:hideMark/>
          </w:tcPr>
          <w:p w14:paraId="1772CE09"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xml:space="preserve">Thống số </w:t>
            </w:r>
            <w:r>
              <w:rPr>
                <w:rFonts w:ascii="Times New Roman" w:eastAsia="Times New Roman" w:hAnsi="Times New Roman" w:cs="Times New Roman"/>
                <w:position w:val="0"/>
                <w:sz w:val="24"/>
                <w:szCs w:val="24"/>
                <w:lang w:val="en-GB"/>
              </w:rPr>
              <w:t>kĩ thuật</w:t>
            </w:r>
          </w:p>
        </w:tc>
      </w:tr>
      <w:tr w:rsidR="000820E0" w:rsidRPr="00915CA8" w14:paraId="5F8E7964" w14:textId="77777777" w:rsidTr="0082252B">
        <w:trPr>
          <w:trHeight w:val="3552"/>
        </w:trPr>
        <w:tc>
          <w:tcPr>
            <w:tcW w:w="2405" w:type="dxa"/>
            <w:tcBorders>
              <w:top w:val="nil"/>
              <w:left w:val="single" w:sz="4" w:space="0" w:color="auto"/>
              <w:bottom w:val="single" w:sz="4" w:space="0" w:color="auto"/>
              <w:right w:val="single" w:sz="4" w:space="0" w:color="auto"/>
            </w:tcBorders>
            <w:hideMark/>
          </w:tcPr>
          <w:p w14:paraId="66AC585C"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Môi trường nuôi cấy cơ bản MEM alpha, không chứa phenol red</w:t>
            </w:r>
          </w:p>
        </w:tc>
        <w:tc>
          <w:tcPr>
            <w:tcW w:w="1134" w:type="dxa"/>
            <w:tcBorders>
              <w:top w:val="nil"/>
              <w:left w:val="nil"/>
              <w:bottom w:val="single" w:sz="4" w:space="0" w:color="auto"/>
              <w:right w:val="single" w:sz="4" w:space="0" w:color="auto"/>
            </w:tcBorders>
            <w:vAlign w:val="center"/>
            <w:hideMark/>
          </w:tcPr>
          <w:p w14:paraId="7CC6BCFA"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500 ml/chai</w:t>
            </w:r>
          </w:p>
        </w:tc>
        <w:tc>
          <w:tcPr>
            <w:tcW w:w="851" w:type="dxa"/>
            <w:tcBorders>
              <w:top w:val="nil"/>
              <w:left w:val="nil"/>
              <w:bottom w:val="single" w:sz="4" w:space="0" w:color="auto"/>
              <w:right w:val="single" w:sz="4" w:space="0" w:color="auto"/>
            </w:tcBorders>
            <w:vAlign w:val="center"/>
            <w:hideMark/>
          </w:tcPr>
          <w:p w14:paraId="6F4CB0D0"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nil"/>
              <w:left w:val="nil"/>
              <w:bottom w:val="single" w:sz="4" w:space="0" w:color="auto"/>
              <w:right w:val="single" w:sz="4" w:space="0" w:color="auto"/>
            </w:tcBorders>
            <w:vAlign w:val="center"/>
            <w:hideMark/>
          </w:tcPr>
          <w:p w14:paraId="6C280E46"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100</w:t>
            </w:r>
          </w:p>
        </w:tc>
        <w:tc>
          <w:tcPr>
            <w:tcW w:w="8570" w:type="dxa"/>
            <w:tcBorders>
              <w:top w:val="nil"/>
              <w:left w:val="nil"/>
              <w:bottom w:val="single" w:sz="4" w:space="0" w:color="auto"/>
              <w:right w:val="single" w:sz="4" w:space="0" w:color="auto"/>
            </w:tcBorders>
            <w:vAlign w:val="center"/>
            <w:hideMark/>
          </w:tcPr>
          <w:p w14:paraId="57B8973A"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Môi trường MEM α được sử dụng cho nuôi cấy tế bào động vật có vú, chọn lọc tế bào DHFR âm tính đã được chuyển gen, phù hợp cho các loại tế bào tế bào động vật động vật có vú dạng bám dính và huyền phù (như Tế bào ung thư Vú - MCF7, nguyên bào sợi - Fibrobast, ung thư cổ tử cung - Hela....).</w:t>
            </w:r>
            <w:r w:rsidRPr="00616ABD">
              <w:rPr>
                <w:rFonts w:ascii="Times New Roman" w:eastAsia="Times New Roman" w:hAnsi="Times New Roman" w:cs="Times New Roman"/>
                <w:position w:val="0"/>
                <w:sz w:val="24"/>
                <w:szCs w:val="24"/>
                <w:lang w:val="en-GB"/>
              </w:rPr>
              <w:br/>
              <w:t>Thành phần môi trường có chứa: Low Glucose, L- glutamine, Sodium Pyruvate, Ribonucleosides, Deoxyribonucleosides</w:t>
            </w:r>
            <w:r w:rsidRPr="00616ABD">
              <w:rPr>
                <w:rFonts w:ascii="Times New Roman" w:eastAsia="Times New Roman" w:hAnsi="Times New Roman" w:cs="Times New Roman"/>
                <w:position w:val="0"/>
                <w:sz w:val="24"/>
                <w:szCs w:val="24"/>
                <w:lang w:val="en-GB"/>
              </w:rPr>
              <w:br/>
              <w:t>Thành phần môi trường không chứa: HEPES, Phenol Red</w:t>
            </w:r>
            <w:r w:rsidRPr="00616ABD">
              <w:rPr>
                <w:rFonts w:ascii="Times New Roman" w:eastAsia="Times New Roman" w:hAnsi="Times New Roman" w:cs="Times New Roman"/>
                <w:position w:val="0"/>
                <w:sz w:val="24"/>
                <w:szCs w:val="24"/>
                <w:lang w:val="en-GB"/>
              </w:rPr>
              <w:br/>
              <w:t>Môi trường được sản xuất  tuân thủ cGMP và ISO 13485 hoặc tiêu chuẩn tương đương.</w:t>
            </w:r>
            <w:r w:rsidRPr="00616ABD">
              <w:rPr>
                <w:rFonts w:ascii="Times New Roman" w:eastAsia="Times New Roman" w:hAnsi="Times New Roman" w:cs="Times New Roman"/>
                <w:position w:val="0"/>
                <w:sz w:val="24"/>
                <w:szCs w:val="24"/>
                <w:lang w:val="en-GB"/>
              </w:rPr>
              <w:br/>
              <w:t>Thành phần không có chứa nguồn gốc từ động vật</w:t>
            </w:r>
            <w:r w:rsidRPr="00616ABD">
              <w:rPr>
                <w:rFonts w:ascii="Times New Roman" w:eastAsia="Times New Roman" w:hAnsi="Times New Roman" w:cs="Times New Roman"/>
                <w:position w:val="0"/>
                <w:sz w:val="24"/>
                <w:szCs w:val="24"/>
                <w:lang w:val="en-GB"/>
              </w:rPr>
              <w:br/>
              <w:t>pH 7.0-7.4</w:t>
            </w:r>
            <w:r w:rsidRPr="00616ABD">
              <w:rPr>
                <w:rFonts w:ascii="Times New Roman" w:eastAsia="Times New Roman" w:hAnsi="Times New Roman" w:cs="Times New Roman"/>
                <w:position w:val="0"/>
                <w:sz w:val="24"/>
                <w:szCs w:val="24"/>
                <w:lang w:val="en-GB"/>
              </w:rPr>
              <w:br/>
              <w:t>Áp suất thẩm thấu  280 - 330 mOsm/kg</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55F4C45C" w14:textId="77777777" w:rsidTr="0082252B">
        <w:trPr>
          <w:trHeight w:val="3392"/>
        </w:trPr>
        <w:tc>
          <w:tcPr>
            <w:tcW w:w="2405" w:type="dxa"/>
            <w:tcBorders>
              <w:top w:val="nil"/>
              <w:left w:val="single" w:sz="4" w:space="0" w:color="auto"/>
              <w:bottom w:val="single" w:sz="4" w:space="0" w:color="auto"/>
              <w:right w:val="single" w:sz="4" w:space="0" w:color="auto"/>
            </w:tcBorders>
            <w:hideMark/>
          </w:tcPr>
          <w:p w14:paraId="77D3CBB0"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fr-FR"/>
              </w:rPr>
            </w:pPr>
            <w:r w:rsidRPr="00616ABD">
              <w:rPr>
                <w:rFonts w:ascii="Times New Roman" w:eastAsia="Times New Roman" w:hAnsi="Times New Roman" w:cs="Times New Roman"/>
                <w:position w:val="0"/>
                <w:sz w:val="24"/>
                <w:szCs w:val="24"/>
                <w:lang w:val="fr-FR"/>
              </w:rPr>
              <w:t>Protein tái tổ hợp IL-2 của người</w:t>
            </w:r>
          </w:p>
        </w:tc>
        <w:tc>
          <w:tcPr>
            <w:tcW w:w="1134" w:type="dxa"/>
            <w:tcBorders>
              <w:top w:val="nil"/>
              <w:left w:val="nil"/>
              <w:bottom w:val="single" w:sz="4" w:space="0" w:color="auto"/>
              <w:right w:val="single" w:sz="4" w:space="0" w:color="auto"/>
            </w:tcBorders>
            <w:hideMark/>
          </w:tcPr>
          <w:p w14:paraId="133A2164"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Lọ/ 1 mg</w:t>
            </w:r>
          </w:p>
        </w:tc>
        <w:tc>
          <w:tcPr>
            <w:tcW w:w="851" w:type="dxa"/>
            <w:tcBorders>
              <w:top w:val="nil"/>
              <w:left w:val="nil"/>
              <w:bottom w:val="single" w:sz="4" w:space="0" w:color="auto"/>
              <w:right w:val="single" w:sz="4" w:space="0" w:color="auto"/>
            </w:tcBorders>
            <w:hideMark/>
          </w:tcPr>
          <w:p w14:paraId="381FB5F2"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Lọ</w:t>
            </w:r>
          </w:p>
        </w:tc>
        <w:tc>
          <w:tcPr>
            <w:tcW w:w="1069" w:type="dxa"/>
            <w:tcBorders>
              <w:top w:val="nil"/>
              <w:left w:val="nil"/>
              <w:bottom w:val="single" w:sz="4" w:space="0" w:color="auto"/>
              <w:right w:val="single" w:sz="4" w:space="0" w:color="auto"/>
            </w:tcBorders>
            <w:hideMark/>
          </w:tcPr>
          <w:p w14:paraId="3393DCBB"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w:t>
            </w:r>
          </w:p>
        </w:tc>
        <w:tc>
          <w:tcPr>
            <w:tcW w:w="8570" w:type="dxa"/>
            <w:tcBorders>
              <w:top w:val="nil"/>
              <w:left w:val="nil"/>
              <w:bottom w:val="single" w:sz="4" w:space="0" w:color="auto"/>
              <w:right w:val="single" w:sz="4" w:space="0" w:color="auto"/>
            </w:tcBorders>
            <w:hideMark/>
          </w:tcPr>
          <w:p w14:paraId="4A87C747"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Protein interleukin-2 (IL-2) tái tổ hợp của người có trọng lượng phân tử 15.5 kDa</w:t>
            </w:r>
            <w:r w:rsidRPr="00616ABD">
              <w:rPr>
                <w:rFonts w:ascii="Times New Roman" w:eastAsia="Times New Roman" w:hAnsi="Times New Roman" w:cs="Times New Roman"/>
                <w:position w:val="0"/>
                <w:sz w:val="24"/>
                <w:szCs w:val="24"/>
                <w:lang w:val="en-GB"/>
              </w:rPr>
              <w:br/>
              <w:t>• Độ tinh sạch &gt;95% được xác định bằng phương pháp SDS-PAGE hoặc các phương pháp xác định chất lượng tương đương.</w:t>
            </w:r>
            <w:r w:rsidRPr="00616ABD">
              <w:rPr>
                <w:rFonts w:ascii="Times New Roman" w:eastAsia="Times New Roman" w:hAnsi="Times New Roman" w:cs="Times New Roman"/>
                <w:position w:val="0"/>
                <w:sz w:val="24"/>
                <w:szCs w:val="24"/>
                <w:lang w:val="en-GB"/>
              </w:rPr>
              <w:br/>
              <w:t>• Nồng độ endotoxin: &lt;0.1 ng/µg</w:t>
            </w:r>
            <w:r w:rsidRPr="00616ABD">
              <w:rPr>
                <w:rFonts w:ascii="Times New Roman" w:eastAsia="Times New Roman" w:hAnsi="Times New Roman" w:cs="Times New Roman"/>
                <w:position w:val="0"/>
                <w:sz w:val="24"/>
                <w:szCs w:val="24"/>
                <w:lang w:val="en-GB"/>
              </w:rPr>
              <w:br/>
              <w:t>• Dạng: đông khô</w:t>
            </w:r>
            <w:r w:rsidRPr="00616ABD">
              <w:rPr>
                <w:rFonts w:ascii="Times New Roman" w:eastAsia="Times New Roman" w:hAnsi="Times New Roman" w:cs="Times New Roman"/>
                <w:position w:val="0"/>
                <w:sz w:val="24"/>
                <w:szCs w:val="24"/>
                <w:lang w:val="en-GB"/>
              </w:rPr>
              <w:br/>
              <w:t>• Sử dụng cho các ứng dụng: Western Blot, hóa mô miễn dịch (IHC), ELISA, các xét nghiệm chức năng khác</w:t>
            </w:r>
            <w:r w:rsidRPr="00616ABD">
              <w:rPr>
                <w:rFonts w:ascii="Times New Roman" w:eastAsia="Times New Roman" w:hAnsi="Times New Roman" w:cs="Times New Roman"/>
                <w:position w:val="0"/>
                <w:sz w:val="24"/>
                <w:szCs w:val="24"/>
                <w:lang w:val="en-GB"/>
              </w:rPr>
              <w:br/>
              <w:t>• Hoạt độ ED50 &lt; 0.5 ng/mL; được xác định bằng sự tăng sinh phụ thuộc vào liều lượng của tế bào CTLL-2 ở chuột hoặc các phương pháp tương tự khác</w:t>
            </w:r>
            <w:r w:rsidRPr="00616ABD">
              <w:rPr>
                <w:rFonts w:ascii="Times New Roman" w:eastAsia="Times New Roman" w:hAnsi="Times New Roman" w:cs="Times New Roman"/>
                <w:position w:val="0"/>
                <w:sz w:val="24"/>
                <w:szCs w:val="24"/>
                <w:lang w:val="en-GB"/>
              </w:rPr>
              <w:br/>
              <w:t>• Thành phần không chứa chất bảo quản</w:t>
            </w:r>
            <w:r w:rsidRPr="00616ABD">
              <w:rPr>
                <w:rFonts w:ascii="Times New Roman" w:eastAsia="Times New Roman" w:hAnsi="Times New Roman" w:cs="Times New Roman"/>
                <w:position w:val="0"/>
                <w:sz w:val="24"/>
                <w:szCs w:val="24"/>
                <w:lang w:val="en-GB"/>
              </w:rPr>
              <w:br/>
              <w:t>• Đóng gói 1mg</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604F3700" w14:textId="77777777" w:rsidTr="0082252B">
        <w:trPr>
          <w:trHeight w:val="3048"/>
        </w:trPr>
        <w:tc>
          <w:tcPr>
            <w:tcW w:w="2405" w:type="dxa"/>
            <w:tcBorders>
              <w:top w:val="nil"/>
              <w:left w:val="single" w:sz="4" w:space="0" w:color="auto"/>
              <w:bottom w:val="single" w:sz="4" w:space="0" w:color="auto"/>
              <w:right w:val="single" w:sz="4" w:space="0" w:color="auto"/>
            </w:tcBorders>
            <w:hideMark/>
          </w:tcPr>
          <w:p w14:paraId="2A1DE7E6"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Chất bổ trợ thay thế Glutamine dùng cho sản xuất trong liệu pháp tế bào</w:t>
            </w:r>
          </w:p>
        </w:tc>
        <w:tc>
          <w:tcPr>
            <w:tcW w:w="1134" w:type="dxa"/>
            <w:tcBorders>
              <w:top w:val="nil"/>
              <w:left w:val="nil"/>
              <w:bottom w:val="single" w:sz="4" w:space="0" w:color="auto"/>
              <w:right w:val="single" w:sz="4" w:space="0" w:color="auto"/>
            </w:tcBorders>
            <w:hideMark/>
          </w:tcPr>
          <w:p w14:paraId="58561A4D"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100 ml/chai</w:t>
            </w:r>
          </w:p>
        </w:tc>
        <w:tc>
          <w:tcPr>
            <w:tcW w:w="851" w:type="dxa"/>
            <w:tcBorders>
              <w:top w:val="nil"/>
              <w:left w:val="nil"/>
              <w:bottom w:val="single" w:sz="4" w:space="0" w:color="auto"/>
              <w:right w:val="single" w:sz="4" w:space="0" w:color="auto"/>
            </w:tcBorders>
            <w:hideMark/>
          </w:tcPr>
          <w:p w14:paraId="7A3BDB34"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nil"/>
              <w:left w:val="nil"/>
              <w:bottom w:val="single" w:sz="4" w:space="0" w:color="auto"/>
              <w:right w:val="single" w:sz="4" w:space="0" w:color="auto"/>
            </w:tcBorders>
            <w:hideMark/>
          </w:tcPr>
          <w:p w14:paraId="655554EC"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100</w:t>
            </w:r>
          </w:p>
        </w:tc>
        <w:tc>
          <w:tcPr>
            <w:tcW w:w="8570" w:type="dxa"/>
            <w:tcBorders>
              <w:top w:val="nil"/>
              <w:left w:val="nil"/>
              <w:bottom w:val="single" w:sz="4" w:space="0" w:color="auto"/>
              <w:right w:val="single" w:sz="4" w:space="0" w:color="auto"/>
            </w:tcBorders>
            <w:hideMark/>
          </w:tcPr>
          <w:p w14:paraId="15A7C578"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Dung dịch chứa L-alanyl-L-glutamine, không có nguồn gốc động vật, không chứa yếu tố xeno</w:t>
            </w:r>
            <w:r w:rsidRPr="00616ABD">
              <w:rPr>
                <w:rFonts w:ascii="Times New Roman" w:eastAsia="Times New Roman" w:hAnsi="Times New Roman" w:cs="Times New Roman"/>
                <w:position w:val="0"/>
                <w:sz w:val="24"/>
                <w:szCs w:val="24"/>
                <w:lang w:val="en-GB"/>
              </w:rPr>
              <w:br/>
              <w:t>• Nồng độ: 100X</w:t>
            </w:r>
            <w:r w:rsidRPr="00616ABD">
              <w:rPr>
                <w:rFonts w:ascii="Times New Roman" w:eastAsia="Times New Roman" w:hAnsi="Times New Roman" w:cs="Times New Roman"/>
                <w:position w:val="0"/>
                <w:sz w:val="24"/>
                <w:szCs w:val="24"/>
                <w:lang w:val="en-GB"/>
              </w:rPr>
              <w:br/>
              <w:t>• Sản phẩm được sản xuất theo tiêu chuẩn cGMP hoặc ISO 13485 hoặc các tiêu chuẩn chất lượng tương đương</w:t>
            </w:r>
            <w:r w:rsidRPr="00616ABD">
              <w:rPr>
                <w:rFonts w:ascii="Times New Roman" w:eastAsia="Times New Roman" w:hAnsi="Times New Roman" w:cs="Times New Roman"/>
                <w:position w:val="0"/>
                <w:sz w:val="24"/>
                <w:szCs w:val="24"/>
                <w:lang w:val="en-GB"/>
              </w:rPr>
              <w:br/>
              <w:t>• Ổn định ở điều kiện nhiệt độ cao, tan tốt trong nước</w:t>
            </w:r>
            <w:r w:rsidRPr="00616ABD">
              <w:rPr>
                <w:rFonts w:ascii="Times New Roman" w:eastAsia="Times New Roman" w:hAnsi="Times New Roman" w:cs="Times New Roman"/>
                <w:position w:val="0"/>
                <w:sz w:val="24"/>
                <w:szCs w:val="24"/>
                <w:lang w:val="en-GB"/>
              </w:rPr>
              <w:br/>
              <w:t>• pH: 5.0-6.0</w:t>
            </w:r>
            <w:r w:rsidRPr="00616ABD">
              <w:rPr>
                <w:rFonts w:ascii="Times New Roman" w:eastAsia="Times New Roman" w:hAnsi="Times New Roman" w:cs="Times New Roman"/>
                <w:position w:val="0"/>
                <w:sz w:val="24"/>
                <w:szCs w:val="24"/>
                <w:lang w:val="en-GB"/>
              </w:rPr>
              <w:br/>
              <w:t>• Áp suất thẩm thấu: 440 - 500 mOsm/kg</w:t>
            </w:r>
            <w:r w:rsidRPr="00616ABD">
              <w:rPr>
                <w:rFonts w:ascii="Times New Roman" w:eastAsia="Times New Roman" w:hAnsi="Times New Roman" w:cs="Times New Roman"/>
                <w:position w:val="0"/>
                <w:sz w:val="24"/>
                <w:szCs w:val="24"/>
                <w:lang w:val="en-GB"/>
              </w:rPr>
              <w:br/>
              <w:t>• Nồng độ endotoxin ≤ 1 EU/mL</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5A708134" w14:textId="77777777" w:rsidTr="0082252B">
        <w:trPr>
          <w:trHeight w:val="3756"/>
        </w:trPr>
        <w:tc>
          <w:tcPr>
            <w:tcW w:w="2405" w:type="dxa"/>
            <w:tcBorders>
              <w:top w:val="nil"/>
              <w:left w:val="single" w:sz="4" w:space="0" w:color="auto"/>
              <w:bottom w:val="single" w:sz="4" w:space="0" w:color="auto"/>
              <w:right w:val="single" w:sz="4" w:space="0" w:color="auto"/>
            </w:tcBorders>
            <w:hideMark/>
          </w:tcPr>
          <w:p w14:paraId="59FDF3DC"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Môi trường nuôi cấy cơ bản DMEM/F12</w:t>
            </w:r>
          </w:p>
        </w:tc>
        <w:tc>
          <w:tcPr>
            <w:tcW w:w="1134" w:type="dxa"/>
            <w:tcBorders>
              <w:top w:val="nil"/>
              <w:left w:val="nil"/>
              <w:bottom w:val="single" w:sz="4" w:space="0" w:color="auto"/>
              <w:right w:val="single" w:sz="4" w:space="0" w:color="auto"/>
            </w:tcBorders>
            <w:hideMark/>
          </w:tcPr>
          <w:p w14:paraId="7E81183C"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500 ml</w:t>
            </w:r>
          </w:p>
        </w:tc>
        <w:tc>
          <w:tcPr>
            <w:tcW w:w="851" w:type="dxa"/>
            <w:tcBorders>
              <w:top w:val="nil"/>
              <w:left w:val="nil"/>
              <w:bottom w:val="single" w:sz="4" w:space="0" w:color="auto"/>
              <w:right w:val="single" w:sz="4" w:space="0" w:color="auto"/>
            </w:tcBorders>
            <w:hideMark/>
          </w:tcPr>
          <w:p w14:paraId="398BA36B"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nil"/>
              <w:left w:val="nil"/>
              <w:bottom w:val="single" w:sz="4" w:space="0" w:color="auto"/>
              <w:right w:val="single" w:sz="4" w:space="0" w:color="auto"/>
            </w:tcBorders>
            <w:hideMark/>
          </w:tcPr>
          <w:p w14:paraId="3D090FD2"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1000</w:t>
            </w:r>
          </w:p>
        </w:tc>
        <w:tc>
          <w:tcPr>
            <w:tcW w:w="8570" w:type="dxa"/>
            <w:tcBorders>
              <w:top w:val="nil"/>
              <w:left w:val="nil"/>
              <w:bottom w:val="single" w:sz="4" w:space="0" w:color="auto"/>
              <w:right w:val="single" w:sz="4" w:space="0" w:color="auto"/>
            </w:tcBorders>
            <w:hideMark/>
          </w:tcPr>
          <w:p w14:paraId="1FB0BDDD"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Môi trường nuôi cấy tế bào động vật cơ bản DMEM/F12 phù hợp cho nuôi cấy tế bào động vật với nồng độ huyết thanh bò FBS (Fetal Bovine Serum) thấp (1-5%)</w:t>
            </w:r>
            <w:r w:rsidRPr="00616ABD">
              <w:rPr>
                <w:rFonts w:ascii="Times New Roman" w:eastAsia="Times New Roman" w:hAnsi="Times New Roman" w:cs="Times New Roman"/>
                <w:position w:val="0"/>
                <w:sz w:val="24"/>
                <w:szCs w:val="24"/>
                <w:lang w:val="en-GB"/>
              </w:rPr>
              <w:br/>
              <w:t>• Có chứa các thành phần như: ethanolamine, glutathione, ascorbic acid, insulin, transferrin, lipid-rich bovine serum albumin for cell culture, and the trace elements sodium selenite, ammonium metavanadate, cupric sulfate, và manganous chloride High Glucose, Non-Essential Amino Acids (NEAA), Sodium pyruvate,  Phenol Red, human transferrin, insullin recombinant</w:t>
            </w:r>
            <w:r w:rsidRPr="00616ABD">
              <w:rPr>
                <w:rFonts w:ascii="Times New Roman" w:eastAsia="Times New Roman" w:hAnsi="Times New Roman" w:cs="Times New Roman"/>
                <w:position w:val="0"/>
                <w:sz w:val="24"/>
                <w:szCs w:val="24"/>
                <w:lang w:val="en-GB"/>
              </w:rPr>
              <w:br/>
              <w:t>• Thành phần môi trường không chứa: L-glutamine, HEPES</w:t>
            </w:r>
            <w:r w:rsidRPr="00616ABD">
              <w:rPr>
                <w:rFonts w:ascii="Times New Roman" w:eastAsia="Times New Roman" w:hAnsi="Times New Roman" w:cs="Times New Roman"/>
                <w:position w:val="0"/>
                <w:sz w:val="24"/>
                <w:szCs w:val="24"/>
                <w:lang w:val="en-GB"/>
              </w:rPr>
              <w:br/>
              <w:t>• Sản phẩm được sản xuất theo tiêu chuẩn cGMP hoặc ISO 13485 hoặc các tiêu chuẩn chất lượng tương đương</w:t>
            </w:r>
            <w:r w:rsidRPr="00616ABD">
              <w:rPr>
                <w:rFonts w:ascii="Times New Roman" w:eastAsia="Times New Roman" w:hAnsi="Times New Roman" w:cs="Times New Roman"/>
                <w:position w:val="0"/>
                <w:sz w:val="24"/>
                <w:szCs w:val="24"/>
                <w:lang w:val="en-GB"/>
              </w:rPr>
              <w:br/>
              <w:t>• pH 7.0-7.4</w:t>
            </w:r>
            <w:r w:rsidRPr="00616ABD">
              <w:rPr>
                <w:rFonts w:ascii="Times New Roman" w:eastAsia="Times New Roman" w:hAnsi="Times New Roman" w:cs="Times New Roman"/>
                <w:position w:val="0"/>
                <w:sz w:val="24"/>
                <w:szCs w:val="24"/>
                <w:lang w:val="en-GB"/>
              </w:rPr>
              <w:br/>
              <w:t>• Áp suất thẩm thấu 290-330 mOsm/kg</w:t>
            </w:r>
            <w:r w:rsidRPr="00616ABD">
              <w:rPr>
                <w:rFonts w:ascii="Times New Roman" w:eastAsia="Times New Roman" w:hAnsi="Times New Roman" w:cs="Times New Roman"/>
                <w:position w:val="0"/>
                <w:sz w:val="24"/>
                <w:szCs w:val="24"/>
                <w:lang w:val="en-GB"/>
              </w:rPr>
              <w:br/>
              <w:t>• Nồng độ endotoxin ≤ 1 EU/mL</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68D50292" w14:textId="77777777" w:rsidTr="0082252B">
        <w:trPr>
          <w:trHeight w:val="6000"/>
        </w:trPr>
        <w:tc>
          <w:tcPr>
            <w:tcW w:w="2405" w:type="dxa"/>
            <w:tcBorders>
              <w:top w:val="nil"/>
              <w:left w:val="single" w:sz="4" w:space="0" w:color="auto"/>
              <w:bottom w:val="single" w:sz="4" w:space="0" w:color="auto"/>
              <w:right w:val="single" w:sz="4" w:space="0" w:color="auto"/>
            </w:tcBorders>
            <w:hideMark/>
          </w:tcPr>
          <w:p w14:paraId="29199164"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Môi trường tăng sinh tế bào diệt tự nhiên người human natural killer (hNK)</w:t>
            </w:r>
          </w:p>
        </w:tc>
        <w:tc>
          <w:tcPr>
            <w:tcW w:w="1134" w:type="dxa"/>
            <w:tcBorders>
              <w:top w:val="nil"/>
              <w:left w:val="nil"/>
              <w:bottom w:val="single" w:sz="4" w:space="0" w:color="auto"/>
              <w:right w:val="single" w:sz="4" w:space="0" w:color="auto"/>
            </w:tcBorders>
            <w:hideMark/>
          </w:tcPr>
          <w:p w14:paraId="54EB7993"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500 ml/chai</w:t>
            </w:r>
          </w:p>
        </w:tc>
        <w:tc>
          <w:tcPr>
            <w:tcW w:w="851" w:type="dxa"/>
            <w:tcBorders>
              <w:top w:val="nil"/>
              <w:left w:val="nil"/>
              <w:bottom w:val="single" w:sz="4" w:space="0" w:color="auto"/>
              <w:right w:val="single" w:sz="4" w:space="0" w:color="auto"/>
            </w:tcBorders>
            <w:hideMark/>
          </w:tcPr>
          <w:p w14:paraId="68A3EAD8"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nil"/>
              <w:left w:val="nil"/>
              <w:bottom w:val="single" w:sz="4" w:space="0" w:color="auto"/>
              <w:right w:val="single" w:sz="4" w:space="0" w:color="auto"/>
            </w:tcBorders>
            <w:hideMark/>
          </w:tcPr>
          <w:p w14:paraId="737556A1"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30</w:t>
            </w:r>
          </w:p>
        </w:tc>
        <w:tc>
          <w:tcPr>
            <w:tcW w:w="8570" w:type="dxa"/>
            <w:tcBorders>
              <w:top w:val="nil"/>
              <w:left w:val="nil"/>
              <w:bottom w:val="single" w:sz="4" w:space="0" w:color="auto"/>
              <w:right w:val="single" w:sz="4" w:space="0" w:color="auto"/>
            </w:tcBorders>
            <w:hideMark/>
          </w:tcPr>
          <w:p w14:paraId="7789497C"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Môi trường phù hợp cho nuôi cấy tăng sinh tế bào giết tự nhiên người- human natural killer (hNK).</w:t>
            </w:r>
            <w:r w:rsidRPr="00616ABD">
              <w:rPr>
                <w:rFonts w:ascii="Times New Roman" w:eastAsia="Times New Roman" w:hAnsi="Times New Roman" w:cs="Times New Roman"/>
                <w:position w:val="0"/>
                <w:sz w:val="24"/>
                <w:szCs w:val="24"/>
                <w:lang w:val="en-GB"/>
              </w:rPr>
              <w:br/>
              <w:t>• Tế bào NK được nuôi trong môi trường đảm bảo duy trì hơn 90% sự biểu hiện marker CD56+/CD16+/CD3-</w:t>
            </w:r>
            <w:r w:rsidRPr="00616ABD">
              <w:rPr>
                <w:rFonts w:ascii="Times New Roman" w:eastAsia="Times New Roman" w:hAnsi="Times New Roman" w:cs="Times New Roman"/>
                <w:position w:val="0"/>
                <w:sz w:val="24"/>
                <w:szCs w:val="24"/>
                <w:lang w:val="en-GB"/>
              </w:rPr>
              <w:br/>
              <w:t>• Sản phẩm được sản xuất theo tiêu chuẩn cGMP và ISO 13485 hoặc các tiêu chuẩn chất lượng tương đương</w:t>
            </w:r>
            <w:r w:rsidRPr="00616ABD">
              <w:rPr>
                <w:rFonts w:ascii="Times New Roman" w:eastAsia="Times New Roman" w:hAnsi="Times New Roman" w:cs="Times New Roman"/>
                <w:position w:val="0"/>
                <w:sz w:val="24"/>
                <w:szCs w:val="24"/>
                <w:lang w:val="en-GB"/>
              </w:rPr>
              <w:br/>
              <w:t>• Môi trường không chứa huyết thanh</w:t>
            </w:r>
            <w:r w:rsidRPr="00616ABD">
              <w:rPr>
                <w:rFonts w:ascii="Times New Roman" w:eastAsia="Times New Roman" w:hAnsi="Times New Roman" w:cs="Times New Roman"/>
                <w:position w:val="0"/>
                <w:sz w:val="24"/>
                <w:szCs w:val="24"/>
                <w:lang w:val="en-GB"/>
              </w:rPr>
              <w:br/>
              <w:t>• Quy cách đóng gói: bộ sản phẩm hoặc sản phẩm đơn lẻ hoàn chỉnh có thể tích tối thiểu 500mL, không cần bổ sung thành phần khác khi sử dụng.</w:t>
            </w:r>
            <w:r w:rsidRPr="00616ABD">
              <w:rPr>
                <w:rFonts w:ascii="Times New Roman" w:eastAsia="Times New Roman" w:hAnsi="Times New Roman" w:cs="Times New Roman"/>
                <w:position w:val="0"/>
                <w:sz w:val="24"/>
                <w:szCs w:val="24"/>
                <w:lang w:val="en-GB"/>
              </w:rPr>
              <w:br/>
              <w:t>• Môi trường phù hợp nuôi cấy không sử dụng feeder cell</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0BFFAA99" w14:textId="77777777" w:rsidTr="0082252B">
        <w:trPr>
          <w:trHeight w:val="5748"/>
        </w:trPr>
        <w:tc>
          <w:tcPr>
            <w:tcW w:w="2405" w:type="dxa"/>
            <w:tcBorders>
              <w:top w:val="nil"/>
              <w:left w:val="single" w:sz="4" w:space="0" w:color="auto"/>
              <w:bottom w:val="single" w:sz="4" w:space="0" w:color="auto"/>
              <w:right w:val="single" w:sz="4" w:space="0" w:color="auto"/>
            </w:tcBorders>
            <w:hideMark/>
          </w:tcPr>
          <w:p w14:paraId="4ED083DD"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Kháng thể đơn dòng CD3, thuộc nhóm chức năng</w:t>
            </w:r>
          </w:p>
        </w:tc>
        <w:tc>
          <w:tcPr>
            <w:tcW w:w="1134" w:type="dxa"/>
            <w:tcBorders>
              <w:top w:val="nil"/>
              <w:left w:val="nil"/>
              <w:bottom w:val="single" w:sz="4" w:space="0" w:color="auto"/>
              <w:right w:val="single" w:sz="4" w:space="0" w:color="auto"/>
            </w:tcBorders>
            <w:hideMark/>
          </w:tcPr>
          <w:p w14:paraId="305F938C"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Lọ 500 µg</w:t>
            </w:r>
          </w:p>
        </w:tc>
        <w:tc>
          <w:tcPr>
            <w:tcW w:w="851" w:type="dxa"/>
            <w:tcBorders>
              <w:top w:val="nil"/>
              <w:left w:val="nil"/>
              <w:bottom w:val="single" w:sz="4" w:space="0" w:color="auto"/>
              <w:right w:val="single" w:sz="4" w:space="0" w:color="auto"/>
            </w:tcBorders>
            <w:hideMark/>
          </w:tcPr>
          <w:p w14:paraId="5DAC28AA"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Lọ</w:t>
            </w:r>
          </w:p>
        </w:tc>
        <w:tc>
          <w:tcPr>
            <w:tcW w:w="1069" w:type="dxa"/>
            <w:tcBorders>
              <w:top w:val="nil"/>
              <w:left w:val="nil"/>
              <w:bottom w:val="single" w:sz="4" w:space="0" w:color="auto"/>
              <w:right w:val="single" w:sz="4" w:space="0" w:color="auto"/>
            </w:tcBorders>
            <w:hideMark/>
          </w:tcPr>
          <w:p w14:paraId="30A0F48D"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4</w:t>
            </w:r>
          </w:p>
        </w:tc>
        <w:tc>
          <w:tcPr>
            <w:tcW w:w="8570" w:type="dxa"/>
            <w:tcBorders>
              <w:top w:val="nil"/>
              <w:left w:val="nil"/>
              <w:bottom w:val="single" w:sz="4" w:space="0" w:color="auto"/>
              <w:right w:val="single" w:sz="4" w:space="0" w:color="auto"/>
            </w:tcBorders>
            <w:hideMark/>
          </w:tcPr>
          <w:p w14:paraId="29D28331"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Kháng thể đơn dòng liên kết với một epitope trên tiểu đơn vị epsilon trong phức hợp CD3 của người</w:t>
            </w:r>
            <w:r w:rsidRPr="00616ABD">
              <w:rPr>
                <w:rFonts w:ascii="Times New Roman" w:eastAsia="Times New Roman" w:hAnsi="Times New Roman" w:cs="Times New Roman"/>
                <w:position w:val="0"/>
                <w:sz w:val="24"/>
                <w:szCs w:val="24"/>
                <w:lang w:val="en-GB"/>
              </w:rPr>
              <w:br/>
              <w:t>• Độ tinh sạch &gt;90% được xác định bằng phương pháp SDS-PAGE hoặc các tiêu chuẩn chất lượng tương đương</w:t>
            </w:r>
            <w:r w:rsidRPr="00616ABD">
              <w:rPr>
                <w:rFonts w:ascii="Times New Roman" w:eastAsia="Times New Roman" w:hAnsi="Times New Roman" w:cs="Times New Roman"/>
                <w:position w:val="0"/>
                <w:sz w:val="24"/>
                <w:szCs w:val="24"/>
                <w:lang w:val="en-GB"/>
              </w:rPr>
              <w:br/>
              <w:t>• Nồng độ độc tố:  &lt;0,001 ng/µg kháng thể, xác định bằng xét nghiệm LAL</w:t>
            </w:r>
            <w:r w:rsidRPr="00616ABD">
              <w:rPr>
                <w:rFonts w:ascii="Times New Roman" w:eastAsia="Times New Roman" w:hAnsi="Times New Roman" w:cs="Times New Roman"/>
                <w:position w:val="0"/>
                <w:sz w:val="24"/>
                <w:szCs w:val="24"/>
                <w:lang w:val="en-GB"/>
              </w:rPr>
              <w:br/>
              <w:t>• Độ kết cụm &lt; 10%, xác định bằng HPLC</w:t>
            </w:r>
            <w:r w:rsidRPr="00616ABD">
              <w:rPr>
                <w:rFonts w:ascii="Times New Roman" w:eastAsia="Times New Roman" w:hAnsi="Times New Roman" w:cs="Times New Roman"/>
                <w:position w:val="0"/>
                <w:sz w:val="24"/>
                <w:szCs w:val="24"/>
                <w:lang w:val="en-GB"/>
              </w:rPr>
              <w:br/>
              <w:t>• Loài công bố: ruồi giấm, người, chuột</w:t>
            </w:r>
            <w:r w:rsidRPr="00616ABD">
              <w:rPr>
                <w:rFonts w:ascii="Times New Roman" w:eastAsia="Times New Roman" w:hAnsi="Times New Roman" w:cs="Times New Roman"/>
                <w:position w:val="0"/>
                <w:sz w:val="24"/>
                <w:szCs w:val="24"/>
                <w:lang w:val="en-GB"/>
              </w:rPr>
              <w:br/>
              <w:t>• Loài chủ: Chuột</w:t>
            </w:r>
            <w:r w:rsidRPr="00616ABD">
              <w:rPr>
                <w:rFonts w:ascii="Times New Roman" w:eastAsia="Times New Roman" w:hAnsi="Times New Roman" w:cs="Times New Roman"/>
                <w:position w:val="0"/>
                <w:sz w:val="24"/>
                <w:szCs w:val="24"/>
                <w:lang w:val="en-GB"/>
              </w:rPr>
              <w:br/>
              <w:t>• Isotype: IgG2a, kappa</w:t>
            </w:r>
            <w:r w:rsidRPr="00616ABD">
              <w:rPr>
                <w:rFonts w:ascii="Times New Roman" w:eastAsia="Times New Roman" w:hAnsi="Times New Roman" w:cs="Times New Roman"/>
                <w:position w:val="0"/>
                <w:sz w:val="24"/>
                <w:szCs w:val="24"/>
                <w:lang w:val="en-GB"/>
              </w:rPr>
              <w:br/>
              <w:t>• liên hợp: nhóm chức năng</w:t>
            </w:r>
            <w:r w:rsidRPr="00616ABD">
              <w:rPr>
                <w:rFonts w:ascii="Times New Roman" w:eastAsia="Times New Roman" w:hAnsi="Times New Roman" w:cs="Times New Roman"/>
                <w:position w:val="0"/>
                <w:sz w:val="24"/>
                <w:szCs w:val="24"/>
                <w:lang w:val="en-GB"/>
              </w:rPr>
              <w:br/>
              <w:t>• Dạng: dung dịch</w:t>
            </w:r>
            <w:r w:rsidRPr="00616ABD">
              <w:rPr>
                <w:rFonts w:ascii="Times New Roman" w:eastAsia="Times New Roman" w:hAnsi="Times New Roman" w:cs="Times New Roman"/>
                <w:position w:val="0"/>
                <w:sz w:val="24"/>
                <w:szCs w:val="24"/>
                <w:lang w:val="en-GB"/>
              </w:rPr>
              <w:br/>
              <w:t>• Nồng độ: 1 mg/mL</w:t>
            </w:r>
            <w:r w:rsidRPr="00616ABD">
              <w:rPr>
                <w:rFonts w:ascii="Times New Roman" w:eastAsia="Times New Roman" w:hAnsi="Times New Roman" w:cs="Times New Roman"/>
                <w:position w:val="0"/>
                <w:sz w:val="24"/>
                <w:szCs w:val="24"/>
                <w:lang w:val="en-GB"/>
              </w:rPr>
              <w:br/>
              <w:t>• Tinh sạch: sắc ký ái lực</w:t>
            </w:r>
            <w:r w:rsidRPr="00616ABD">
              <w:rPr>
                <w:rFonts w:ascii="Times New Roman" w:eastAsia="Times New Roman" w:hAnsi="Times New Roman" w:cs="Times New Roman"/>
                <w:position w:val="0"/>
                <w:sz w:val="24"/>
                <w:szCs w:val="24"/>
                <w:lang w:val="en-GB"/>
              </w:rPr>
              <w:br/>
              <w:t>• Đệm bảo quản: TBS, pH 8.0</w:t>
            </w:r>
            <w:r w:rsidRPr="00616ABD">
              <w:rPr>
                <w:rFonts w:ascii="Times New Roman" w:eastAsia="Times New Roman" w:hAnsi="Times New Roman" w:cs="Times New Roman"/>
                <w:position w:val="0"/>
                <w:sz w:val="24"/>
                <w:szCs w:val="24"/>
                <w:lang w:val="en-GB"/>
              </w:rPr>
              <w:br/>
              <w:t>• Không chứa chất bảo quản</w:t>
            </w:r>
            <w:r w:rsidRPr="00616ABD">
              <w:rPr>
                <w:rFonts w:ascii="Times New Roman" w:eastAsia="Times New Roman" w:hAnsi="Times New Roman" w:cs="Times New Roman"/>
                <w:position w:val="0"/>
                <w:sz w:val="24"/>
                <w:szCs w:val="24"/>
                <w:lang w:val="en-GB"/>
              </w:rPr>
              <w:br/>
              <w:t>• Điều kiện bảo quản 4° C</w:t>
            </w:r>
            <w:r w:rsidRPr="00616ABD">
              <w:rPr>
                <w:rFonts w:ascii="Times New Roman" w:eastAsia="Times New Roman" w:hAnsi="Times New Roman" w:cs="Times New Roman"/>
                <w:position w:val="0"/>
                <w:sz w:val="24"/>
                <w:szCs w:val="24"/>
                <w:lang w:val="en-GB"/>
              </w:rPr>
              <w:br/>
              <w:t>• Đóng gói: 500µg</w:t>
            </w:r>
            <w:r w:rsidRPr="00616ABD">
              <w:rPr>
                <w:rFonts w:ascii="Times New Roman" w:eastAsia="Times New Roman" w:hAnsi="Times New Roman" w:cs="Times New Roman"/>
                <w:position w:val="0"/>
                <w:sz w:val="24"/>
                <w:szCs w:val="24"/>
                <w:lang w:val="en-GB"/>
              </w:rPr>
              <w:br/>
              <w:t>• Ứng dụng: Western Blot (WB), hóa mô miễn dịch (IHC), (Paraffin) (IHC (P)) và (ICC/IF), phân tích tế bào dòng chảy (Flow Cytometry), ELISA, trung hòa, hoạt hóa tế bào T, xét nghiệm in vitro, các xét nghiệm chức năng khác</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4C85E253" w14:textId="77777777" w:rsidTr="0082252B">
        <w:trPr>
          <w:trHeight w:val="6672"/>
        </w:trPr>
        <w:tc>
          <w:tcPr>
            <w:tcW w:w="2405" w:type="dxa"/>
            <w:tcBorders>
              <w:top w:val="nil"/>
              <w:left w:val="single" w:sz="4" w:space="0" w:color="auto"/>
              <w:bottom w:val="single" w:sz="4" w:space="0" w:color="auto"/>
              <w:right w:val="single" w:sz="4" w:space="0" w:color="auto"/>
            </w:tcBorders>
            <w:hideMark/>
          </w:tcPr>
          <w:p w14:paraId="6A40611B"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Protein tái tổ hợp IFN-gamma của người</w:t>
            </w:r>
          </w:p>
        </w:tc>
        <w:tc>
          <w:tcPr>
            <w:tcW w:w="1134" w:type="dxa"/>
            <w:tcBorders>
              <w:top w:val="nil"/>
              <w:left w:val="nil"/>
              <w:bottom w:val="single" w:sz="4" w:space="0" w:color="auto"/>
              <w:right w:val="single" w:sz="4" w:space="0" w:color="auto"/>
            </w:tcBorders>
            <w:hideMark/>
          </w:tcPr>
          <w:p w14:paraId="42DA4B7C"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1mg/ lọ</w:t>
            </w:r>
          </w:p>
        </w:tc>
        <w:tc>
          <w:tcPr>
            <w:tcW w:w="851" w:type="dxa"/>
            <w:tcBorders>
              <w:top w:val="nil"/>
              <w:left w:val="nil"/>
              <w:bottom w:val="single" w:sz="4" w:space="0" w:color="auto"/>
              <w:right w:val="single" w:sz="4" w:space="0" w:color="auto"/>
            </w:tcBorders>
            <w:hideMark/>
          </w:tcPr>
          <w:p w14:paraId="4B8EA57E"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Lọ</w:t>
            </w:r>
          </w:p>
        </w:tc>
        <w:tc>
          <w:tcPr>
            <w:tcW w:w="1069" w:type="dxa"/>
            <w:tcBorders>
              <w:top w:val="nil"/>
              <w:left w:val="nil"/>
              <w:bottom w:val="single" w:sz="4" w:space="0" w:color="auto"/>
              <w:right w:val="single" w:sz="4" w:space="0" w:color="auto"/>
            </w:tcBorders>
            <w:hideMark/>
          </w:tcPr>
          <w:p w14:paraId="3A6FBD9F"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w:t>
            </w:r>
          </w:p>
        </w:tc>
        <w:tc>
          <w:tcPr>
            <w:tcW w:w="8570" w:type="dxa"/>
            <w:tcBorders>
              <w:top w:val="nil"/>
              <w:left w:val="nil"/>
              <w:bottom w:val="single" w:sz="4" w:space="0" w:color="auto"/>
              <w:right w:val="single" w:sz="4" w:space="0" w:color="auto"/>
            </w:tcBorders>
            <w:hideMark/>
          </w:tcPr>
          <w:p w14:paraId="6BCA5759"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IFN gamma là một protein dạng dimer gồm hai tiểu đơn vị có 146 axit amin.</w:t>
            </w:r>
            <w:r w:rsidRPr="00616ABD">
              <w:rPr>
                <w:rFonts w:ascii="Times New Roman" w:eastAsia="Times New Roman" w:hAnsi="Times New Roman" w:cs="Times New Roman"/>
                <w:position w:val="0"/>
                <w:sz w:val="24"/>
                <w:szCs w:val="24"/>
                <w:lang w:val="en-GB"/>
              </w:rPr>
              <w:br/>
              <w:t xml:space="preserve">- Protein tái tổ hợp IFN-gamma được biểu hiện trên E. coli, </w:t>
            </w:r>
            <w:r w:rsidRPr="00616ABD">
              <w:rPr>
                <w:rFonts w:ascii="Times New Roman" w:eastAsia="Times New Roman" w:hAnsi="Times New Roman" w:cs="Times New Roman"/>
                <w:position w:val="0"/>
                <w:sz w:val="24"/>
                <w:szCs w:val="24"/>
                <w:lang w:val="en-GB"/>
              </w:rPr>
              <w:br/>
              <w:t>- khối lượng phân tử 16.9 kDa</w:t>
            </w:r>
            <w:r w:rsidRPr="00616ABD">
              <w:rPr>
                <w:rFonts w:ascii="Times New Roman" w:eastAsia="Times New Roman" w:hAnsi="Times New Roman" w:cs="Times New Roman"/>
                <w:position w:val="0"/>
                <w:sz w:val="24"/>
                <w:szCs w:val="24"/>
                <w:lang w:val="en-GB"/>
              </w:rPr>
              <w:br/>
              <w:t>- độ tinh sạch &gt;95% được kiểm tra bằng kỹ thuật SDS-PAGE hoặc phương pháp tương tự.</w:t>
            </w:r>
            <w:r w:rsidRPr="00616ABD">
              <w:rPr>
                <w:rFonts w:ascii="Times New Roman" w:eastAsia="Times New Roman" w:hAnsi="Times New Roman" w:cs="Times New Roman"/>
                <w:position w:val="0"/>
                <w:sz w:val="24"/>
                <w:szCs w:val="24"/>
                <w:lang w:val="en-GB"/>
              </w:rPr>
              <w:br/>
              <w:t>- Hoạt tính sinh học: ED50 &gt; 0.5 ng/mL và &lt; 3.0 ng/mL được xác định dựa trên khả năng gây độc tế bào phụ thuộc liều của tế bào WiDr người.</w:t>
            </w:r>
            <w:r w:rsidRPr="00616ABD">
              <w:rPr>
                <w:rFonts w:ascii="Times New Roman" w:eastAsia="Times New Roman" w:hAnsi="Times New Roman" w:cs="Times New Roman"/>
                <w:position w:val="0"/>
                <w:sz w:val="24"/>
                <w:szCs w:val="24"/>
                <w:lang w:val="en-GB"/>
              </w:rPr>
              <w:br/>
              <w:t>- Dạng bào chế: Protein tinh khiết trong đệm Tris 40 mM,</w:t>
            </w:r>
            <w:r w:rsidRPr="00616ABD">
              <w:rPr>
                <w:rFonts w:ascii="Times New Roman" w:eastAsia="Times New Roman" w:hAnsi="Times New Roman" w:cs="Times New Roman"/>
                <w:position w:val="0"/>
                <w:sz w:val="24"/>
                <w:szCs w:val="24"/>
                <w:lang w:val="en-GB"/>
              </w:rPr>
              <w:br/>
              <w:t>-  pH 7.4,</w:t>
            </w:r>
            <w:r w:rsidRPr="00616ABD">
              <w:rPr>
                <w:rFonts w:ascii="Times New Roman" w:eastAsia="Times New Roman" w:hAnsi="Times New Roman" w:cs="Times New Roman"/>
                <w:position w:val="0"/>
                <w:sz w:val="24"/>
                <w:szCs w:val="24"/>
                <w:lang w:val="en-GB"/>
              </w:rPr>
              <w:br/>
              <w:t>-  không mang chất tải.</w:t>
            </w:r>
            <w:r w:rsidRPr="00616ABD">
              <w:rPr>
                <w:rFonts w:ascii="Times New Roman" w:eastAsia="Times New Roman" w:hAnsi="Times New Roman" w:cs="Times New Roman"/>
                <w:position w:val="0"/>
                <w:sz w:val="24"/>
                <w:szCs w:val="24"/>
                <w:lang w:val="en-GB"/>
              </w:rPr>
              <w:br/>
              <w:t>- Vô trùng</w:t>
            </w:r>
            <w:r w:rsidRPr="00616ABD">
              <w:rPr>
                <w:rFonts w:ascii="Times New Roman" w:eastAsia="Times New Roman" w:hAnsi="Times New Roman" w:cs="Times New Roman"/>
                <w:position w:val="0"/>
                <w:sz w:val="24"/>
                <w:szCs w:val="24"/>
                <w:lang w:val="en-GB"/>
              </w:rPr>
              <w:br/>
              <w:t>- Nồng độ nội độc tố: &lt;0.1 ng/μg</w:t>
            </w:r>
            <w:r w:rsidRPr="00616ABD">
              <w:rPr>
                <w:rFonts w:ascii="Times New Roman" w:eastAsia="Times New Roman" w:hAnsi="Times New Roman" w:cs="Times New Roman"/>
                <w:position w:val="0"/>
                <w:sz w:val="24"/>
                <w:szCs w:val="24"/>
                <w:lang w:val="en-GB"/>
              </w:rPr>
              <w:br/>
              <w:t xml:space="preserve">- Sản phảm có thể sử dụng cho các kỹ thuật Western blot, Immunohistochemistry (IHC), ELISA, thử nghiệm chức năng, đối chứng. </w:t>
            </w:r>
            <w:r w:rsidRPr="00616ABD">
              <w:rPr>
                <w:rFonts w:ascii="Times New Roman" w:eastAsia="Times New Roman" w:hAnsi="Times New Roman" w:cs="Times New Roman"/>
                <w:position w:val="0"/>
                <w:sz w:val="24"/>
                <w:szCs w:val="24"/>
                <w:lang w:val="en-GB"/>
              </w:rPr>
              <w:br/>
              <w:t>Thành phần không chứa chất bảo quản</w:t>
            </w:r>
            <w:r w:rsidRPr="00616ABD">
              <w:rPr>
                <w:rFonts w:ascii="Times New Roman" w:eastAsia="Times New Roman" w:hAnsi="Times New Roman" w:cs="Times New Roman"/>
                <w:position w:val="0"/>
                <w:sz w:val="24"/>
                <w:szCs w:val="24"/>
                <w:lang w:val="en-GB"/>
              </w:rPr>
              <w:br/>
              <w:t>Đóng gói 1mg</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07DF8F46" w14:textId="77777777" w:rsidTr="0082252B">
        <w:trPr>
          <w:trHeight w:val="2880"/>
        </w:trPr>
        <w:tc>
          <w:tcPr>
            <w:tcW w:w="2405" w:type="dxa"/>
            <w:tcBorders>
              <w:top w:val="nil"/>
              <w:left w:val="single" w:sz="4" w:space="0" w:color="auto"/>
              <w:bottom w:val="single" w:sz="4" w:space="0" w:color="auto"/>
              <w:right w:val="single" w:sz="4" w:space="0" w:color="auto"/>
            </w:tcBorders>
            <w:hideMark/>
          </w:tcPr>
          <w:p w14:paraId="474860B2"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Bộ kit phát hiện định lượng nội độc tố</w:t>
            </w:r>
          </w:p>
        </w:tc>
        <w:tc>
          <w:tcPr>
            <w:tcW w:w="1134" w:type="dxa"/>
            <w:tcBorders>
              <w:top w:val="nil"/>
              <w:left w:val="nil"/>
              <w:bottom w:val="single" w:sz="4" w:space="0" w:color="auto"/>
              <w:right w:val="single" w:sz="4" w:space="0" w:color="auto"/>
            </w:tcBorders>
            <w:hideMark/>
          </w:tcPr>
          <w:p w14:paraId="3EB25EA3"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240 phản ứng/ bộ</w:t>
            </w:r>
          </w:p>
        </w:tc>
        <w:tc>
          <w:tcPr>
            <w:tcW w:w="851" w:type="dxa"/>
            <w:tcBorders>
              <w:top w:val="nil"/>
              <w:left w:val="nil"/>
              <w:bottom w:val="single" w:sz="4" w:space="0" w:color="auto"/>
              <w:right w:val="single" w:sz="4" w:space="0" w:color="auto"/>
            </w:tcBorders>
            <w:hideMark/>
          </w:tcPr>
          <w:p w14:paraId="5BE5621D"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Bộ</w:t>
            </w:r>
          </w:p>
        </w:tc>
        <w:tc>
          <w:tcPr>
            <w:tcW w:w="1069" w:type="dxa"/>
            <w:tcBorders>
              <w:top w:val="nil"/>
              <w:left w:val="nil"/>
              <w:bottom w:val="single" w:sz="4" w:space="0" w:color="auto"/>
              <w:right w:val="single" w:sz="4" w:space="0" w:color="auto"/>
            </w:tcBorders>
            <w:hideMark/>
          </w:tcPr>
          <w:p w14:paraId="09F1D6A5"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9</w:t>
            </w:r>
          </w:p>
        </w:tc>
        <w:tc>
          <w:tcPr>
            <w:tcW w:w="8570" w:type="dxa"/>
            <w:tcBorders>
              <w:top w:val="nil"/>
              <w:left w:val="nil"/>
              <w:bottom w:val="single" w:sz="4" w:space="0" w:color="auto"/>
              <w:right w:val="single" w:sz="4" w:space="0" w:color="auto"/>
            </w:tcBorders>
            <w:hideMark/>
          </w:tcPr>
          <w:p w14:paraId="1DC41ED5"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Bộ kit định lượng nội độc tố có độ nhạy cao, cho phép phát hiện và định lượng chính xác nội độc tố trong mẫu protein, peptide, acid nucleic (DNA hoặc RNA), vaccine hoặc kháng thể bằng cách sử dụng lysate bạch cầu amebocyte.</w:t>
            </w:r>
            <w:r w:rsidRPr="00616ABD">
              <w:rPr>
                <w:rFonts w:ascii="Times New Roman" w:eastAsia="Times New Roman" w:hAnsi="Times New Roman" w:cs="Times New Roman"/>
                <w:position w:val="0"/>
                <w:sz w:val="24"/>
                <w:szCs w:val="24"/>
                <w:lang w:val="en-GB"/>
              </w:rPr>
              <w:br/>
              <w:t>- Phương pháp phát hiện: đo màu, bằng máy đo quang phổ hoặc máy đọc đĩa</w:t>
            </w:r>
            <w:r w:rsidRPr="00616ABD">
              <w:rPr>
                <w:rFonts w:ascii="Times New Roman" w:eastAsia="Times New Roman" w:hAnsi="Times New Roman" w:cs="Times New Roman"/>
                <w:position w:val="0"/>
                <w:sz w:val="24"/>
                <w:szCs w:val="24"/>
                <w:lang w:val="en-GB"/>
              </w:rPr>
              <w:br/>
              <w:t>- Bước sóng phát hiện: 405-410 nm</w:t>
            </w:r>
            <w:r w:rsidRPr="00616ABD">
              <w:rPr>
                <w:rFonts w:ascii="Times New Roman" w:eastAsia="Times New Roman" w:hAnsi="Times New Roman" w:cs="Times New Roman"/>
                <w:position w:val="0"/>
                <w:sz w:val="24"/>
                <w:szCs w:val="24"/>
                <w:lang w:val="en-GB"/>
              </w:rPr>
              <w:br/>
              <w:t>- Phạm vi phát hiện: 0,01 EU/mL đến 1 EU/mL</w:t>
            </w:r>
            <w:r w:rsidRPr="00616ABD">
              <w:rPr>
                <w:rFonts w:ascii="Times New Roman" w:eastAsia="Times New Roman" w:hAnsi="Times New Roman" w:cs="Times New Roman"/>
                <w:position w:val="0"/>
                <w:sz w:val="24"/>
                <w:szCs w:val="24"/>
                <w:lang w:val="en-GB"/>
              </w:rPr>
              <w:br/>
              <w:t>- Đặc hiệu – không bị ảnh hưởng bởi ß-glucan.</w:t>
            </w:r>
            <w:r w:rsidRPr="00616ABD">
              <w:rPr>
                <w:rFonts w:ascii="Times New Roman" w:eastAsia="Times New Roman" w:hAnsi="Times New Roman" w:cs="Times New Roman"/>
                <w:position w:val="0"/>
                <w:sz w:val="24"/>
                <w:szCs w:val="24"/>
                <w:lang w:val="en-GB"/>
              </w:rPr>
              <w:br/>
              <w:t>- Đóng gói 240 phản ứng</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6AA44719" w14:textId="77777777" w:rsidTr="0082252B">
        <w:trPr>
          <w:trHeight w:val="3360"/>
        </w:trPr>
        <w:tc>
          <w:tcPr>
            <w:tcW w:w="2405" w:type="dxa"/>
            <w:tcBorders>
              <w:top w:val="nil"/>
              <w:left w:val="single" w:sz="4" w:space="0" w:color="auto"/>
              <w:bottom w:val="nil"/>
              <w:right w:val="single" w:sz="4" w:space="0" w:color="auto"/>
            </w:tcBorders>
            <w:hideMark/>
          </w:tcPr>
          <w:p w14:paraId="26882542"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Chất bổ sung yếu tố tăng trưởng biểu mô tuyến vú (Mammary Epithelial Growth Supplement - MEGS)</w:t>
            </w:r>
          </w:p>
        </w:tc>
        <w:tc>
          <w:tcPr>
            <w:tcW w:w="1134" w:type="dxa"/>
            <w:tcBorders>
              <w:top w:val="nil"/>
              <w:left w:val="nil"/>
              <w:bottom w:val="nil"/>
              <w:right w:val="single" w:sz="4" w:space="0" w:color="auto"/>
            </w:tcBorders>
            <w:hideMark/>
          </w:tcPr>
          <w:p w14:paraId="500A0AA0"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5ml /chai</w:t>
            </w:r>
          </w:p>
        </w:tc>
        <w:tc>
          <w:tcPr>
            <w:tcW w:w="851" w:type="dxa"/>
            <w:tcBorders>
              <w:top w:val="nil"/>
              <w:left w:val="nil"/>
              <w:bottom w:val="nil"/>
              <w:right w:val="single" w:sz="4" w:space="0" w:color="auto"/>
            </w:tcBorders>
            <w:hideMark/>
          </w:tcPr>
          <w:p w14:paraId="2C467810"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nil"/>
              <w:left w:val="nil"/>
              <w:bottom w:val="nil"/>
              <w:right w:val="single" w:sz="4" w:space="0" w:color="auto"/>
            </w:tcBorders>
            <w:hideMark/>
          </w:tcPr>
          <w:p w14:paraId="2678D2C8"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300</w:t>
            </w:r>
          </w:p>
        </w:tc>
        <w:tc>
          <w:tcPr>
            <w:tcW w:w="8570" w:type="dxa"/>
            <w:tcBorders>
              <w:top w:val="nil"/>
              <w:left w:val="nil"/>
              <w:bottom w:val="nil"/>
              <w:right w:val="single" w:sz="4" w:space="0" w:color="auto"/>
            </w:tcBorders>
            <w:hideMark/>
          </w:tcPr>
          <w:p w14:paraId="043B1BC0"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Dung dịch chứa chất tăng trưởng biểu mô tuyến vú (MEGS) được sử dụng bổ sung vào môi trường nuôi cấy và tăng sinh tế bào biểu mô tuyến vú.</w:t>
            </w:r>
            <w:r w:rsidRPr="00616ABD">
              <w:rPr>
                <w:rFonts w:ascii="Times New Roman" w:eastAsia="Times New Roman" w:hAnsi="Times New Roman" w:cs="Times New Roman"/>
                <w:position w:val="0"/>
                <w:sz w:val="24"/>
                <w:szCs w:val="24"/>
                <w:lang w:val="en-GB"/>
              </w:rPr>
              <w:br/>
              <w:t>• Chất bổ sung chứa: Chiết xuất tuyến yên bò- Bovine pituitary extract (BPE); yếu tố tăng trưởng Recombinant human insulin-like growth factor-I; Hydrocortisone; yếu tố tăng trưởng biểu bì người - Human epidermal growth factor.</w:t>
            </w:r>
            <w:r w:rsidRPr="00616ABD">
              <w:rPr>
                <w:rFonts w:ascii="Times New Roman" w:eastAsia="Times New Roman" w:hAnsi="Times New Roman" w:cs="Times New Roman"/>
                <w:position w:val="0"/>
                <w:sz w:val="24"/>
                <w:szCs w:val="24"/>
                <w:lang w:val="en-GB"/>
              </w:rPr>
              <w:br/>
              <w:t>• Nồng độ: 100X</w:t>
            </w:r>
            <w:r w:rsidRPr="00616ABD">
              <w:rPr>
                <w:rFonts w:ascii="Times New Roman" w:eastAsia="Times New Roman" w:hAnsi="Times New Roman" w:cs="Times New Roman"/>
                <w:position w:val="0"/>
                <w:sz w:val="24"/>
                <w:szCs w:val="24"/>
                <w:lang w:val="en-GB"/>
              </w:rPr>
              <w:br/>
              <w:t>• Loại tế bào: tế bào biêu mô (tuyến vú)</w:t>
            </w:r>
            <w:r w:rsidRPr="00616ABD">
              <w:rPr>
                <w:rFonts w:ascii="Times New Roman" w:eastAsia="Times New Roman" w:hAnsi="Times New Roman" w:cs="Times New Roman"/>
                <w:position w:val="0"/>
                <w:sz w:val="24"/>
                <w:szCs w:val="24"/>
                <w:lang w:val="en-GB"/>
              </w:rPr>
              <w:br/>
              <w:t>Hoặc sản phẩm có thông số tương tự</w:t>
            </w:r>
          </w:p>
        </w:tc>
      </w:tr>
      <w:tr w:rsidR="000820E0" w:rsidRPr="00915CA8" w14:paraId="1877F3AC" w14:textId="77777777" w:rsidTr="0082252B">
        <w:trPr>
          <w:trHeight w:val="6000"/>
        </w:trPr>
        <w:tc>
          <w:tcPr>
            <w:tcW w:w="2405" w:type="dxa"/>
            <w:tcBorders>
              <w:top w:val="single" w:sz="4" w:space="0" w:color="auto"/>
              <w:left w:val="single" w:sz="4" w:space="0" w:color="auto"/>
              <w:bottom w:val="single" w:sz="4" w:space="0" w:color="auto"/>
              <w:right w:val="single" w:sz="4" w:space="0" w:color="auto"/>
            </w:tcBorders>
            <w:hideMark/>
          </w:tcPr>
          <w:p w14:paraId="3B488CAF"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Dung dịch enzyme tách tế bào, không chứa phenol red</w:t>
            </w:r>
          </w:p>
        </w:tc>
        <w:tc>
          <w:tcPr>
            <w:tcW w:w="1134" w:type="dxa"/>
            <w:tcBorders>
              <w:top w:val="single" w:sz="4" w:space="0" w:color="auto"/>
              <w:left w:val="nil"/>
              <w:bottom w:val="single" w:sz="4" w:space="0" w:color="auto"/>
              <w:right w:val="single" w:sz="4" w:space="0" w:color="auto"/>
            </w:tcBorders>
            <w:hideMark/>
          </w:tcPr>
          <w:p w14:paraId="6949E00D"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5 L/túi</w:t>
            </w:r>
          </w:p>
        </w:tc>
        <w:tc>
          <w:tcPr>
            <w:tcW w:w="851" w:type="dxa"/>
            <w:tcBorders>
              <w:top w:val="single" w:sz="4" w:space="0" w:color="auto"/>
              <w:left w:val="nil"/>
              <w:bottom w:val="single" w:sz="4" w:space="0" w:color="auto"/>
              <w:right w:val="single" w:sz="4" w:space="0" w:color="auto"/>
            </w:tcBorders>
            <w:hideMark/>
          </w:tcPr>
          <w:p w14:paraId="522541B1"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Túi</w:t>
            </w:r>
          </w:p>
        </w:tc>
        <w:tc>
          <w:tcPr>
            <w:tcW w:w="1069" w:type="dxa"/>
            <w:tcBorders>
              <w:top w:val="single" w:sz="4" w:space="0" w:color="auto"/>
              <w:left w:val="nil"/>
              <w:bottom w:val="single" w:sz="4" w:space="0" w:color="auto"/>
              <w:right w:val="single" w:sz="4" w:space="0" w:color="auto"/>
            </w:tcBorders>
            <w:hideMark/>
          </w:tcPr>
          <w:p w14:paraId="7A55FD83"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w:t>
            </w:r>
          </w:p>
        </w:tc>
        <w:tc>
          <w:tcPr>
            <w:tcW w:w="8570" w:type="dxa"/>
            <w:tcBorders>
              <w:top w:val="single" w:sz="4" w:space="0" w:color="auto"/>
              <w:left w:val="nil"/>
              <w:bottom w:val="single" w:sz="4" w:space="0" w:color="auto"/>
              <w:right w:val="single" w:sz="4" w:space="0" w:color="auto"/>
            </w:tcBorders>
            <w:hideMark/>
          </w:tcPr>
          <w:p w14:paraId="4FEB7F1A"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xml:space="preserve">Dung dịch enzyme dùng để tách tế bào; </w:t>
            </w:r>
            <w:r w:rsidRPr="00616ABD">
              <w:rPr>
                <w:rFonts w:ascii="Times New Roman" w:eastAsia="Times New Roman" w:hAnsi="Times New Roman" w:cs="Times New Roman"/>
                <w:position w:val="0"/>
                <w:sz w:val="24"/>
                <w:szCs w:val="24"/>
                <w:lang w:val="en-GB"/>
              </w:rPr>
              <w:br/>
              <w:t>Dung dịch  enzyme tái tổ hợp, không có nguồn gốc động vật, dùng để tách rời nhiều loại tế bào động vật có vú bám dính</w:t>
            </w:r>
            <w:r w:rsidRPr="00616ABD">
              <w:rPr>
                <w:rFonts w:ascii="Times New Roman" w:eastAsia="Times New Roman" w:hAnsi="Times New Roman" w:cs="Times New Roman"/>
                <w:position w:val="0"/>
                <w:sz w:val="24"/>
                <w:szCs w:val="24"/>
                <w:lang w:val="en-GB"/>
              </w:rPr>
              <w:br/>
              <w:t>Dung dịch có đặc điểm:</w:t>
            </w:r>
            <w:r w:rsidRPr="00616ABD">
              <w:rPr>
                <w:rFonts w:ascii="Times New Roman" w:eastAsia="Times New Roman" w:hAnsi="Times New Roman" w:cs="Times New Roman"/>
                <w:position w:val="0"/>
                <w:sz w:val="24"/>
                <w:szCs w:val="24"/>
                <w:lang w:val="en-GB"/>
              </w:rPr>
              <w:br/>
              <w:t>• Ổn định ở nhiệt độ phòng</w:t>
            </w:r>
            <w:r w:rsidRPr="00616ABD">
              <w:rPr>
                <w:rFonts w:ascii="Times New Roman" w:eastAsia="Times New Roman" w:hAnsi="Times New Roman" w:cs="Times New Roman"/>
                <w:position w:val="0"/>
                <w:sz w:val="24"/>
                <w:szCs w:val="24"/>
                <w:lang w:val="en-GB"/>
              </w:rPr>
              <w:br/>
              <w:t>• Không có nguồn gốc động vật (AOF)</w:t>
            </w:r>
            <w:r w:rsidRPr="00616ABD">
              <w:rPr>
                <w:rFonts w:ascii="Times New Roman" w:eastAsia="Times New Roman" w:hAnsi="Times New Roman" w:cs="Times New Roman"/>
                <w:position w:val="0"/>
                <w:sz w:val="24"/>
                <w:szCs w:val="24"/>
                <w:lang w:val="en-GB"/>
              </w:rPr>
              <w:br/>
              <w:t>- Thành phần chứa EDTA, không chứa Phenol red</w:t>
            </w:r>
            <w:r w:rsidRPr="00616ABD">
              <w:rPr>
                <w:rFonts w:ascii="Times New Roman" w:eastAsia="Times New Roman" w:hAnsi="Times New Roman" w:cs="Times New Roman"/>
                <w:position w:val="0"/>
                <w:sz w:val="24"/>
                <w:szCs w:val="24"/>
                <w:lang w:val="en-GB"/>
              </w:rPr>
              <w:br/>
              <w:t>- Sản phẩm sản xuất theo tiêu chuẩn cGMP và ISO 13485 hoặc tương đương</w:t>
            </w:r>
            <w:r w:rsidRPr="00616ABD">
              <w:rPr>
                <w:rFonts w:ascii="Times New Roman" w:eastAsia="Times New Roman" w:hAnsi="Times New Roman" w:cs="Times New Roman"/>
                <w:position w:val="0"/>
                <w:sz w:val="24"/>
                <w:szCs w:val="24"/>
                <w:lang w:val="en-GB"/>
              </w:rPr>
              <w:br/>
              <w:t>- Nồng độ 1X</w:t>
            </w:r>
            <w:r w:rsidRPr="00616ABD">
              <w:rPr>
                <w:rFonts w:ascii="Times New Roman" w:eastAsia="Times New Roman" w:hAnsi="Times New Roman" w:cs="Times New Roman"/>
                <w:position w:val="0"/>
                <w:sz w:val="24"/>
                <w:szCs w:val="24"/>
                <w:lang w:val="en-GB"/>
              </w:rPr>
              <w:br/>
              <w:t xml:space="preserve">- Dạng: lỏng </w:t>
            </w:r>
            <w:r w:rsidRPr="00616ABD">
              <w:rPr>
                <w:rFonts w:ascii="Times New Roman" w:eastAsia="Times New Roman" w:hAnsi="Times New Roman" w:cs="Times New Roman"/>
                <w:position w:val="0"/>
                <w:sz w:val="24"/>
                <w:szCs w:val="24"/>
                <w:lang w:val="en-GB"/>
              </w:rPr>
              <w:br/>
              <w:t>- Áp suất thẩm thấu: 275 - 300 mOsm/kg</w:t>
            </w:r>
            <w:r w:rsidRPr="00616ABD">
              <w:rPr>
                <w:rFonts w:ascii="Times New Roman" w:eastAsia="Times New Roman" w:hAnsi="Times New Roman" w:cs="Times New Roman"/>
                <w:position w:val="0"/>
                <w:sz w:val="24"/>
                <w:szCs w:val="24"/>
                <w:lang w:val="en-GB"/>
              </w:rPr>
              <w:br/>
              <w:t>- Đã lọc vô trùng</w:t>
            </w:r>
            <w:r w:rsidRPr="00616ABD">
              <w:rPr>
                <w:rFonts w:ascii="Times New Roman" w:eastAsia="Times New Roman" w:hAnsi="Times New Roman" w:cs="Times New Roman"/>
                <w:position w:val="0"/>
                <w:sz w:val="24"/>
                <w:szCs w:val="24"/>
                <w:lang w:val="en-GB"/>
              </w:rPr>
              <w:br/>
              <w:t>- pH: 7.0 - 7.5</w:t>
            </w:r>
            <w:r w:rsidRPr="00616ABD">
              <w:rPr>
                <w:rFonts w:ascii="Times New Roman" w:eastAsia="Times New Roman" w:hAnsi="Times New Roman" w:cs="Times New Roman"/>
                <w:position w:val="0"/>
                <w:sz w:val="24"/>
                <w:szCs w:val="24"/>
                <w:lang w:val="en-GB"/>
              </w:rPr>
              <w:br/>
              <w:t>- Đóng gói: 5L/túi</w:t>
            </w:r>
            <w:r w:rsidRPr="00616ABD">
              <w:rPr>
                <w:rFonts w:ascii="Times New Roman" w:eastAsia="Times New Roman" w:hAnsi="Times New Roman" w:cs="Times New Roman"/>
                <w:position w:val="0"/>
                <w:sz w:val="24"/>
                <w:szCs w:val="24"/>
                <w:lang w:val="en-GB"/>
              </w:rPr>
              <w:br/>
              <w:t>Hoặc sản phẩm có thông số tương đương</w:t>
            </w:r>
          </w:p>
        </w:tc>
      </w:tr>
      <w:tr w:rsidR="000820E0" w:rsidRPr="00915CA8" w14:paraId="3E1E9535" w14:textId="77777777" w:rsidTr="0082252B">
        <w:trPr>
          <w:trHeight w:val="8192"/>
        </w:trPr>
        <w:tc>
          <w:tcPr>
            <w:tcW w:w="2405" w:type="dxa"/>
            <w:tcBorders>
              <w:top w:val="nil"/>
              <w:left w:val="single" w:sz="4" w:space="0" w:color="auto"/>
              <w:bottom w:val="nil"/>
              <w:right w:val="single" w:sz="4" w:space="0" w:color="auto"/>
            </w:tcBorders>
            <w:hideMark/>
          </w:tcPr>
          <w:p w14:paraId="4CCBBE30"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Môi trường nuôi cấy tế bào miễn dịch, không chứa phenol red và kháng sinh</w:t>
            </w:r>
          </w:p>
        </w:tc>
        <w:tc>
          <w:tcPr>
            <w:tcW w:w="1134" w:type="dxa"/>
            <w:tcBorders>
              <w:top w:val="nil"/>
              <w:left w:val="nil"/>
              <w:bottom w:val="nil"/>
              <w:right w:val="single" w:sz="4" w:space="0" w:color="auto"/>
            </w:tcBorders>
            <w:hideMark/>
          </w:tcPr>
          <w:p w14:paraId="3F4C13D3"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w:t>
            </w:r>
          </w:p>
        </w:tc>
        <w:tc>
          <w:tcPr>
            <w:tcW w:w="851" w:type="dxa"/>
            <w:tcBorders>
              <w:top w:val="nil"/>
              <w:left w:val="nil"/>
              <w:bottom w:val="nil"/>
              <w:right w:val="single" w:sz="4" w:space="0" w:color="auto"/>
            </w:tcBorders>
            <w:hideMark/>
          </w:tcPr>
          <w:p w14:paraId="64A15E11"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 00ml</w:t>
            </w:r>
          </w:p>
        </w:tc>
        <w:tc>
          <w:tcPr>
            <w:tcW w:w="1069" w:type="dxa"/>
            <w:tcBorders>
              <w:top w:val="nil"/>
              <w:left w:val="nil"/>
              <w:bottom w:val="nil"/>
              <w:right w:val="single" w:sz="4" w:space="0" w:color="auto"/>
            </w:tcBorders>
            <w:hideMark/>
          </w:tcPr>
          <w:p w14:paraId="1DA298E8"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20</w:t>
            </w:r>
          </w:p>
        </w:tc>
        <w:tc>
          <w:tcPr>
            <w:tcW w:w="8570" w:type="dxa"/>
            <w:tcBorders>
              <w:top w:val="nil"/>
              <w:left w:val="single" w:sz="4" w:space="0" w:color="auto"/>
              <w:bottom w:val="nil"/>
              <w:right w:val="single" w:sz="4" w:space="0" w:color="auto"/>
            </w:tcBorders>
            <w:hideMark/>
          </w:tcPr>
          <w:p w14:paraId="01D0B0E3"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xml:space="preserve">- Dung dịch là môi trường nuôi cấy tế bào không có huyết thanh, dùng trong tăng sinh và thao tác với tế bào T, tế bào đuôi gai (dendritic cells) và các tế bào miễn dịch khác, được sản xuất tuân thủ cGMP hoặc tương đương. </w:t>
            </w:r>
            <w:r w:rsidRPr="00616ABD">
              <w:rPr>
                <w:rFonts w:ascii="Times New Roman" w:eastAsia="Times New Roman" w:hAnsi="Times New Roman" w:cs="Times New Roman"/>
                <w:position w:val="0"/>
                <w:sz w:val="24"/>
                <w:szCs w:val="24"/>
                <w:lang w:val="en-GB"/>
              </w:rPr>
              <w:br/>
              <w:t>- Thành phần môi trường có chứa L-glutamine, không chứa phenol red, gentamicin sulfate và streptomycin sulfate</w:t>
            </w:r>
            <w:r w:rsidRPr="00616ABD">
              <w:rPr>
                <w:rFonts w:ascii="Times New Roman" w:eastAsia="Times New Roman" w:hAnsi="Times New Roman" w:cs="Times New Roman"/>
                <w:position w:val="0"/>
                <w:sz w:val="24"/>
                <w:szCs w:val="24"/>
                <w:lang w:val="en-GB"/>
              </w:rPr>
              <w:br/>
              <w:t>- Môi trường có thể được bổ sung với huyết thanh của người hoặc các chất bổ sung phù hợp, cùng với các cytokine hoặc yếu tố tăng trưởng khác tùy theo mục đích sử dụng.</w:t>
            </w:r>
            <w:r w:rsidRPr="00616ABD">
              <w:rPr>
                <w:rFonts w:ascii="Times New Roman" w:eastAsia="Times New Roman" w:hAnsi="Times New Roman" w:cs="Times New Roman"/>
                <w:position w:val="0"/>
                <w:sz w:val="24"/>
                <w:szCs w:val="24"/>
                <w:lang w:val="en-GB"/>
              </w:rPr>
              <w:br/>
              <w:t>-Môi trường sử dụng phù hợp với nhiều ứng dụng lâm sàng liên quan đến tế bào miễn dịch như tế bào đuôi gai đã được kích hoạt. Môi trường hỗ trợ mở rộng tế bào T, các phân nhóm tế bào T và tế bào T đặc hiệu virus. Môi trường cũng có thể hỗ trợ tế bào NK kết hợp với feeder cells. Mỗi lô môi trường được đánh giá tiền chất lượng bằng tế bào Jurkat, một dòng tế bào T người bất tử, nhằm đảm bảo hiệu suất nhất quán.</w:t>
            </w:r>
            <w:r w:rsidRPr="00616ABD">
              <w:rPr>
                <w:rFonts w:ascii="Times New Roman" w:eastAsia="Times New Roman" w:hAnsi="Times New Roman" w:cs="Times New Roman"/>
                <w:position w:val="0"/>
                <w:sz w:val="24"/>
                <w:szCs w:val="24"/>
                <w:lang w:val="en-GB"/>
              </w:rPr>
              <w:br/>
              <w:t>- Loại tế bào: Monocytes, Dendritic Cells, T Cells, Hybridomas, PBMCs, Fibroblasts, Macrophages, Myeloma Cells, Lymphocytes</w:t>
            </w:r>
            <w:r w:rsidRPr="00616ABD">
              <w:rPr>
                <w:rFonts w:ascii="Times New Roman" w:eastAsia="Times New Roman" w:hAnsi="Times New Roman" w:cs="Times New Roman"/>
                <w:position w:val="0"/>
                <w:sz w:val="24"/>
                <w:szCs w:val="24"/>
                <w:lang w:val="en-GB"/>
              </w:rPr>
              <w:br/>
              <w:t>- Quy cách: chai 1L</w:t>
            </w:r>
            <w:r w:rsidRPr="00616ABD">
              <w:rPr>
                <w:rFonts w:ascii="Times New Roman" w:eastAsia="Times New Roman" w:hAnsi="Times New Roman" w:cs="Times New Roman"/>
                <w:position w:val="0"/>
                <w:sz w:val="24"/>
                <w:szCs w:val="24"/>
                <w:lang w:val="en-GB"/>
              </w:rPr>
              <w:br/>
              <w:t>- Chất lượng sản xuất : ISO 13485, MDSAP, FDA-registered, 21 CFR 820 hoặc tương đương</w:t>
            </w:r>
            <w:r w:rsidRPr="00616ABD">
              <w:rPr>
                <w:rFonts w:ascii="Times New Roman" w:eastAsia="Times New Roman" w:hAnsi="Times New Roman" w:cs="Times New Roman"/>
                <w:position w:val="0"/>
                <w:sz w:val="24"/>
                <w:szCs w:val="24"/>
                <w:lang w:val="en-GB"/>
              </w:rPr>
              <w:br/>
              <w:t>- Thể tích: 1L</w:t>
            </w:r>
            <w:r w:rsidRPr="00616ABD">
              <w:rPr>
                <w:rFonts w:ascii="Times New Roman" w:eastAsia="Times New Roman" w:hAnsi="Times New Roman" w:cs="Times New Roman"/>
                <w:position w:val="0"/>
                <w:sz w:val="24"/>
                <w:szCs w:val="24"/>
                <w:lang w:val="en-GB"/>
              </w:rPr>
              <w:br/>
              <w:t>- Phân loại: có nguồn gốc động vật</w:t>
            </w:r>
            <w:r w:rsidRPr="00616ABD">
              <w:rPr>
                <w:rFonts w:ascii="Times New Roman" w:eastAsia="Times New Roman" w:hAnsi="Times New Roman" w:cs="Times New Roman"/>
                <w:position w:val="0"/>
                <w:sz w:val="24"/>
                <w:szCs w:val="24"/>
                <w:lang w:val="en-GB"/>
              </w:rPr>
              <w:br/>
              <w:t>- Nồng độ endotoxin: ≤ 1.00 EU/mL</w:t>
            </w:r>
            <w:r w:rsidRPr="00616ABD">
              <w:rPr>
                <w:rFonts w:ascii="Times New Roman" w:eastAsia="Times New Roman" w:hAnsi="Times New Roman" w:cs="Times New Roman"/>
                <w:position w:val="0"/>
                <w:sz w:val="24"/>
                <w:szCs w:val="24"/>
                <w:lang w:val="en-GB"/>
              </w:rPr>
              <w:br/>
              <w:t>- Độ thẩm thấu : 310 đến 340 mOsm/kg</w:t>
            </w:r>
            <w:r w:rsidRPr="00616ABD">
              <w:rPr>
                <w:rFonts w:ascii="Times New Roman" w:eastAsia="Times New Roman" w:hAnsi="Times New Roman" w:cs="Times New Roman"/>
                <w:position w:val="0"/>
                <w:sz w:val="24"/>
                <w:szCs w:val="24"/>
                <w:lang w:val="en-GB"/>
              </w:rPr>
              <w:br/>
              <w:t>- pH: 6.8-7.3</w:t>
            </w:r>
            <w:r w:rsidRPr="00616ABD">
              <w:rPr>
                <w:rFonts w:ascii="Times New Roman" w:eastAsia="Times New Roman" w:hAnsi="Times New Roman" w:cs="Times New Roman"/>
                <w:position w:val="0"/>
                <w:sz w:val="24"/>
                <w:szCs w:val="24"/>
                <w:lang w:val="en-GB"/>
              </w:rPr>
              <w:br/>
              <w:t>- Tiệt trùng: lọc vô trùng</w:t>
            </w:r>
            <w:r w:rsidRPr="00616ABD">
              <w:rPr>
                <w:rFonts w:ascii="Times New Roman" w:eastAsia="Times New Roman" w:hAnsi="Times New Roman" w:cs="Times New Roman"/>
                <w:position w:val="0"/>
                <w:sz w:val="24"/>
                <w:szCs w:val="24"/>
                <w:lang w:val="en-GB"/>
              </w:rPr>
              <w:br/>
              <w:t>Hoặc sản phẩm có thông số tương đương</w:t>
            </w:r>
          </w:p>
        </w:tc>
      </w:tr>
      <w:tr w:rsidR="000820E0" w:rsidRPr="00915CA8" w14:paraId="3218F572" w14:textId="77777777" w:rsidTr="0082252B">
        <w:trPr>
          <w:trHeight w:val="6720"/>
        </w:trPr>
        <w:tc>
          <w:tcPr>
            <w:tcW w:w="2405" w:type="dxa"/>
            <w:tcBorders>
              <w:top w:val="single" w:sz="4" w:space="0" w:color="auto"/>
              <w:left w:val="single" w:sz="4" w:space="0" w:color="auto"/>
              <w:bottom w:val="single" w:sz="4" w:space="0" w:color="auto"/>
              <w:right w:val="single" w:sz="4" w:space="0" w:color="auto"/>
            </w:tcBorders>
            <w:hideMark/>
          </w:tcPr>
          <w:p w14:paraId="364EFA8F"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lastRenderedPageBreak/>
              <w:t>Dung dịch bổ sung Insulin-Transferrin-Selenium-Ethanolamine, 100X</w:t>
            </w:r>
          </w:p>
        </w:tc>
        <w:tc>
          <w:tcPr>
            <w:tcW w:w="1134" w:type="dxa"/>
            <w:tcBorders>
              <w:top w:val="single" w:sz="4" w:space="0" w:color="auto"/>
              <w:left w:val="nil"/>
              <w:bottom w:val="single" w:sz="4" w:space="0" w:color="auto"/>
              <w:right w:val="single" w:sz="4" w:space="0" w:color="auto"/>
            </w:tcBorders>
            <w:hideMark/>
          </w:tcPr>
          <w:p w14:paraId="0EEF0470"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100mL / chai</w:t>
            </w:r>
          </w:p>
        </w:tc>
        <w:tc>
          <w:tcPr>
            <w:tcW w:w="851" w:type="dxa"/>
            <w:tcBorders>
              <w:top w:val="single" w:sz="4" w:space="0" w:color="auto"/>
              <w:left w:val="nil"/>
              <w:bottom w:val="single" w:sz="4" w:space="0" w:color="auto"/>
              <w:right w:val="single" w:sz="4" w:space="0" w:color="auto"/>
            </w:tcBorders>
            <w:hideMark/>
          </w:tcPr>
          <w:p w14:paraId="0289F0EB"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Chai</w:t>
            </w:r>
          </w:p>
        </w:tc>
        <w:tc>
          <w:tcPr>
            <w:tcW w:w="1069" w:type="dxa"/>
            <w:tcBorders>
              <w:top w:val="single" w:sz="4" w:space="0" w:color="auto"/>
              <w:left w:val="nil"/>
              <w:bottom w:val="single" w:sz="4" w:space="0" w:color="auto"/>
              <w:right w:val="single" w:sz="4" w:space="0" w:color="auto"/>
            </w:tcBorders>
            <w:hideMark/>
          </w:tcPr>
          <w:p w14:paraId="00EC0BA4"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3</w:t>
            </w:r>
          </w:p>
        </w:tc>
        <w:tc>
          <w:tcPr>
            <w:tcW w:w="8570" w:type="dxa"/>
            <w:tcBorders>
              <w:top w:val="single" w:sz="4" w:space="0" w:color="auto"/>
              <w:left w:val="nil"/>
              <w:bottom w:val="single" w:sz="4" w:space="0" w:color="auto"/>
              <w:right w:val="single" w:sz="4" w:space="0" w:color="auto"/>
            </w:tcBorders>
            <w:hideMark/>
          </w:tcPr>
          <w:p w14:paraId="7A8742C2"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r w:rsidRPr="00616ABD">
              <w:rPr>
                <w:rFonts w:ascii="Times New Roman" w:eastAsia="Times New Roman" w:hAnsi="Times New Roman" w:cs="Times New Roman"/>
                <w:position w:val="0"/>
                <w:sz w:val="24"/>
                <w:szCs w:val="24"/>
                <w:lang w:val="en-GB"/>
              </w:rPr>
              <w:t>- Dung dịch chứa Insulin-Transferrin-Selenium-Ethanolamine (ITS-X) được sử dụng như chất bổ sung vào môi trường, dung dịch không chứa các thành phần có nguồn gốc động vật (AOF), được sử dụng để giảm lượng huyết thanh bò thai (FBS) cần thiết trong nuôi cấy tế bào.</w:t>
            </w:r>
            <w:r w:rsidRPr="00616ABD">
              <w:rPr>
                <w:rFonts w:ascii="Times New Roman" w:eastAsia="Times New Roman" w:hAnsi="Times New Roman" w:cs="Times New Roman"/>
                <w:position w:val="0"/>
                <w:sz w:val="24"/>
                <w:szCs w:val="24"/>
                <w:lang w:val="en-GB"/>
              </w:rPr>
              <w:br/>
              <w:t>- Insulin và transferrin trong công thức ITS-X Select được sản xuất thông qua hệ thống biểu hiện tái tổ hợp không phải động vật có vú.</w:t>
            </w:r>
            <w:r w:rsidRPr="00616ABD">
              <w:rPr>
                <w:rFonts w:ascii="Times New Roman" w:eastAsia="Times New Roman" w:hAnsi="Times New Roman" w:cs="Times New Roman"/>
                <w:position w:val="0"/>
                <w:sz w:val="24"/>
                <w:szCs w:val="24"/>
                <w:lang w:val="en-GB"/>
              </w:rPr>
              <w:br/>
              <w:t>- Dung dịch thường được sử dụng kết hợp với 2–4% FBS để hỗ trợ các loại tế bào cần ethanolamine, chẳng hạn như tế bào biểu mô phế quản.</w:t>
            </w:r>
            <w:r w:rsidRPr="00616ABD">
              <w:rPr>
                <w:rFonts w:ascii="Times New Roman" w:eastAsia="Times New Roman" w:hAnsi="Times New Roman" w:cs="Times New Roman"/>
                <w:position w:val="0"/>
                <w:sz w:val="24"/>
                <w:szCs w:val="24"/>
                <w:lang w:val="en-GB"/>
              </w:rPr>
              <w:br/>
              <w:t>- Sản phẩm chứa:</w:t>
            </w:r>
            <w:r w:rsidRPr="00616ABD">
              <w:rPr>
                <w:rFonts w:ascii="Times New Roman" w:eastAsia="Times New Roman" w:hAnsi="Times New Roman" w:cs="Times New Roman"/>
                <w:position w:val="0"/>
                <w:sz w:val="24"/>
                <w:szCs w:val="24"/>
                <w:lang w:val="en-GB"/>
              </w:rPr>
              <w:br/>
              <w:t>• Insulin: 1000.0 mg/mL</w:t>
            </w:r>
            <w:r w:rsidRPr="00616ABD">
              <w:rPr>
                <w:rFonts w:ascii="Times New Roman" w:eastAsia="Times New Roman" w:hAnsi="Times New Roman" w:cs="Times New Roman"/>
                <w:position w:val="0"/>
                <w:sz w:val="24"/>
                <w:szCs w:val="24"/>
                <w:lang w:val="en-GB"/>
              </w:rPr>
              <w:br/>
              <w:t>• Transferrin: 550.0 mg/mL</w:t>
            </w:r>
            <w:r w:rsidRPr="00616ABD">
              <w:rPr>
                <w:rFonts w:ascii="Times New Roman" w:eastAsia="Times New Roman" w:hAnsi="Times New Roman" w:cs="Times New Roman"/>
                <w:position w:val="0"/>
                <w:sz w:val="24"/>
                <w:szCs w:val="24"/>
                <w:lang w:val="en-GB"/>
              </w:rPr>
              <w:br/>
              <w:t>• Sodium selenite: 0.67 mg/mL</w:t>
            </w:r>
            <w:r w:rsidRPr="00616ABD">
              <w:rPr>
                <w:rFonts w:ascii="Times New Roman" w:eastAsia="Times New Roman" w:hAnsi="Times New Roman" w:cs="Times New Roman"/>
                <w:position w:val="0"/>
                <w:sz w:val="24"/>
                <w:szCs w:val="24"/>
                <w:lang w:val="en-GB"/>
              </w:rPr>
              <w:br/>
              <w:t>• Ethanolamine: 200.0 mg/mL</w:t>
            </w:r>
            <w:r w:rsidRPr="00616ABD">
              <w:rPr>
                <w:rFonts w:ascii="Times New Roman" w:eastAsia="Times New Roman" w:hAnsi="Times New Roman" w:cs="Times New Roman"/>
                <w:position w:val="0"/>
                <w:sz w:val="24"/>
                <w:szCs w:val="24"/>
                <w:lang w:val="en-GB"/>
              </w:rPr>
              <w:br/>
              <w:t>- San phẩm được sản xuất tại cơ sở tuân thủ cGMP, FDA, theo tiêu chuẩn ISO 13485 hoặc tương đương</w:t>
            </w:r>
            <w:r w:rsidRPr="00616ABD">
              <w:rPr>
                <w:rFonts w:ascii="Times New Roman" w:eastAsia="Times New Roman" w:hAnsi="Times New Roman" w:cs="Times New Roman"/>
                <w:position w:val="0"/>
                <w:sz w:val="24"/>
                <w:szCs w:val="24"/>
                <w:lang w:val="en-GB"/>
              </w:rPr>
              <w:br/>
              <w:t>- Nồng độ: 100X</w:t>
            </w:r>
            <w:r w:rsidRPr="00616ABD">
              <w:rPr>
                <w:rFonts w:ascii="Times New Roman" w:eastAsia="Times New Roman" w:hAnsi="Times New Roman" w:cs="Times New Roman"/>
                <w:position w:val="0"/>
                <w:sz w:val="24"/>
                <w:szCs w:val="24"/>
                <w:lang w:val="en-GB"/>
              </w:rPr>
              <w:br/>
              <w:t>- Loại nuôi cấy: nuôi cấy tế bào động vật có vú</w:t>
            </w:r>
            <w:r w:rsidRPr="00616ABD">
              <w:rPr>
                <w:rFonts w:ascii="Times New Roman" w:eastAsia="Times New Roman" w:hAnsi="Times New Roman" w:cs="Times New Roman"/>
                <w:position w:val="0"/>
                <w:sz w:val="24"/>
                <w:szCs w:val="24"/>
                <w:lang w:val="en-GB"/>
              </w:rPr>
              <w:br/>
              <w:t>- Nồng độ endotoxin: ≤ 1.00 EU/mL</w:t>
            </w:r>
            <w:r w:rsidRPr="00616ABD">
              <w:rPr>
                <w:rFonts w:ascii="Times New Roman" w:eastAsia="Times New Roman" w:hAnsi="Times New Roman" w:cs="Times New Roman"/>
                <w:position w:val="0"/>
                <w:sz w:val="24"/>
                <w:szCs w:val="24"/>
                <w:lang w:val="en-GB"/>
              </w:rPr>
              <w:br/>
              <w:t>- Chất lượng sản xuất : Tuân thủ cGMP theo tiêu chuẩn ISO 13485 hoặc tương đương</w:t>
            </w:r>
            <w:r w:rsidRPr="00616ABD">
              <w:rPr>
                <w:rFonts w:ascii="Times New Roman" w:eastAsia="Times New Roman" w:hAnsi="Times New Roman" w:cs="Times New Roman"/>
                <w:position w:val="0"/>
                <w:sz w:val="24"/>
                <w:szCs w:val="24"/>
                <w:lang w:val="en-GB"/>
              </w:rPr>
              <w:br/>
              <w:t>- Độ thẩm thấu : 275 đến 310 mOsm/kg</w:t>
            </w:r>
            <w:r w:rsidRPr="00616ABD">
              <w:rPr>
                <w:rFonts w:ascii="Times New Roman" w:eastAsia="Times New Roman" w:hAnsi="Times New Roman" w:cs="Times New Roman"/>
                <w:position w:val="0"/>
                <w:sz w:val="24"/>
                <w:szCs w:val="24"/>
                <w:lang w:val="en-GB"/>
              </w:rPr>
              <w:br/>
              <w:t>- Thể tích: 100 mL (dạng dung dịch)</w:t>
            </w:r>
            <w:r w:rsidRPr="00616ABD">
              <w:rPr>
                <w:rFonts w:ascii="Times New Roman" w:eastAsia="Times New Roman" w:hAnsi="Times New Roman" w:cs="Times New Roman"/>
                <w:position w:val="0"/>
                <w:sz w:val="24"/>
                <w:szCs w:val="24"/>
                <w:lang w:val="en-GB"/>
              </w:rPr>
              <w:br/>
              <w:t xml:space="preserve">- Loại sản phẩm: Chất bổ sung môi trường nuôi cấy tế bào </w:t>
            </w:r>
            <w:r w:rsidRPr="00616ABD">
              <w:rPr>
                <w:rFonts w:ascii="Times New Roman" w:eastAsia="Times New Roman" w:hAnsi="Times New Roman" w:cs="Times New Roman"/>
                <w:position w:val="0"/>
                <w:sz w:val="24"/>
                <w:szCs w:val="24"/>
                <w:lang w:val="en-GB"/>
              </w:rPr>
              <w:br/>
              <w:t>- Vô trùng</w:t>
            </w:r>
            <w:r w:rsidRPr="00616ABD">
              <w:rPr>
                <w:rFonts w:ascii="Times New Roman" w:eastAsia="Times New Roman" w:hAnsi="Times New Roman" w:cs="Times New Roman"/>
                <w:position w:val="0"/>
                <w:sz w:val="24"/>
                <w:szCs w:val="24"/>
                <w:lang w:val="en-GB"/>
              </w:rPr>
              <w:br/>
              <w:t>- pH: 7.8 đến 9.5</w:t>
            </w:r>
            <w:r w:rsidRPr="00616ABD">
              <w:rPr>
                <w:rFonts w:ascii="Times New Roman" w:eastAsia="Times New Roman" w:hAnsi="Times New Roman" w:cs="Times New Roman"/>
                <w:position w:val="0"/>
                <w:sz w:val="24"/>
                <w:szCs w:val="24"/>
                <w:lang w:val="en-GB"/>
              </w:rPr>
              <w:br/>
              <w:t>- Điều kiện bảo quản: 2°C đến 8°C</w:t>
            </w:r>
            <w:r w:rsidRPr="00616ABD">
              <w:rPr>
                <w:rFonts w:ascii="Times New Roman" w:eastAsia="Times New Roman" w:hAnsi="Times New Roman" w:cs="Times New Roman"/>
                <w:position w:val="0"/>
                <w:sz w:val="24"/>
                <w:szCs w:val="24"/>
                <w:lang w:val="en-GB"/>
              </w:rPr>
              <w:br/>
              <w:t>Hoặc sản phẩm có thông số tương đương</w:t>
            </w:r>
          </w:p>
        </w:tc>
      </w:tr>
      <w:tr w:rsidR="000820E0" w:rsidRPr="00915CA8" w14:paraId="71E67C8C" w14:textId="77777777" w:rsidTr="0082252B">
        <w:trPr>
          <w:trHeight w:val="276"/>
        </w:trPr>
        <w:tc>
          <w:tcPr>
            <w:tcW w:w="2405" w:type="dxa"/>
            <w:tcBorders>
              <w:top w:val="nil"/>
              <w:left w:val="nil"/>
              <w:bottom w:val="nil"/>
              <w:right w:val="nil"/>
            </w:tcBorders>
            <w:noWrap/>
            <w:vAlign w:val="center"/>
            <w:hideMark/>
          </w:tcPr>
          <w:p w14:paraId="028CEF82"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c>
          <w:tcPr>
            <w:tcW w:w="1134" w:type="dxa"/>
            <w:tcBorders>
              <w:top w:val="nil"/>
              <w:left w:val="nil"/>
              <w:bottom w:val="nil"/>
              <w:right w:val="nil"/>
            </w:tcBorders>
            <w:noWrap/>
            <w:vAlign w:val="center"/>
            <w:hideMark/>
          </w:tcPr>
          <w:p w14:paraId="73CD0093"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c>
          <w:tcPr>
            <w:tcW w:w="851" w:type="dxa"/>
            <w:tcBorders>
              <w:top w:val="nil"/>
              <w:left w:val="nil"/>
              <w:bottom w:val="nil"/>
              <w:right w:val="nil"/>
            </w:tcBorders>
            <w:noWrap/>
            <w:vAlign w:val="center"/>
            <w:hideMark/>
          </w:tcPr>
          <w:p w14:paraId="1A9C0A02"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p>
        </w:tc>
        <w:tc>
          <w:tcPr>
            <w:tcW w:w="1069" w:type="dxa"/>
            <w:tcBorders>
              <w:top w:val="nil"/>
              <w:left w:val="nil"/>
              <w:bottom w:val="nil"/>
              <w:right w:val="nil"/>
            </w:tcBorders>
            <w:noWrap/>
            <w:vAlign w:val="center"/>
            <w:hideMark/>
          </w:tcPr>
          <w:p w14:paraId="6F38A9D8"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p>
        </w:tc>
        <w:tc>
          <w:tcPr>
            <w:tcW w:w="8570" w:type="dxa"/>
            <w:tcBorders>
              <w:top w:val="nil"/>
              <w:left w:val="nil"/>
              <w:bottom w:val="nil"/>
              <w:right w:val="nil"/>
            </w:tcBorders>
            <w:noWrap/>
            <w:vAlign w:val="center"/>
            <w:hideMark/>
          </w:tcPr>
          <w:p w14:paraId="6BD8A95E"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r>
      <w:tr w:rsidR="000820E0" w:rsidRPr="00915CA8" w14:paraId="5DA350C8" w14:textId="77777777" w:rsidTr="0082252B">
        <w:trPr>
          <w:trHeight w:val="276"/>
        </w:trPr>
        <w:tc>
          <w:tcPr>
            <w:tcW w:w="2405" w:type="dxa"/>
            <w:tcBorders>
              <w:top w:val="nil"/>
              <w:left w:val="nil"/>
              <w:bottom w:val="nil"/>
              <w:right w:val="nil"/>
            </w:tcBorders>
            <w:noWrap/>
            <w:vAlign w:val="center"/>
            <w:hideMark/>
          </w:tcPr>
          <w:p w14:paraId="3244FB60"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c>
          <w:tcPr>
            <w:tcW w:w="1134" w:type="dxa"/>
            <w:tcBorders>
              <w:top w:val="nil"/>
              <w:left w:val="nil"/>
              <w:bottom w:val="nil"/>
              <w:right w:val="nil"/>
            </w:tcBorders>
            <w:noWrap/>
            <w:vAlign w:val="center"/>
            <w:hideMark/>
          </w:tcPr>
          <w:p w14:paraId="1B6C56BD"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c>
          <w:tcPr>
            <w:tcW w:w="851" w:type="dxa"/>
            <w:tcBorders>
              <w:top w:val="nil"/>
              <w:left w:val="nil"/>
              <w:bottom w:val="nil"/>
              <w:right w:val="nil"/>
            </w:tcBorders>
            <w:noWrap/>
            <w:vAlign w:val="center"/>
            <w:hideMark/>
          </w:tcPr>
          <w:p w14:paraId="2648415E"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p>
        </w:tc>
        <w:tc>
          <w:tcPr>
            <w:tcW w:w="1069" w:type="dxa"/>
            <w:tcBorders>
              <w:top w:val="nil"/>
              <w:left w:val="nil"/>
              <w:bottom w:val="nil"/>
              <w:right w:val="nil"/>
            </w:tcBorders>
            <w:noWrap/>
            <w:vAlign w:val="center"/>
            <w:hideMark/>
          </w:tcPr>
          <w:p w14:paraId="3D00692C" w14:textId="77777777" w:rsidR="000820E0" w:rsidRPr="00616ABD" w:rsidRDefault="000820E0" w:rsidP="0082252B">
            <w:pPr>
              <w:suppressAutoHyphens w:val="0"/>
              <w:spacing w:before="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rPr>
            </w:pPr>
          </w:p>
        </w:tc>
        <w:tc>
          <w:tcPr>
            <w:tcW w:w="8570" w:type="dxa"/>
            <w:tcBorders>
              <w:top w:val="nil"/>
              <w:left w:val="nil"/>
              <w:bottom w:val="nil"/>
              <w:right w:val="nil"/>
            </w:tcBorders>
            <w:noWrap/>
            <w:vAlign w:val="center"/>
            <w:hideMark/>
          </w:tcPr>
          <w:p w14:paraId="53CF9566" w14:textId="77777777" w:rsidR="000820E0" w:rsidRPr="00616ABD" w:rsidRDefault="000820E0" w:rsidP="0082252B">
            <w:pPr>
              <w:suppressAutoHyphens w:val="0"/>
              <w:spacing w:before="0"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val="en-GB"/>
              </w:rPr>
            </w:pPr>
          </w:p>
        </w:tc>
      </w:tr>
    </w:tbl>
    <w:p w14:paraId="49A15C73" w14:textId="7F6EABD8" w:rsidR="000820E0" w:rsidRDefault="000820E0">
      <w:pPr>
        <w:ind w:left="0" w:hanging="2"/>
      </w:pPr>
    </w:p>
    <w:sectPr w:rsidR="000820E0" w:rsidSect="000820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DC5B" w14:textId="77777777" w:rsidR="00EE05ED" w:rsidRDefault="00EE05ED" w:rsidP="000820E0">
      <w:pPr>
        <w:spacing w:before="0" w:after="0" w:line="240" w:lineRule="auto"/>
        <w:ind w:left="0" w:hanging="2"/>
      </w:pPr>
      <w:r>
        <w:separator/>
      </w:r>
    </w:p>
  </w:endnote>
  <w:endnote w:type="continuationSeparator" w:id="0">
    <w:p w14:paraId="7C92B0E4" w14:textId="77777777" w:rsidR="00EE05ED" w:rsidRDefault="00EE05ED" w:rsidP="000820E0">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3"/>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14FB" w14:textId="77777777" w:rsidR="00EE05ED" w:rsidRDefault="00EE05ED" w:rsidP="000820E0">
      <w:pPr>
        <w:spacing w:before="0" w:after="0" w:line="240" w:lineRule="auto"/>
        <w:ind w:left="0" w:hanging="2"/>
      </w:pPr>
      <w:r>
        <w:separator/>
      </w:r>
    </w:p>
  </w:footnote>
  <w:footnote w:type="continuationSeparator" w:id="0">
    <w:p w14:paraId="603533BA" w14:textId="77777777" w:rsidR="00EE05ED" w:rsidRDefault="00EE05ED" w:rsidP="000820E0">
      <w:pPr>
        <w:spacing w:before="0"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08"/>
    <w:multiLevelType w:val="hybridMultilevel"/>
    <w:tmpl w:val="4B36CD56"/>
    <w:lvl w:ilvl="0" w:tplc="956CDDD4">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D2D91"/>
    <w:multiLevelType w:val="multilevel"/>
    <w:tmpl w:val="7A00D24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3125E"/>
    <w:multiLevelType w:val="hybridMultilevel"/>
    <w:tmpl w:val="ACEEAC52"/>
    <w:lvl w:ilvl="0" w:tplc="705279A0">
      <w:start w:val="1"/>
      <w:numFmt w:val="decimal"/>
      <w:lvlText w:val="Điều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8636B"/>
    <w:multiLevelType w:val="hybridMultilevel"/>
    <w:tmpl w:val="1BFC0888"/>
    <w:lvl w:ilvl="0" w:tplc="8FCCF4E8">
      <w:numFmt w:val="decimal"/>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457345">
    <w:abstractNumId w:val="2"/>
  </w:num>
  <w:num w:numId="2" w16cid:durableId="1933050153">
    <w:abstractNumId w:val="3"/>
  </w:num>
  <w:num w:numId="3" w16cid:durableId="1440755822">
    <w:abstractNumId w:val="0"/>
  </w:num>
  <w:num w:numId="4" w16cid:durableId="2091540004">
    <w:abstractNumId w:val="1"/>
  </w:num>
  <w:num w:numId="5" w16cid:durableId="121847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238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CF"/>
    <w:rsid w:val="000820E0"/>
    <w:rsid w:val="0023144D"/>
    <w:rsid w:val="003B6340"/>
    <w:rsid w:val="00484331"/>
    <w:rsid w:val="005F39CF"/>
    <w:rsid w:val="007100D2"/>
    <w:rsid w:val="00744C62"/>
    <w:rsid w:val="009F4A03"/>
    <w:rsid w:val="00EE05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C789F"/>
  <w15:chartTrackingRefBased/>
  <w15:docId w15:val="{D86BB121-1F15-43B1-AFC4-6A90827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Angsana New"/>
        <w:sz w:val="24"/>
        <w:szCs w:val="30"/>
        <w:lang w:val="en-GB"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20E0"/>
    <w:pPr>
      <w:suppressAutoHyphens/>
      <w:spacing w:before="120" w:after="200" w:line="276" w:lineRule="auto"/>
      <w:ind w:leftChars="-1" w:left="-1" w:hangingChars="1" w:hanging="1"/>
      <w:jc w:val="both"/>
      <w:textDirection w:val="btLr"/>
      <w:textAlignment w:val="top"/>
      <w:outlineLvl w:val="0"/>
    </w:pPr>
    <w:rPr>
      <w:rFonts w:ascii="Calibri" w:eastAsia="Calibri" w:hAnsi="Calibri" w:cs="Calibri"/>
      <w:position w:val="-1"/>
      <w:sz w:val="22"/>
      <w:szCs w:val="28"/>
      <w:lang w:val="en-US"/>
      <w14:ligatures w14:val="none"/>
    </w:rPr>
  </w:style>
  <w:style w:type="paragraph" w:styleId="Heading1">
    <w:name w:val="heading 1"/>
    <w:basedOn w:val="Normal"/>
    <w:next w:val="Normal"/>
    <w:link w:val="Heading1Char"/>
    <w:uiPriority w:val="9"/>
    <w:qFormat/>
    <w:rsid w:val="00484331"/>
    <w:pPr>
      <w:keepNext/>
      <w:keepLines/>
      <w:suppressAutoHyphens w:val="0"/>
      <w:spacing w:before="240" w:after="0" w:line="360" w:lineRule="auto"/>
      <w:ind w:leftChars="0" w:left="0" w:firstLineChars="0" w:firstLine="0"/>
      <w:jc w:val="center"/>
      <w:textDirection w:val="lrTb"/>
      <w:textAlignment w:val="auto"/>
    </w:pPr>
    <w:rPr>
      <w:rFonts w:asciiTheme="majorHAnsi" w:eastAsiaTheme="majorEastAsia" w:hAnsiTheme="majorHAnsi" w:cstheme="majorBidi"/>
      <w:b/>
      <w:position w:val="0"/>
      <w:sz w:val="26"/>
      <w:szCs w:val="32"/>
      <w14:ligatures w14:val="standardContextual"/>
    </w:rPr>
  </w:style>
  <w:style w:type="paragraph" w:styleId="Heading2">
    <w:name w:val="heading 2"/>
    <w:basedOn w:val="Normal"/>
    <w:link w:val="Heading2Char"/>
    <w:autoRedefine/>
    <w:uiPriority w:val="9"/>
    <w:qFormat/>
    <w:rsid w:val="00484331"/>
    <w:pPr>
      <w:numPr>
        <w:numId w:val="4"/>
      </w:numPr>
      <w:suppressAutoHyphens w:val="0"/>
      <w:spacing w:before="100" w:beforeAutospacing="1" w:after="100" w:afterAutospacing="1" w:line="360" w:lineRule="auto"/>
      <w:ind w:leftChars="0" w:left="357" w:firstLineChars="0"/>
      <w:contextualSpacing/>
      <w:textDirection w:val="lrTb"/>
      <w:textAlignment w:val="auto"/>
      <w:outlineLvl w:val="1"/>
    </w:pPr>
    <w:rPr>
      <w:rFonts w:ascii="Times New Roman" w:eastAsia="Times New Roman" w:hAnsi="Times New Roman" w:cs="Times New Roman"/>
      <w:b/>
      <w:bCs/>
      <w:position w:val="0"/>
      <w:sz w:val="26"/>
      <w:szCs w:val="36"/>
      <w14:ligatures w14:val="standardContextual"/>
    </w:rPr>
  </w:style>
  <w:style w:type="paragraph" w:styleId="Heading3">
    <w:name w:val="heading 3"/>
    <w:basedOn w:val="Normal"/>
    <w:next w:val="Normal"/>
    <w:link w:val="Heading3Char"/>
    <w:autoRedefine/>
    <w:uiPriority w:val="9"/>
    <w:unhideWhenUsed/>
    <w:qFormat/>
    <w:rsid w:val="00484331"/>
    <w:pPr>
      <w:keepNext/>
      <w:keepLines/>
      <w:tabs>
        <w:tab w:val="num" w:pos="720"/>
      </w:tabs>
      <w:suppressAutoHyphens w:val="0"/>
      <w:spacing w:before="0" w:after="0" w:line="360" w:lineRule="auto"/>
      <w:ind w:leftChars="0" w:left="717" w:firstLineChars="0" w:hanging="360"/>
      <w:textDirection w:val="lrTb"/>
      <w:textAlignment w:val="auto"/>
      <w:outlineLvl w:val="2"/>
    </w:pPr>
    <w:rPr>
      <w:rFonts w:asciiTheme="majorHAnsi" w:eastAsiaTheme="majorEastAsia" w:hAnsiTheme="majorHAnsi" w:cstheme="majorBidi"/>
      <w:position w:val="0"/>
      <w:sz w:val="26"/>
      <w:szCs w:val="24"/>
      <w14:ligatures w14:val="standardContextual"/>
    </w:rPr>
  </w:style>
  <w:style w:type="paragraph" w:styleId="Heading4">
    <w:name w:val="heading 4"/>
    <w:basedOn w:val="Normal"/>
    <w:next w:val="Normal"/>
    <w:link w:val="Heading4Char"/>
    <w:autoRedefine/>
    <w:uiPriority w:val="9"/>
    <w:unhideWhenUsed/>
    <w:qFormat/>
    <w:rsid w:val="00484331"/>
    <w:pPr>
      <w:keepNext/>
      <w:keepLines/>
      <w:tabs>
        <w:tab w:val="num" w:pos="720"/>
      </w:tabs>
      <w:suppressAutoHyphens w:val="0"/>
      <w:spacing w:before="40" w:after="0" w:line="360" w:lineRule="auto"/>
      <w:ind w:leftChars="0" w:left="720" w:firstLineChars="0" w:hanging="360"/>
      <w:textDirection w:val="lrTb"/>
      <w:textAlignment w:val="auto"/>
      <w:outlineLvl w:val="3"/>
    </w:pPr>
    <w:rPr>
      <w:rFonts w:asciiTheme="majorHAnsi" w:eastAsiaTheme="majorEastAsia" w:hAnsiTheme="majorHAnsi" w:cstheme="majorBidi"/>
      <w:iCs/>
      <w:position w:val="0"/>
      <w:sz w:val="26"/>
      <w:szCs w:val="30"/>
      <w14:ligatures w14:val="standardContextual"/>
    </w:rPr>
  </w:style>
  <w:style w:type="paragraph" w:styleId="Heading5">
    <w:name w:val="heading 5"/>
    <w:basedOn w:val="Normal"/>
    <w:next w:val="Normal"/>
    <w:link w:val="Heading5Char"/>
    <w:uiPriority w:val="9"/>
    <w:semiHidden/>
    <w:unhideWhenUsed/>
    <w:qFormat/>
    <w:rsid w:val="005F39CF"/>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0F4761" w:themeColor="accent1" w:themeShade="BF"/>
      <w:position w:val="0"/>
      <w:sz w:val="24"/>
      <w:szCs w:val="30"/>
      <w:lang w:val="en-GB"/>
      <w14:ligatures w14:val="standardContextual"/>
    </w:rPr>
  </w:style>
  <w:style w:type="paragraph" w:styleId="Heading6">
    <w:name w:val="heading 6"/>
    <w:basedOn w:val="Normal"/>
    <w:next w:val="Normal"/>
    <w:link w:val="Heading6Char"/>
    <w:uiPriority w:val="9"/>
    <w:semiHidden/>
    <w:unhideWhenUsed/>
    <w:qFormat/>
    <w:rsid w:val="005F39CF"/>
    <w:pPr>
      <w:keepNext/>
      <w:keepLines/>
      <w:suppressAutoHyphens w:val="0"/>
      <w:spacing w:before="40" w:after="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position w:val="0"/>
      <w:sz w:val="24"/>
      <w:szCs w:val="30"/>
      <w:lang w:val="en-GB"/>
      <w14:ligatures w14:val="standardContextual"/>
    </w:rPr>
  </w:style>
  <w:style w:type="paragraph" w:styleId="Heading7">
    <w:name w:val="heading 7"/>
    <w:basedOn w:val="Normal"/>
    <w:next w:val="Normal"/>
    <w:link w:val="Heading7Char"/>
    <w:uiPriority w:val="9"/>
    <w:semiHidden/>
    <w:unhideWhenUsed/>
    <w:qFormat/>
    <w:rsid w:val="005F39CF"/>
    <w:pPr>
      <w:keepNext/>
      <w:keepLines/>
      <w:suppressAutoHyphens w:val="0"/>
      <w:spacing w:before="40" w:after="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position w:val="0"/>
      <w:sz w:val="24"/>
      <w:szCs w:val="30"/>
      <w:lang w:val="en-GB"/>
      <w14:ligatures w14:val="standardContextual"/>
    </w:rPr>
  </w:style>
  <w:style w:type="paragraph" w:styleId="Heading8">
    <w:name w:val="heading 8"/>
    <w:basedOn w:val="Normal"/>
    <w:next w:val="Normal"/>
    <w:link w:val="Heading8Char"/>
    <w:uiPriority w:val="9"/>
    <w:semiHidden/>
    <w:unhideWhenUsed/>
    <w:qFormat/>
    <w:rsid w:val="005F39CF"/>
    <w:pPr>
      <w:keepNext/>
      <w:keepLines/>
      <w:suppressAutoHyphens w:val="0"/>
      <w:spacing w:before="0" w:after="0"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position w:val="0"/>
      <w:sz w:val="24"/>
      <w:szCs w:val="30"/>
      <w:lang w:val="en-GB"/>
      <w14:ligatures w14:val="standardContextual"/>
    </w:rPr>
  </w:style>
  <w:style w:type="paragraph" w:styleId="Heading9">
    <w:name w:val="heading 9"/>
    <w:basedOn w:val="Normal"/>
    <w:next w:val="Normal"/>
    <w:link w:val="Heading9Char"/>
    <w:uiPriority w:val="9"/>
    <w:semiHidden/>
    <w:unhideWhenUsed/>
    <w:qFormat/>
    <w:rsid w:val="005F39CF"/>
    <w:pPr>
      <w:keepNext/>
      <w:keepLines/>
      <w:suppressAutoHyphens w:val="0"/>
      <w:spacing w:before="0" w:after="0"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position w:val="0"/>
      <w:sz w:val="24"/>
      <w:szCs w:val="3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331"/>
    <w:rPr>
      <w:rFonts w:asciiTheme="majorHAnsi" w:eastAsiaTheme="majorEastAsia" w:hAnsiTheme="majorHAnsi" w:cstheme="majorBidi"/>
      <w:b/>
      <w:sz w:val="26"/>
      <w:szCs w:val="32"/>
      <w:lang w:val="en-US"/>
    </w:rPr>
  </w:style>
  <w:style w:type="character" w:customStyle="1" w:styleId="Heading2Char">
    <w:name w:val="Heading 2 Char"/>
    <w:basedOn w:val="DefaultParagraphFont"/>
    <w:link w:val="Heading2"/>
    <w:uiPriority w:val="9"/>
    <w:rsid w:val="00484331"/>
    <w:rPr>
      <w:rFonts w:ascii="Times New Roman" w:eastAsia="Times New Roman" w:hAnsi="Times New Roman" w:cs="Times New Roman"/>
      <w:b/>
      <w:bCs/>
      <w:sz w:val="26"/>
      <w:szCs w:val="36"/>
      <w:lang w:val="en-US"/>
    </w:rPr>
  </w:style>
  <w:style w:type="character" w:customStyle="1" w:styleId="Heading3Char">
    <w:name w:val="Heading 3 Char"/>
    <w:basedOn w:val="DefaultParagraphFont"/>
    <w:link w:val="Heading3"/>
    <w:uiPriority w:val="9"/>
    <w:rsid w:val="00484331"/>
    <w:rPr>
      <w:rFonts w:asciiTheme="majorHAnsi" w:eastAsiaTheme="majorEastAsia" w:hAnsiTheme="majorHAnsi" w:cstheme="majorBidi"/>
      <w:sz w:val="26"/>
      <w:szCs w:val="24"/>
      <w:lang w:val="en-US"/>
    </w:rPr>
  </w:style>
  <w:style w:type="character" w:customStyle="1" w:styleId="Heading4Char">
    <w:name w:val="Heading 4 Char"/>
    <w:basedOn w:val="DefaultParagraphFont"/>
    <w:link w:val="Heading4"/>
    <w:uiPriority w:val="9"/>
    <w:rsid w:val="00484331"/>
    <w:rPr>
      <w:rFonts w:asciiTheme="majorHAnsi" w:eastAsiaTheme="majorEastAsia" w:hAnsiTheme="majorHAnsi" w:cstheme="majorBidi"/>
      <w:iCs/>
      <w:sz w:val="26"/>
      <w:lang w:val="en-US"/>
    </w:rPr>
  </w:style>
  <w:style w:type="character" w:customStyle="1" w:styleId="Heading5Char">
    <w:name w:val="Heading 5 Char"/>
    <w:basedOn w:val="DefaultParagraphFont"/>
    <w:link w:val="Heading5"/>
    <w:uiPriority w:val="9"/>
    <w:semiHidden/>
    <w:rsid w:val="005F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9CF"/>
    <w:rPr>
      <w:rFonts w:eastAsiaTheme="majorEastAsia" w:cstheme="majorBidi"/>
      <w:color w:val="272727" w:themeColor="text1" w:themeTint="D8"/>
    </w:rPr>
  </w:style>
  <w:style w:type="paragraph" w:styleId="Title">
    <w:name w:val="Title"/>
    <w:basedOn w:val="Normal"/>
    <w:next w:val="Normal"/>
    <w:link w:val="TitleChar"/>
    <w:uiPriority w:val="10"/>
    <w:qFormat/>
    <w:rsid w:val="005F39CF"/>
    <w:pPr>
      <w:suppressAutoHyphens w:val="0"/>
      <w:spacing w:before="0"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71"/>
      <w:lang w:val="en-GB"/>
      <w14:ligatures w14:val="standardContextual"/>
    </w:rPr>
  </w:style>
  <w:style w:type="character" w:customStyle="1" w:styleId="TitleChar">
    <w:name w:val="Title Char"/>
    <w:basedOn w:val="DefaultParagraphFont"/>
    <w:link w:val="Title"/>
    <w:uiPriority w:val="10"/>
    <w:rsid w:val="005F39C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F39CF"/>
    <w:pPr>
      <w:numPr>
        <w:ilvl w:val="1"/>
      </w:numPr>
      <w:suppressAutoHyphens w:val="0"/>
      <w:spacing w:before="0" w:after="160" w:line="278" w:lineRule="auto"/>
      <w:jc w:val="left"/>
      <w:textDirection w:val="lrTb"/>
      <w:textAlignment w:val="auto"/>
      <w:outlineLvl w:val="9"/>
    </w:pPr>
    <w:rPr>
      <w:rFonts w:asciiTheme="minorHAnsi" w:eastAsiaTheme="majorEastAsia" w:hAnsiTheme="minorHAnsi" w:cstheme="majorBidi"/>
      <w:color w:val="595959" w:themeColor="text1" w:themeTint="A6"/>
      <w:spacing w:val="15"/>
      <w:position w:val="0"/>
      <w:sz w:val="28"/>
      <w:szCs w:val="35"/>
      <w:lang w:val="en-GB"/>
      <w14:ligatures w14:val="standardContextual"/>
    </w:rPr>
  </w:style>
  <w:style w:type="character" w:customStyle="1" w:styleId="SubtitleChar">
    <w:name w:val="Subtitle Char"/>
    <w:basedOn w:val="DefaultParagraphFont"/>
    <w:link w:val="Subtitle"/>
    <w:uiPriority w:val="11"/>
    <w:rsid w:val="005F39C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F39CF"/>
    <w:pPr>
      <w:suppressAutoHyphens w:val="0"/>
      <w:spacing w:before="160" w:after="160" w:line="278" w:lineRule="auto"/>
      <w:ind w:leftChars="0" w:left="0" w:firstLineChars="0" w:firstLine="0"/>
      <w:jc w:val="center"/>
      <w:textDirection w:val="lrTb"/>
      <w:textAlignment w:val="auto"/>
      <w:outlineLvl w:val="9"/>
    </w:pPr>
    <w:rPr>
      <w:rFonts w:asciiTheme="minorHAnsi" w:eastAsiaTheme="minorEastAsia" w:hAnsiTheme="minorHAnsi" w:cs="Angsana New"/>
      <w:i/>
      <w:iCs/>
      <w:color w:val="404040" w:themeColor="text1" w:themeTint="BF"/>
      <w:position w:val="0"/>
      <w:sz w:val="24"/>
      <w:szCs w:val="30"/>
      <w:lang w:val="en-GB"/>
      <w14:ligatures w14:val="standardContextual"/>
    </w:rPr>
  </w:style>
  <w:style w:type="character" w:customStyle="1" w:styleId="QuoteChar">
    <w:name w:val="Quote Char"/>
    <w:basedOn w:val="DefaultParagraphFont"/>
    <w:link w:val="Quote"/>
    <w:uiPriority w:val="29"/>
    <w:rsid w:val="005F39CF"/>
    <w:rPr>
      <w:i/>
      <w:iCs/>
      <w:color w:val="404040" w:themeColor="text1" w:themeTint="BF"/>
    </w:rPr>
  </w:style>
  <w:style w:type="paragraph" w:styleId="ListParagraph">
    <w:name w:val="List Paragraph"/>
    <w:basedOn w:val="Normal"/>
    <w:uiPriority w:val="34"/>
    <w:qFormat/>
    <w:rsid w:val="005F39CF"/>
    <w:pPr>
      <w:suppressAutoHyphens w:val="0"/>
      <w:spacing w:before="0" w:after="160" w:line="278" w:lineRule="auto"/>
      <w:ind w:leftChars="0" w:left="720" w:firstLineChars="0" w:firstLine="0"/>
      <w:contextualSpacing/>
      <w:jc w:val="left"/>
      <w:textDirection w:val="lrTb"/>
      <w:textAlignment w:val="auto"/>
      <w:outlineLvl w:val="9"/>
    </w:pPr>
    <w:rPr>
      <w:rFonts w:asciiTheme="minorHAnsi" w:eastAsiaTheme="minorEastAsia" w:hAnsiTheme="minorHAnsi" w:cs="Angsana New"/>
      <w:position w:val="0"/>
      <w:sz w:val="24"/>
      <w:szCs w:val="30"/>
      <w:lang w:val="en-GB"/>
      <w14:ligatures w14:val="standardContextual"/>
    </w:rPr>
  </w:style>
  <w:style w:type="character" w:styleId="IntenseEmphasis">
    <w:name w:val="Intense Emphasis"/>
    <w:basedOn w:val="DefaultParagraphFont"/>
    <w:uiPriority w:val="21"/>
    <w:qFormat/>
    <w:rsid w:val="005F39CF"/>
    <w:rPr>
      <w:i/>
      <w:iCs/>
      <w:color w:val="0F4761" w:themeColor="accent1" w:themeShade="BF"/>
    </w:rPr>
  </w:style>
  <w:style w:type="paragraph" w:styleId="IntenseQuote">
    <w:name w:val="Intense Quote"/>
    <w:basedOn w:val="Normal"/>
    <w:next w:val="Normal"/>
    <w:link w:val="IntenseQuoteChar"/>
    <w:uiPriority w:val="30"/>
    <w:qFormat/>
    <w:rsid w:val="005F39CF"/>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EastAsia" w:hAnsiTheme="minorHAnsi" w:cs="Angsana New"/>
      <w:i/>
      <w:iCs/>
      <w:color w:val="0F4761" w:themeColor="accent1" w:themeShade="BF"/>
      <w:position w:val="0"/>
      <w:sz w:val="24"/>
      <w:szCs w:val="30"/>
      <w:lang w:val="en-GB"/>
      <w14:ligatures w14:val="standardContextual"/>
    </w:rPr>
  </w:style>
  <w:style w:type="character" w:customStyle="1" w:styleId="IntenseQuoteChar">
    <w:name w:val="Intense Quote Char"/>
    <w:basedOn w:val="DefaultParagraphFont"/>
    <w:link w:val="IntenseQuote"/>
    <w:uiPriority w:val="30"/>
    <w:rsid w:val="005F39CF"/>
    <w:rPr>
      <w:i/>
      <w:iCs/>
      <w:color w:val="0F4761" w:themeColor="accent1" w:themeShade="BF"/>
    </w:rPr>
  </w:style>
  <w:style w:type="character" w:styleId="IntenseReference">
    <w:name w:val="Intense Reference"/>
    <w:basedOn w:val="DefaultParagraphFont"/>
    <w:uiPriority w:val="32"/>
    <w:qFormat/>
    <w:rsid w:val="005F39CF"/>
    <w:rPr>
      <w:b/>
      <w:bCs/>
      <w:smallCaps/>
      <w:color w:val="0F4761" w:themeColor="accent1" w:themeShade="BF"/>
      <w:spacing w:val="5"/>
    </w:rPr>
  </w:style>
  <w:style w:type="paragraph" w:styleId="Header">
    <w:name w:val="header"/>
    <w:basedOn w:val="Normal"/>
    <w:link w:val="HeaderChar"/>
    <w:uiPriority w:val="99"/>
    <w:unhideWhenUsed/>
    <w:rsid w:val="000820E0"/>
    <w:pPr>
      <w:tabs>
        <w:tab w:val="center" w:pos="4513"/>
        <w:tab w:val="right" w:pos="9026"/>
      </w:tabs>
      <w:suppressAutoHyphens w:val="0"/>
      <w:spacing w:before="0" w:after="0" w:line="240" w:lineRule="auto"/>
      <w:ind w:leftChars="0" w:left="0" w:firstLineChars="0" w:firstLine="0"/>
      <w:jc w:val="left"/>
      <w:textDirection w:val="lrTb"/>
      <w:textAlignment w:val="auto"/>
      <w:outlineLvl w:val="9"/>
    </w:pPr>
    <w:rPr>
      <w:rFonts w:asciiTheme="minorHAnsi" w:eastAsiaTheme="minorEastAsia" w:hAnsiTheme="minorHAnsi" w:cs="Angsana New"/>
      <w:position w:val="0"/>
      <w:sz w:val="24"/>
      <w:szCs w:val="30"/>
      <w:lang w:val="en-GB"/>
      <w14:ligatures w14:val="standardContextual"/>
    </w:rPr>
  </w:style>
  <w:style w:type="character" w:customStyle="1" w:styleId="HeaderChar">
    <w:name w:val="Header Char"/>
    <w:basedOn w:val="DefaultParagraphFont"/>
    <w:link w:val="Header"/>
    <w:uiPriority w:val="99"/>
    <w:rsid w:val="000820E0"/>
  </w:style>
  <w:style w:type="paragraph" w:styleId="Footer">
    <w:name w:val="footer"/>
    <w:basedOn w:val="Normal"/>
    <w:link w:val="FooterChar"/>
    <w:uiPriority w:val="99"/>
    <w:unhideWhenUsed/>
    <w:rsid w:val="000820E0"/>
    <w:pPr>
      <w:tabs>
        <w:tab w:val="center" w:pos="4513"/>
        <w:tab w:val="right" w:pos="9026"/>
      </w:tabs>
      <w:suppressAutoHyphens w:val="0"/>
      <w:spacing w:before="0" w:after="0" w:line="240" w:lineRule="auto"/>
      <w:ind w:leftChars="0" w:left="0" w:firstLineChars="0" w:firstLine="0"/>
      <w:jc w:val="left"/>
      <w:textDirection w:val="lrTb"/>
      <w:textAlignment w:val="auto"/>
      <w:outlineLvl w:val="9"/>
    </w:pPr>
    <w:rPr>
      <w:rFonts w:asciiTheme="minorHAnsi" w:eastAsiaTheme="minorEastAsia" w:hAnsiTheme="minorHAnsi" w:cs="Angsana New"/>
      <w:position w:val="0"/>
      <w:sz w:val="24"/>
      <w:szCs w:val="30"/>
      <w:lang w:val="en-GB"/>
      <w14:ligatures w14:val="standardContextual"/>
    </w:rPr>
  </w:style>
  <w:style w:type="character" w:customStyle="1" w:styleId="FooterChar">
    <w:name w:val="Footer Char"/>
    <w:basedOn w:val="DefaultParagraphFont"/>
    <w:link w:val="Footer"/>
    <w:uiPriority w:val="99"/>
    <w:rsid w:val="0008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2</cp:revision>
  <dcterms:created xsi:type="dcterms:W3CDTF">2025-12-25T02:47:00Z</dcterms:created>
  <dcterms:modified xsi:type="dcterms:W3CDTF">2025-12-25T02:48:00Z</dcterms:modified>
</cp:coreProperties>
</file>