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4521"/>
        <w:gridCol w:w="1932"/>
      </w:tblGrid>
      <w:tr w:rsidR="006B19C5" w:rsidRPr="006B19C5" w14:paraId="0844BA2D" w14:textId="77777777" w:rsidTr="00B517F7">
        <w:tc>
          <w:tcPr>
            <w:tcW w:w="7130" w:type="dxa"/>
            <w:gridSpan w:val="2"/>
            <w:vAlign w:val="center"/>
          </w:tcPr>
          <w:p w14:paraId="3A7E6731"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Nội dung đánh giá</w:t>
            </w:r>
          </w:p>
        </w:tc>
        <w:tc>
          <w:tcPr>
            <w:tcW w:w="1932" w:type="dxa"/>
            <w:vAlign w:val="center"/>
          </w:tcPr>
          <w:p w14:paraId="1E499779"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Sử dụng tiêu chí đạt, không đạt</w:t>
            </w:r>
          </w:p>
        </w:tc>
      </w:tr>
      <w:tr w:rsidR="006B19C5" w:rsidRPr="006B19C5" w14:paraId="5797CCD0" w14:textId="77777777" w:rsidTr="00B517F7">
        <w:tc>
          <w:tcPr>
            <w:tcW w:w="9062" w:type="dxa"/>
            <w:gridSpan w:val="3"/>
            <w:vAlign w:val="center"/>
          </w:tcPr>
          <w:p w14:paraId="4FA7132F" w14:textId="77777777" w:rsidR="006B19C5" w:rsidRPr="006B19C5" w:rsidRDefault="006B19C5" w:rsidP="00B517F7">
            <w:pPr>
              <w:widowControl w:val="0"/>
              <w:numPr>
                <w:ilvl w:val="0"/>
                <w:numId w:val="1"/>
              </w:numPr>
              <w:autoSpaceDE w:val="0"/>
              <w:autoSpaceDN w:val="0"/>
              <w:adjustRightInd w:val="0"/>
              <w:spacing w:line="360" w:lineRule="auto"/>
              <w:ind w:right="-14"/>
              <w:rPr>
                <w:rFonts w:eastAsia="Calibri"/>
                <w:b/>
              </w:rPr>
            </w:pPr>
            <w:r w:rsidRPr="006B19C5">
              <w:rPr>
                <w:rFonts w:eastAsia="Calibri"/>
                <w:b/>
              </w:rPr>
              <w:t>Đặc tính kỹ thuật của hàng hóa</w:t>
            </w:r>
          </w:p>
        </w:tc>
      </w:tr>
      <w:tr w:rsidR="006B19C5" w:rsidRPr="006B19C5" w14:paraId="6819E709" w14:textId="77777777" w:rsidTr="00B517F7">
        <w:tc>
          <w:tcPr>
            <w:tcW w:w="2609" w:type="dxa"/>
            <w:vMerge w:val="restart"/>
            <w:vAlign w:val="center"/>
          </w:tcPr>
          <w:p w14:paraId="75992020" w14:textId="77777777" w:rsidR="006B19C5" w:rsidRPr="006B19C5" w:rsidRDefault="006B19C5" w:rsidP="00B517F7">
            <w:pPr>
              <w:widowControl w:val="0"/>
              <w:autoSpaceDE w:val="0"/>
              <w:autoSpaceDN w:val="0"/>
              <w:adjustRightInd w:val="0"/>
              <w:spacing w:line="360" w:lineRule="auto"/>
              <w:ind w:right="-14"/>
              <w:jc w:val="center"/>
              <w:rPr>
                <w:rFonts w:eastAsia="Calibri"/>
                <w:szCs w:val="24"/>
              </w:rPr>
            </w:pPr>
            <w:r w:rsidRPr="006B19C5">
              <w:rPr>
                <w:rFonts w:eastAsia="Calibri"/>
                <w:szCs w:val="24"/>
              </w:rPr>
              <w:t>Đặc tính, thông số kỹ thuật của hàng hóa, tiêu chuẩn sản xuất, tiêu chuẩn chế tạo và công nghệ, bao gồm các yếu tố như kích thước, chủng loại giấy, loại mực in...</w:t>
            </w:r>
          </w:p>
        </w:tc>
        <w:tc>
          <w:tcPr>
            <w:tcW w:w="4521" w:type="dxa"/>
            <w:vAlign w:val="center"/>
          </w:tcPr>
          <w:p w14:paraId="0E72604B" w14:textId="77777777" w:rsidR="006B19C5" w:rsidRPr="006B19C5" w:rsidRDefault="006B19C5" w:rsidP="00B517F7">
            <w:pPr>
              <w:widowControl w:val="0"/>
              <w:autoSpaceDE w:val="0"/>
              <w:autoSpaceDN w:val="0"/>
              <w:adjustRightInd w:val="0"/>
              <w:spacing w:line="360" w:lineRule="auto"/>
              <w:ind w:right="-14"/>
              <w:rPr>
                <w:rFonts w:eastAsia="Calibri"/>
                <w:szCs w:val="24"/>
              </w:rPr>
            </w:pPr>
            <w:r w:rsidRPr="006B19C5">
              <w:rPr>
                <w:rFonts w:eastAsia="Calibri"/>
                <w:szCs w:val="24"/>
              </w:rPr>
              <w:t>Có đặc tính, thông số kỹ thuật của hàng hóa, tiêu chuẩn sản xuất, tiêu chuẩn chế tạo và công nghệ hoàn toàn phù hợp đáp ứng yêu cầu của HSMT.</w:t>
            </w:r>
          </w:p>
        </w:tc>
        <w:tc>
          <w:tcPr>
            <w:tcW w:w="1932" w:type="dxa"/>
            <w:vAlign w:val="center"/>
          </w:tcPr>
          <w:p w14:paraId="54E4C9AD"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3FAA7B12" w14:textId="77777777" w:rsidTr="00B517F7">
        <w:tc>
          <w:tcPr>
            <w:tcW w:w="2609" w:type="dxa"/>
            <w:vMerge/>
            <w:vAlign w:val="center"/>
          </w:tcPr>
          <w:p w14:paraId="44C12168"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402B6427"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szCs w:val="24"/>
              </w:rPr>
              <w:t>Không có đặc tính, thông số kỹ thuật của hàng hóa, tiêu chuẩn sản xuất, tiêu chuẩn chế tạo và công nghệ phù hợp, đáp ứng yêu cầu của HSMT.</w:t>
            </w:r>
          </w:p>
        </w:tc>
        <w:tc>
          <w:tcPr>
            <w:tcW w:w="1932" w:type="dxa"/>
            <w:vAlign w:val="center"/>
          </w:tcPr>
          <w:p w14:paraId="5BAE100C"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2899D324" w14:textId="77777777" w:rsidTr="00B517F7">
        <w:tc>
          <w:tcPr>
            <w:tcW w:w="2609" w:type="dxa"/>
            <w:vMerge w:val="restart"/>
            <w:vAlign w:val="center"/>
          </w:tcPr>
          <w:p w14:paraId="0A402BCC" w14:textId="77777777" w:rsidR="006B19C5" w:rsidRPr="006B19C5" w:rsidRDefault="006B19C5" w:rsidP="00B517F7">
            <w:pPr>
              <w:spacing w:line="360" w:lineRule="auto"/>
              <w:ind w:left="2"/>
              <w:jc w:val="center"/>
              <w:rPr>
                <w:szCs w:val="24"/>
              </w:rPr>
            </w:pPr>
            <w:r w:rsidRPr="006B19C5">
              <w:rPr>
                <w:szCs w:val="24"/>
              </w:rPr>
              <w:t>Tính hiệu quả của việc cung cấp dịch vụ</w:t>
            </w:r>
          </w:p>
        </w:tc>
        <w:tc>
          <w:tcPr>
            <w:tcW w:w="4521" w:type="dxa"/>
            <w:vAlign w:val="center"/>
          </w:tcPr>
          <w:p w14:paraId="5ADCE4CF" w14:textId="77777777" w:rsidR="006B19C5" w:rsidRPr="006B19C5" w:rsidRDefault="006B19C5" w:rsidP="00B517F7">
            <w:pPr>
              <w:spacing w:after="60" w:line="360" w:lineRule="auto"/>
              <w:ind w:right="64"/>
              <w:rPr>
                <w:szCs w:val="24"/>
              </w:rPr>
            </w:pPr>
            <w:r w:rsidRPr="006B19C5">
              <w:rPr>
                <w:szCs w:val="24"/>
              </w:rPr>
              <w:t>Sản phẩm do nhà thầu cung cấp phải đáp ứng yêu cầu về kỹ thuật nêu tại Chương V E-HSMT.</w:t>
            </w:r>
          </w:p>
          <w:p w14:paraId="6742BFC6" w14:textId="77777777" w:rsidR="006B19C5" w:rsidRPr="006B19C5" w:rsidRDefault="006B19C5" w:rsidP="00B517F7">
            <w:pPr>
              <w:spacing w:line="360" w:lineRule="auto"/>
              <w:rPr>
                <w:szCs w:val="24"/>
              </w:rPr>
            </w:pPr>
            <w:r w:rsidRPr="006B19C5">
              <w:rPr>
                <w:szCs w:val="24"/>
              </w:rPr>
              <w:t>Nhà thầu phải cung cấp đầy đủ tài liệu yêu cầu tại Mục E-CDNT 10.8 Chương II.</w:t>
            </w:r>
          </w:p>
        </w:tc>
        <w:tc>
          <w:tcPr>
            <w:tcW w:w="1932" w:type="dxa"/>
            <w:vAlign w:val="center"/>
          </w:tcPr>
          <w:p w14:paraId="06C40253"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2AC83E7C" w14:textId="77777777" w:rsidTr="00B517F7">
        <w:tc>
          <w:tcPr>
            <w:tcW w:w="2609" w:type="dxa"/>
            <w:vMerge/>
            <w:vAlign w:val="center"/>
          </w:tcPr>
          <w:p w14:paraId="3045CD44"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00E08498"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szCs w:val="24"/>
              </w:rPr>
              <w:t>Không đáp ứng một trong những yêu cầu trên</w:t>
            </w:r>
          </w:p>
        </w:tc>
        <w:tc>
          <w:tcPr>
            <w:tcW w:w="1932" w:type="dxa"/>
            <w:vAlign w:val="center"/>
          </w:tcPr>
          <w:p w14:paraId="404B7B5C"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4E6F0930" w14:textId="77777777" w:rsidTr="00B517F7">
        <w:tc>
          <w:tcPr>
            <w:tcW w:w="2609" w:type="dxa"/>
            <w:vMerge w:val="restart"/>
            <w:vAlign w:val="center"/>
          </w:tcPr>
          <w:p w14:paraId="5F11D39E" w14:textId="77777777" w:rsidR="006B19C5" w:rsidRPr="006B19C5" w:rsidRDefault="006B19C5" w:rsidP="00B517F7">
            <w:pPr>
              <w:spacing w:line="360" w:lineRule="auto"/>
              <w:ind w:left="2" w:right="67"/>
              <w:jc w:val="center"/>
              <w:rPr>
                <w:szCs w:val="24"/>
              </w:rPr>
            </w:pPr>
            <w:r w:rsidRPr="006B19C5">
              <w:rPr>
                <w:szCs w:val="24"/>
              </w:rPr>
              <w:t>Mức độ hiểu biết về tính chất và mục đích</w:t>
            </w:r>
          </w:p>
          <w:p w14:paraId="49F0338F" w14:textId="77777777" w:rsidR="006B19C5" w:rsidRPr="006B19C5" w:rsidRDefault="006B19C5" w:rsidP="00B517F7">
            <w:pPr>
              <w:spacing w:line="360" w:lineRule="auto"/>
              <w:ind w:left="2"/>
              <w:jc w:val="center"/>
              <w:rPr>
                <w:szCs w:val="24"/>
              </w:rPr>
            </w:pPr>
            <w:r w:rsidRPr="006B19C5">
              <w:rPr>
                <w:szCs w:val="24"/>
              </w:rPr>
              <w:t>công việc</w:t>
            </w:r>
          </w:p>
        </w:tc>
        <w:tc>
          <w:tcPr>
            <w:tcW w:w="4521" w:type="dxa"/>
            <w:vAlign w:val="center"/>
          </w:tcPr>
          <w:p w14:paraId="1EF6C2A7" w14:textId="77777777" w:rsidR="006B19C5" w:rsidRPr="006B19C5" w:rsidRDefault="006B19C5" w:rsidP="00B517F7">
            <w:pPr>
              <w:spacing w:line="360" w:lineRule="auto"/>
              <w:rPr>
                <w:szCs w:val="24"/>
              </w:rPr>
            </w:pPr>
            <w:r w:rsidRPr="006B19C5">
              <w:rPr>
                <w:szCs w:val="24"/>
              </w:rPr>
              <w:t>- Hiểu rõ về gói thầu và trình bày được các công việc cần thực hiện của gói thầu, từ công đoạn thiết kế in ấn đến khi trình Chủ Đầu Tư duyệt.</w:t>
            </w:r>
          </w:p>
        </w:tc>
        <w:tc>
          <w:tcPr>
            <w:tcW w:w="1932" w:type="dxa"/>
            <w:vAlign w:val="center"/>
          </w:tcPr>
          <w:p w14:paraId="7B964201"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410E1127" w14:textId="77777777" w:rsidTr="00B517F7">
        <w:tc>
          <w:tcPr>
            <w:tcW w:w="2609" w:type="dxa"/>
            <w:vMerge/>
            <w:vAlign w:val="center"/>
          </w:tcPr>
          <w:p w14:paraId="14C054C6"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3180FDB5"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szCs w:val="24"/>
              </w:rPr>
              <w:t>Không trình bày hoặc trình bày sơ sài, sai mục đích gói thầu</w:t>
            </w:r>
          </w:p>
        </w:tc>
        <w:tc>
          <w:tcPr>
            <w:tcW w:w="1932" w:type="dxa"/>
            <w:vAlign w:val="center"/>
          </w:tcPr>
          <w:p w14:paraId="3C91D10F"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00A9339F" w14:textId="77777777" w:rsidTr="00B517F7">
        <w:tc>
          <w:tcPr>
            <w:tcW w:w="2609" w:type="dxa"/>
            <w:vMerge w:val="restart"/>
            <w:vAlign w:val="center"/>
          </w:tcPr>
          <w:p w14:paraId="53B4E3CD"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Chất lượng bản in mẫu</w:t>
            </w:r>
          </w:p>
        </w:tc>
        <w:tc>
          <w:tcPr>
            <w:tcW w:w="4521" w:type="dxa"/>
            <w:vAlign w:val="center"/>
          </w:tcPr>
          <w:p w14:paraId="5D94191F"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 xml:space="preserve">Chữ in rõ ràng, nét không nhòe, không mất nét, không váng bẩn; đã sửa hết lỗi chính tả, lỗi câu </w:t>
            </w:r>
          </w:p>
        </w:tc>
        <w:tc>
          <w:tcPr>
            <w:tcW w:w="1932" w:type="dxa"/>
            <w:vAlign w:val="center"/>
          </w:tcPr>
          <w:p w14:paraId="15949873"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213DFDBC" w14:textId="77777777" w:rsidTr="00B517F7">
        <w:tc>
          <w:tcPr>
            <w:tcW w:w="2609" w:type="dxa"/>
            <w:vMerge/>
            <w:vAlign w:val="center"/>
          </w:tcPr>
          <w:p w14:paraId="762E04F2"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5E809BDE"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Chữ in mờ, nhòe, mất nét, bản in có váng bẩn, không sửa hết lỗi chính tả</w:t>
            </w:r>
          </w:p>
        </w:tc>
        <w:tc>
          <w:tcPr>
            <w:tcW w:w="1932" w:type="dxa"/>
            <w:vAlign w:val="center"/>
          </w:tcPr>
          <w:p w14:paraId="06E884DE"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5788A889" w14:textId="77777777" w:rsidTr="00B517F7">
        <w:tc>
          <w:tcPr>
            <w:tcW w:w="2609" w:type="dxa"/>
            <w:vMerge w:val="restart"/>
            <w:vAlign w:val="center"/>
          </w:tcPr>
          <w:p w14:paraId="623BDAE7"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Nội dung và hình ảnh</w:t>
            </w:r>
          </w:p>
        </w:tc>
        <w:tc>
          <w:tcPr>
            <w:tcW w:w="4521" w:type="dxa"/>
            <w:vAlign w:val="center"/>
          </w:tcPr>
          <w:p w14:paraId="2D49C64E"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Tuyệt đối không có nội dung và hình ảnh vi phạm bản quyền và pháp luật</w:t>
            </w:r>
          </w:p>
        </w:tc>
        <w:tc>
          <w:tcPr>
            <w:tcW w:w="1932" w:type="dxa"/>
          </w:tcPr>
          <w:p w14:paraId="024977E1" w14:textId="77777777" w:rsidR="006B19C5" w:rsidRPr="006B19C5" w:rsidRDefault="006B19C5" w:rsidP="00B517F7">
            <w:pPr>
              <w:jc w:val="center"/>
              <w:rPr>
                <w:b/>
              </w:rPr>
            </w:pPr>
            <w:r w:rsidRPr="006B19C5">
              <w:rPr>
                <w:b/>
              </w:rPr>
              <w:t>Đạt</w:t>
            </w:r>
          </w:p>
        </w:tc>
      </w:tr>
      <w:tr w:rsidR="006B19C5" w:rsidRPr="006B19C5" w14:paraId="280F3379" w14:textId="77777777" w:rsidTr="00B517F7">
        <w:tc>
          <w:tcPr>
            <w:tcW w:w="2609" w:type="dxa"/>
            <w:vMerge/>
            <w:vAlign w:val="center"/>
          </w:tcPr>
          <w:p w14:paraId="30B679A6"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636592AB"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Có nội dung hoặc có hình ảnh vi phạm pháp luật</w:t>
            </w:r>
          </w:p>
        </w:tc>
        <w:tc>
          <w:tcPr>
            <w:tcW w:w="1932" w:type="dxa"/>
          </w:tcPr>
          <w:p w14:paraId="4AB8A142" w14:textId="77777777" w:rsidR="006B19C5" w:rsidRPr="006B19C5" w:rsidRDefault="006B19C5" w:rsidP="00B517F7">
            <w:pPr>
              <w:jc w:val="center"/>
              <w:rPr>
                <w:b/>
              </w:rPr>
            </w:pPr>
            <w:r w:rsidRPr="006B19C5">
              <w:rPr>
                <w:b/>
              </w:rPr>
              <w:t>Không đạt</w:t>
            </w:r>
          </w:p>
        </w:tc>
      </w:tr>
      <w:tr w:rsidR="006B19C5" w:rsidRPr="006B19C5" w14:paraId="467AF82A" w14:textId="77777777" w:rsidTr="00B517F7">
        <w:tc>
          <w:tcPr>
            <w:tcW w:w="2609" w:type="dxa"/>
            <w:vMerge w:val="restart"/>
            <w:vAlign w:val="center"/>
          </w:tcPr>
          <w:p w14:paraId="6A368245"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Bản quyền sản phẩm</w:t>
            </w:r>
          </w:p>
        </w:tc>
        <w:tc>
          <w:tcPr>
            <w:tcW w:w="4521" w:type="dxa"/>
            <w:vAlign w:val="center"/>
          </w:tcPr>
          <w:p w14:paraId="48307EB0"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Cam kết sản phẩm mới 100% và hoàn toàn chịu trách nhiệm về mọi thiệt hại phát sinh do việc khiếu nại của bên thứ ba về việc vi phạm bản quyền sở hữu trí tuệ liên quan đến hàng hóa mà nhà thầu cung cấp</w:t>
            </w:r>
          </w:p>
        </w:tc>
        <w:tc>
          <w:tcPr>
            <w:tcW w:w="1932" w:type="dxa"/>
          </w:tcPr>
          <w:p w14:paraId="0778F5D1" w14:textId="77777777" w:rsidR="006B19C5" w:rsidRPr="006B19C5" w:rsidRDefault="006B19C5" w:rsidP="00B517F7">
            <w:pPr>
              <w:jc w:val="center"/>
              <w:rPr>
                <w:b/>
              </w:rPr>
            </w:pPr>
            <w:r w:rsidRPr="006B19C5">
              <w:rPr>
                <w:b/>
              </w:rPr>
              <w:t>Đạt</w:t>
            </w:r>
          </w:p>
        </w:tc>
      </w:tr>
      <w:tr w:rsidR="006B19C5" w:rsidRPr="006B19C5" w14:paraId="675B019F" w14:textId="77777777" w:rsidTr="00B517F7">
        <w:tc>
          <w:tcPr>
            <w:tcW w:w="2609" w:type="dxa"/>
            <w:vMerge/>
            <w:vAlign w:val="center"/>
          </w:tcPr>
          <w:p w14:paraId="768F47A9"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71BD0784"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Không gửi kèm cam kết</w:t>
            </w:r>
          </w:p>
        </w:tc>
        <w:tc>
          <w:tcPr>
            <w:tcW w:w="1932" w:type="dxa"/>
          </w:tcPr>
          <w:p w14:paraId="7BD64D28" w14:textId="77777777" w:rsidR="006B19C5" w:rsidRPr="006B19C5" w:rsidRDefault="006B19C5" w:rsidP="00B517F7">
            <w:pPr>
              <w:jc w:val="center"/>
              <w:rPr>
                <w:b/>
              </w:rPr>
            </w:pPr>
            <w:r w:rsidRPr="006B19C5">
              <w:rPr>
                <w:b/>
              </w:rPr>
              <w:t>Không đạt</w:t>
            </w:r>
          </w:p>
        </w:tc>
      </w:tr>
      <w:tr w:rsidR="006B19C5" w:rsidRPr="006B19C5" w14:paraId="02BC54ED" w14:textId="77777777" w:rsidTr="00B517F7">
        <w:tc>
          <w:tcPr>
            <w:tcW w:w="9062" w:type="dxa"/>
            <w:gridSpan w:val="3"/>
            <w:vAlign w:val="center"/>
          </w:tcPr>
          <w:p w14:paraId="295A27F9" w14:textId="77777777" w:rsidR="006B19C5" w:rsidRPr="006B19C5" w:rsidRDefault="006B19C5" w:rsidP="00B517F7">
            <w:pPr>
              <w:widowControl w:val="0"/>
              <w:numPr>
                <w:ilvl w:val="0"/>
                <w:numId w:val="1"/>
              </w:numPr>
              <w:autoSpaceDE w:val="0"/>
              <w:autoSpaceDN w:val="0"/>
              <w:adjustRightInd w:val="0"/>
              <w:spacing w:line="360" w:lineRule="auto"/>
              <w:ind w:right="-14"/>
              <w:rPr>
                <w:rFonts w:eastAsia="Calibri"/>
                <w:b/>
              </w:rPr>
            </w:pPr>
            <w:r w:rsidRPr="006B19C5">
              <w:rPr>
                <w:rFonts w:eastAsia="Calibri"/>
                <w:b/>
              </w:rPr>
              <w:t>Giải pháp kỹ thuật, biện pháp tổ chức cung cấp, lắp đặt hàng hóa</w:t>
            </w:r>
          </w:p>
        </w:tc>
      </w:tr>
      <w:tr w:rsidR="006B19C5" w:rsidRPr="006B19C5" w14:paraId="05E7E675" w14:textId="77777777" w:rsidTr="00B517F7">
        <w:tc>
          <w:tcPr>
            <w:tcW w:w="2609" w:type="dxa"/>
            <w:vMerge w:val="restart"/>
            <w:vAlign w:val="center"/>
          </w:tcPr>
          <w:p w14:paraId="0E12B6EE" w14:textId="77777777" w:rsidR="006B19C5" w:rsidRPr="006B19C5" w:rsidRDefault="006B19C5" w:rsidP="00B517F7">
            <w:pPr>
              <w:spacing w:line="360" w:lineRule="auto"/>
              <w:ind w:left="2" w:right="67"/>
              <w:jc w:val="center"/>
              <w:rPr>
                <w:szCs w:val="24"/>
              </w:rPr>
            </w:pPr>
            <w:r w:rsidRPr="006B19C5">
              <w:rPr>
                <w:szCs w:val="24"/>
              </w:rPr>
              <w:t>Tính hợp lý và khả thi của kế hoạch, các giải pháp kỹ thuật, biện pháp tổ chức cung cấp dịch vụ</w:t>
            </w:r>
          </w:p>
        </w:tc>
        <w:tc>
          <w:tcPr>
            <w:tcW w:w="4521" w:type="dxa"/>
            <w:vAlign w:val="center"/>
          </w:tcPr>
          <w:p w14:paraId="7F009017" w14:textId="77777777" w:rsidR="006B19C5" w:rsidRPr="006B19C5" w:rsidRDefault="006B19C5" w:rsidP="00B517F7">
            <w:pPr>
              <w:spacing w:after="60" w:line="360" w:lineRule="auto"/>
              <w:rPr>
                <w:szCs w:val="24"/>
              </w:rPr>
            </w:pPr>
            <w:r w:rsidRPr="006B19C5">
              <w:rPr>
                <w:szCs w:val="24"/>
              </w:rPr>
              <w:t>Giải pháp và phương pháp luận tổng quát do nhà thầu đề xuất để thực hiện dịch vụ:</w:t>
            </w:r>
          </w:p>
          <w:p w14:paraId="53A4CC13" w14:textId="77777777" w:rsidR="006B19C5" w:rsidRPr="006B19C5" w:rsidRDefault="006B19C5" w:rsidP="00B517F7">
            <w:pPr>
              <w:spacing w:after="60" w:line="360" w:lineRule="auto"/>
              <w:ind w:right="67"/>
              <w:rPr>
                <w:szCs w:val="24"/>
              </w:rPr>
            </w:pPr>
            <w:r w:rsidRPr="006B19C5">
              <w:rPr>
                <w:szCs w:val="24"/>
              </w:rPr>
              <w:t>- Trình bày giải pháp thực hiện gói thầu một cách rõ ràng, chi tiết và phù hợp với phạm vi cung cấp dịch vụ.</w:t>
            </w:r>
          </w:p>
          <w:p w14:paraId="7435C958" w14:textId="77777777" w:rsidR="006B19C5" w:rsidRPr="006B19C5" w:rsidRDefault="006B19C5" w:rsidP="00B517F7">
            <w:pPr>
              <w:spacing w:after="59" w:line="360" w:lineRule="auto"/>
              <w:ind w:right="67"/>
              <w:rPr>
                <w:szCs w:val="24"/>
              </w:rPr>
            </w:pPr>
            <w:r w:rsidRPr="006B19C5">
              <w:rPr>
                <w:szCs w:val="24"/>
              </w:rPr>
              <w:t>- Trình bày được Kế hoạch triển khai thực hiện gói thầu.</w:t>
            </w:r>
          </w:p>
          <w:p w14:paraId="4E7A2A02" w14:textId="77777777" w:rsidR="006B19C5" w:rsidRPr="006B19C5" w:rsidRDefault="006B19C5" w:rsidP="00B517F7">
            <w:pPr>
              <w:spacing w:line="360" w:lineRule="auto"/>
              <w:ind w:right="67"/>
              <w:rPr>
                <w:szCs w:val="24"/>
              </w:rPr>
            </w:pPr>
            <w:r w:rsidRPr="006B19C5">
              <w:rPr>
                <w:szCs w:val="24"/>
              </w:rPr>
              <w:t>- Trình bày bảng bố trí nhân sự đáp ứng yêu cầu và thuyết minh nhiệm vụ cho từng nhân sự phù hợp với chương trình và kế hoạch thực hiện nhiệm vụ.</w:t>
            </w:r>
          </w:p>
        </w:tc>
        <w:tc>
          <w:tcPr>
            <w:tcW w:w="1932" w:type="dxa"/>
            <w:vAlign w:val="center"/>
          </w:tcPr>
          <w:p w14:paraId="3FAA5E13"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3E8AA857" w14:textId="77777777" w:rsidTr="00B517F7">
        <w:tc>
          <w:tcPr>
            <w:tcW w:w="2609" w:type="dxa"/>
            <w:vMerge/>
            <w:vAlign w:val="center"/>
          </w:tcPr>
          <w:p w14:paraId="2C80CB08" w14:textId="77777777" w:rsidR="006B19C5" w:rsidRPr="006B19C5" w:rsidRDefault="006B19C5" w:rsidP="00B517F7">
            <w:pPr>
              <w:widowControl w:val="0"/>
              <w:autoSpaceDE w:val="0"/>
              <w:autoSpaceDN w:val="0"/>
              <w:adjustRightInd w:val="0"/>
              <w:spacing w:line="360" w:lineRule="auto"/>
              <w:ind w:right="-14"/>
              <w:rPr>
                <w:rFonts w:eastAsia="Calibri"/>
              </w:rPr>
            </w:pPr>
          </w:p>
        </w:tc>
        <w:tc>
          <w:tcPr>
            <w:tcW w:w="4521" w:type="dxa"/>
            <w:vAlign w:val="center"/>
          </w:tcPr>
          <w:p w14:paraId="63F9B20B"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szCs w:val="24"/>
              </w:rPr>
              <w:t>Không trình bày hoặc trình bày sơ sài, không phù hợp với phạm vi cung cấp dịch vụ</w:t>
            </w:r>
          </w:p>
        </w:tc>
        <w:tc>
          <w:tcPr>
            <w:tcW w:w="1932" w:type="dxa"/>
            <w:vAlign w:val="center"/>
          </w:tcPr>
          <w:p w14:paraId="7D303C6A"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10C94954" w14:textId="77777777" w:rsidTr="00B517F7">
        <w:trPr>
          <w:trHeight w:val="205"/>
        </w:trPr>
        <w:tc>
          <w:tcPr>
            <w:tcW w:w="2609" w:type="dxa"/>
            <w:vMerge w:val="restart"/>
            <w:vAlign w:val="center"/>
          </w:tcPr>
          <w:p w14:paraId="6868F8EE"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Điều kiện giao hàng</w:t>
            </w:r>
          </w:p>
        </w:tc>
        <w:tc>
          <w:tcPr>
            <w:tcW w:w="4521" w:type="dxa"/>
            <w:vAlign w:val="center"/>
          </w:tcPr>
          <w:p w14:paraId="1E22AECF"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Khi có nhu cầu đột xuất, thời gian giao hàng chậm nhất là 1 ngày kể từ khi nhận được đơn đặt hàng.</w:t>
            </w:r>
          </w:p>
        </w:tc>
        <w:tc>
          <w:tcPr>
            <w:tcW w:w="1932" w:type="dxa"/>
            <w:vAlign w:val="center"/>
          </w:tcPr>
          <w:p w14:paraId="339907B4"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0D3941FF" w14:textId="77777777" w:rsidTr="00B517F7">
        <w:trPr>
          <w:trHeight w:val="205"/>
        </w:trPr>
        <w:tc>
          <w:tcPr>
            <w:tcW w:w="2609" w:type="dxa"/>
            <w:vMerge/>
            <w:vAlign w:val="center"/>
          </w:tcPr>
          <w:p w14:paraId="150ED331"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74C8B0B3"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Không có cam kết và gửi kèm thuyết minh về điều kiện giao hàng để đảm bảo tính thuận lợi theo cam kết đã đề ra</w:t>
            </w:r>
          </w:p>
        </w:tc>
        <w:tc>
          <w:tcPr>
            <w:tcW w:w="1932" w:type="dxa"/>
            <w:vAlign w:val="center"/>
          </w:tcPr>
          <w:p w14:paraId="522FC22E"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4516354E" w14:textId="77777777" w:rsidTr="00B517F7">
        <w:trPr>
          <w:trHeight w:val="205"/>
        </w:trPr>
        <w:tc>
          <w:tcPr>
            <w:tcW w:w="2609" w:type="dxa"/>
            <w:vMerge w:val="restart"/>
            <w:vAlign w:val="center"/>
          </w:tcPr>
          <w:p w14:paraId="68A57A99" w14:textId="77777777" w:rsidR="006B19C5" w:rsidRPr="006B19C5" w:rsidRDefault="006B19C5" w:rsidP="00B517F7">
            <w:pPr>
              <w:spacing w:line="360" w:lineRule="auto"/>
              <w:ind w:left="2" w:right="65"/>
              <w:jc w:val="center"/>
              <w:rPr>
                <w:szCs w:val="24"/>
              </w:rPr>
            </w:pPr>
            <w:r w:rsidRPr="006B19C5">
              <w:rPr>
                <w:szCs w:val="24"/>
              </w:rPr>
              <w:t xml:space="preserve">Mức độ đáp ứng hệ thống đảm bảo chất </w:t>
            </w:r>
            <w:r w:rsidRPr="006B19C5">
              <w:rPr>
                <w:szCs w:val="24"/>
              </w:rPr>
              <w:lastRenderedPageBreak/>
              <w:t>lượng và phương pháp thực hiện</w:t>
            </w:r>
          </w:p>
        </w:tc>
        <w:tc>
          <w:tcPr>
            <w:tcW w:w="4521" w:type="dxa"/>
            <w:vAlign w:val="center"/>
          </w:tcPr>
          <w:p w14:paraId="2F5D2ACE" w14:textId="77777777" w:rsidR="006B19C5" w:rsidRPr="006B19C5" w:rsidRDefault="006B19C5" w:rsidP="00B517F7">
            <w:pPr>
              <w:spacing w:line="360" w:lineRule="auto"/>
              <w:rPr>
                <w:szCs w:val="24"/>
              </w:rPr>
            </w:pPr>
            <w:r w:rsidRPr="006B19C5">
              <w:rPr>
                <w:szCs w:val="24"/>
              </w:rPr>
              <w:lastRenderedPageBreak/>
              <w:t>Nhà thầu có thuyết minh biện pháp bảo đảm chất lượng phù hợp với gói thầu</w:t>
            </w:r>
          </w:p>
        </w:tc>
        <w:tc>
          <w:tcPr>
            <w:tcW w:w="1932" w:type="dxa"/>
            <w:vAlign w:val="center"/>
          </w:tcPr>
          <w:p w14:paraId="243FF7E8"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407C7544" w14:textId="77777777" w:rsidTr="00B517F7">
        <w:trPr>
          <w:trHeight w:val="205"/>
        </w:trPr>
        <w:tc>
          <w:tcPr>
            <w:tcW w:w="2609" w:type="dxa"/>
            <w:vMerge/>
            <w:vAlign w:val="center"/>
          </w:tcPr>
          <w:p w14:paraId="0007C9C1"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45D3B17A"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szCs w:val="24"/>
              </w:rPr>
              <w:t xml:space="preserve">Nhà thầu không có thuyết minh hoặc thuyết minh không phù hợp gói thầu. </w:t>
            </w:r>
          </w:p>
        </w:tc>
        <w:tc>
          <w:tcPr>
            <w:tcW w:w="1932" w:type="dxa"/>
            <w:vAlign w:val="center"/>
          </w:tcPr>
          <w:p w14:paraId="654C7048"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29D66A8B" w14:textId="77777777" w:rsidTr="00B517F7">
        <w:tc>
          <w:tcPr>
            <w:tcW w:w="9062" w:type="dxa"/>
            <w:gridSpan w:val="3"/>
            <w:vAlign w:val="center"/>
          </w:tcPr>
          <w:p w14:paraId="01AB75E4" w14:textId="77777777" w:rsidR="006B19C5" w:rsidRPr="006B19C5" w:rsidRDefault="006B19C5" w:rsidP="00B517F7">
            <w:pPr>
              <w:widowControl w:val="0"/>
              <w:numPr>
                <w:ilvl w:val="0"/>
                <w:numId w:val="1"/>
              </w:numPr>
              <w:autoSpaceDE w:val="0"/>
              <w:autoSpaceDN w:val="0"/>
              <w:adjustRightInd w:val="0"/>
              <w:spacing w:line="360" w:lineRule="auto"/>
              <w:ind w:right="-14"/>
              <w:rPr>
                <w:rFonts w:eastAsia="Calibri"/>
                <w:b/>
              </w:rPr>
            </w:pPr>
            <w:r w:rsidRPr="006B19C5">
              <w:rPr>
                <w:rFonts w:eastAsia="Calibri"/>
                <w:b/>
              </w:rPr>
              <w:t>Tiến độ cung cấp hàng hóa</w:t>
            </w:r>
          </w:p>
        </w:tc>
      </w:tr>
      <w:tr w:rsidR="006B19C5" w:rsidRPr="006B19C5" w14:paraId="0A1FAD2A" w14:textId="77777777" w:rsidTr="00B517F7">
        <w:tc>
          <w:tcPr>
            <w:tcW w:w="2609" w:type="dxa"/>
            <w:vMerge w:val="restart"/>
            <w:vAlign w:val="center"/>
          </w:tcPr>
          <w:p w14:paraId="21C2319D"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Bảng tiến độ cung cấp hàng hóa hợp lý, khả thi phù hợp với đề xuất kỹ thuật và đáp ứng yêu cầu của HSMT.</w:t>
            </w:r>
          </w:p>
        </w:tc>
        <w:tc>
          <w:tcPr>
            <w:tcW w:w="4521" w:type="dxa"/>
            <w:vAlign w:val="center"/>
          </w:tcPr>
          <w:p w14:paraId="31F619B8"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Có Bảng tiến độ cung cấp hàng hóa hợp lý, khả thi và phù hợp với đề xuất kỹ thuật và đáp ứng yêu cầu của HSMT (không vượt quá 5 ngày)</w:t>
            </w:r>
          </w:p>
        </w:tc>
        <w:tc>
          <w:tcPr>
            <w:tcW w:w="1932" w:type="dxa"/>
            <w:vAlign w:val="center"/>
          </w:tcPr>
          <w:p w14:paraId="49457ED6" w14:textId="77777777" w:rsidR="006B19C5" w:rsidRPr="006B19C5" w:rsidRDefault="006B19C5" w:rsidP="00B517F7">
            <w:pPr>
              <w:widowControl w:val="0"/>
              <w:autoSpaceDE w:val="0"/>
              <w:autoSpaceDN w:val="0"/>
              <w:adjustRightInd w:val="0"/>
              <w:spacing w:line="276" w:lineRule="auto"/>
              <w:ind w:right="-14"/>
              <w:jc w:val="center"/>
              <w:rPr>
                <w:rFonts w:eastAsia="Calibri"/>
                <w:b/>
              </w:rPr>
            </w:pPr>
            <w:r w:rsidRPr="006B19C5">
              <w:rPr>
                <w:rFonts w:eastAsia="Calibri"/>
                <w:b/>
              </w:rPr>
              <w:t>Đạt</w:t>
            </w:r>
          </w:p>
        </w:tc>
      </w:tr>
      <w:tr w:rsidR="006B19C5" w:rsidRPr="006B19C5" w14:paraId="12BB5951" w14:textId="77777777" w:rsidTr="00B517F7">
        <w:tc>
          <w:tcPr>
            <w:tcW w:w="2609" w:type="dxa"/>
            <w:vMerge/>
            <w:vAlign w:val="center"/>
          </w:tcPr>
          <w:p w14:paraId="7C42DA6D"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2BC29451"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Không có Bảng tiến độ cung cấp hàng hóa hoặc có Bảng tiến độ cung cấp hàng hóa nhưng không hợp lý, không khả thi, không phù hợp với đề xuất kỹ thuật (vượt quá 5 ngày)</w:t>
            </w:r>
          </w:p>
        </w:tc>
        <w:tc>
          <w:tcPr>
            <w:tcW w:w="1932" w:type="dxa"/>
            <w:vAlign w:val="center"/>
          </w:tcPr>
          <w:p w14:paraId="62C09FB2"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44FFBADF" w14:textId="77777777" w:rsidTr="00B517F7">
        <w:tc>
          <w:tcPr>
            <w:tcW w:w="2609" w:type="dxa"/>
            <w:vMerge w:val="restart"/>
            <w:vAlign w:val="center"/>
          </w:tcPr>
          <w:p w14:paraId="385E3040" w14:textId="77777777" w:rsidR="006B19C5" w:rsidRPr="006B19C5" w:rsidRDefault="006B19C5" w:rsidP="00B517F7">
            <w:pPr>
              <w:spacing w:line="360" w:lineRule="auto"/>
              <w:ind w:left="7"/>
              <w:jc w:val="center"/>
              <w:rPr>
                <w:szCs w:val="24"/>
              </w:rPr>
            </w:pPr>
            <w:r w:rsidRPr="006B19C5">
              <w:rPr>
                <w:szCs w:val="24"/>
              </w:rPr>
              <w:t>Bàn giao sản phẩm</w:t>
            </w:r>
          </w:p>
        </w:tc>
        <w:tc>
          <w:tcPr>
            <w:tcW w:w="4521" w:type="dxa"/>
            <w:vAlign w:val="center"/>
          </w:tcPr>
          <w:p w14:paraId="106DC718" w14:textId="77777777" w:rsidR="006B19C5" w:rsidRPr="006B19C5" w:rsidRDefault="006B19C5" w:rsidP="00B517F7">
            <w:pPr>
              <w:spacing w:line="360" w:lineRule="auto"/>
              <w:ind w:left="5" w:right="71"/>
              <w:rPr>
                <w:szCs w:val="24"/>
              </w:rPr>
            </w:pPr>
            <w:r w:rsidRPr="006B19C5">
              <w:rPr>
                <w:szCs w:val="24"/>
              </w:rPr>
              <w:t>Nhà thầu có cam kết cung cấp sản phẩm theo số lượng đến từng địa điểm theo yêu cầu của chủ đầu tư và phù hợp với tiến độ chung của gói thầu.</w:t>
            </w:r>
          </w:p>
        </w:tc>
        <w:tc>
          <w:tcPr>
            <w:tcW w:w="1932" w:type="dxa"/>
            <w:vAlign w:val="center"/>
          </w:tcPr>
          <w:p w14:paraId="5E7B8DE7"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7D433DE4" w14:textId="77777777" w:rsidTr="00B517F7">
        <w:tc>
          <w:tcPr>
            <w:tcW w:w="2609" w:type="dxa"/>
            <w:vMerge/>
            <w:vAlign w:val="center"/>
          </w:tcPr>
          <w:p w14:paraId="21B0E2B1"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19F56670"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szCs w:val="24"/>
              </w:rPr>
              <w:t>Nhà thầu không có cam kết cung cấp sản phẩm theo số lượng và từng địa điểm theo quy định của E-HSMT hoặc có nhưng không phù hợp với tiến độ chung của gói thầu</w:t>
            </w:r>
          </w:p>
        </w:tc>
        <w:tc>
          <w:tcPr>
            <w:tcW w:w="1932" w:type="dxa"/>
            <w:vAlign w:val="center"/>
          </w:tcPr>
          <w:p w14:paraId="76678AC2"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4F4AD796" w14:textId="77777777" w:rsidTr="00B517F7">
        <w:tc>
          <w:tcPr>
            <w:tcW w:w="2609" w:type="dxa"/>
            <w:vMerge w:val="restart"/>
            <w:vAlign w:val="center"/>
          </w:tcPr>
          <w:p w14:paraId="17AA5921" w14:textId="77777777" w:rsidR="006B19C5" w:rsidRPr="006B19C5" w:rsidRDefault="006B19C5" w:rsidP="00B517F7">
            <w:pPr>
              <w:tabs>
                <w:tab w:val="center" w:pos="895"/>
                <w:tab w:val="right" w:pos="1835"/>
              </w:tabs>
              <w:spacing w:after="11" w:line="360" w:lineRule="auto"/>
              <w:jc w:val="center"/>
              <w:rPr>
                <w:szCs w:val="24"/>
              </w:rPr>
            </w:pPr>
            <w:r w:rsidRPr="006B19C5">
              <w:rPr>
                <w:szCs w:val="24"/>
              </w:rPr>
              <w:t xml:space="preserve">Tiến độ </w:t>
            </w:r>
            <w:r w:rsidRPr="006B19C5">
              <w:rPr>
                <w:szCs w:val="24"/>
              </w:rPr>
              <w:tab/>
              <w:t>thực hiện thiết kế, biên tập, in ấn gói thầu</w:t>
            </w:r>
          </w:p>
        </w:tc>
        <w:tc>
          <w:tcPr>
            <w:tcW w:w="4521" w:type="dxa"/>
            <w:vAlign w:val="center"/>
          </w:tcPr>
          <w:p w14:paraId="7D29FFDB" w14:textId="77777777" w:rsidR="006B19C5" w:rsidRPr="006B19C5" w:rsidRDefault="006B19C5" w:rsidP="00B517F7">
            <w:pPr>
              <w:spacing w:line="360" w:lineRule="auto"/>
              <w:ind w:left="5" w:right="71"/>
              <w:rPr>
                <w:szCs w:val="24"/>
              </w:rPr>
            </w:pPr>
            <w:r w:rsidRPr="006B19C5">
              <w:rPr>
                <w:szCs w:val="24"/>
              </w:rPr>
              <w:t xml:space="preserve">Đề xuất thời gian thực hiện thiết kế in ấn không vượt quá 03 ngày </w:t>
            </w:r>
          </w:p>
        </w:tc>
        <w:tc>
          <w:tcPr>
            <w:tcW w:w="1932" w:type="dxa"/>
            <w:vAlign w:val="center"/>
          </w:tcPr>
          <w:p w14:paraId="4F496F97"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1F57E7BA" w14:textId="77777777" w:rsidTr="00B517F7">
        <w:tc>
          <w:tcPr>
            <w:tcW w:w="2609" w:type="dxa"/>
            <w:vMerge/>
            <w:vAlign w:val="center"/>
          </w:tcPr>
          <w:p w14:paraId="053D6645"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1F891134" w14:textId="77777777" w:rsidR="006B19C5" w:rsidRPr="006B19C5" w:rsidRDefault="006B19C5" w:rsidP="00B517F7">
            <w:pPr>
              <w:widowControl w:val="0"/>
              <w:autoSpaceDE w:val="0"/>
              <w:autoSpaceDN w:val="0"/>
              <w:adjustRightInd w:val="0"/>
              <w:spacing w:line="360" w:lineRule="auto"/>
              <w:ind w:right="-14"/>
              <w:rPr>
                <w:szCs w:val="24"/>
              </w:rPr>
            </w:pPr>
            <w:r w:rsidRPr="006B19C5">
              <w:rPr>
                <w:szCs w:val="24"/>
              </w:rPr>
              <w:t xml:space="preserve">Đề xuất về thời gian thực hiện vượt quá 03 ngày </w:t>
            </w:r>
          </w:p>
        </w:tc>
        <w:tc>
          <w:tcPr>
            <w:tcW w:w="1932" w:type="dxa"/>
            <w:vAlign w:val="center"/>
          </w:tcPr>
          <w:p w14:paraId="6865AAD7"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5D6ED304" w14:textId="77777777" w:rsidTr="00B517F7">
        <w:tc>
          <w:tcPr>
            <w:tcW w:w="9062" w:type="dxa"/>
            <w:gridSpan w:val="3"/>
            <w:vAlign w:val="center"/>
          </w:tcPr>
          <w:p w14:paraId="0A619A73" w14:textId="77777777" w:rsidR="006B19C5" w:rsidRPr="006B19C5" w:rsidRDefault="006B19C5" w:rsidP="00B517F7">
            <w:pPr>
              <w:pStyle w:val="ListParagraph"/>
              <w:widowControl w:val="0"/>
              <w:numPr>
                <w:ilvl w:val="0"/>
                <w:numId w:val="1"/>
              </w:numPr>
              <w:autoSpaceDE w:val="0"/>
              <w:autoSpaceDN w:val="0"/>
              <w:adjustRightInd w:val="0"/>
              <w:spacing w:line="360" w:lineRule="auto"/>
              <w:ind w:right="-14"/>
              <w:jc w:val="left"/>
              <w:rPr>
                <w:rFonts w:eastAsia="Calibri"/>
                <w:b/>
              </w:rPr>
            </w:pPr>
            <w:r w:rsidRPr="006B19C5">
              <w:rPr>
                <w:rFonts w:eastAsia="Calibri"/>
                <w:b/>
              </w:rPr>
              <w:t>Bảo trì, bảo hành</w:t>
            </w:r>
          </w:p>
        </w:tc>
      </w:tr>
      <w:tr w:rsidR="006B19C5" w:rsidRPr="006B19C5" w14:paraId="17FCFBDA" w14:textId="77777777" w:rsidTr="00B517F7">
        <w:trPr>
          <w:trHeight w:val="415"/>
        </w:trPr>
        <w:tc>
          <w:tcPr>
            <w:tcW w:w="2609" w:type="dxa"/>
            <w:vMerge w:val="restart"/>
            <w:vAlign w:val="center"/>
          </w:tcPr>
          <w:p w14:paraId="7FA224DA" w14:textId="77777777" w:rsidR="006B19C5" w:rsidRPr="006B19C5" w:rsidRDefault="006B19C5" w:rsidP="00B517F7">
            <w:pPr>
              <w:spacing w:line="360" w:lineRule="auto"/>
              <w:ind w:left="7"/>
              <w:jc w:val="center"/>
              <w:rPr>
                <w:szCs w:val="24"/>
              </w:rPr>
            </w:pPr>
            <w:r w:rsidRPr="006B19C5">
              <w:rPr>
                <w:rFonts w:eastAsia="Calibri"/>
                <w:szCs w:val="24"/>
              </w:rPr>
              <w:t>Mức độ đáp ứng các yêu cầu về bảo hành, bảo trì</w:t>
            </w:r>
          </w:p>
        </w:tc>
        <w:tc>
          <w:tcPr>
            <w:tcW w:w="4521" w:type="dxa"/>
            <w:vAlign w:val="center"/>
          </w:tcPr>
          <w:p w14:paraId="0A6CCEB0" w14:textId="77777777" w:rsidR="006B19C5" w:rsidRPr="006B19C5" w:rsidRDefault="006B19C5" w:rsidP="00B517F7">
            <w:pPr>
              <w:spacing w:after="60" w:line="360" w:lineRule="auto"/>
              <w:ind w:left="5" w:right="34"/>
              <w:rPr>
                <w:szCs w:val="24"/>
              </w:rPr>
            </w:pPr>
            <w:r w:rsidRPr="006B19C5">
              <w:rPr>
                <w:szCs w:val="24"/>
              </w:rPr>
              <w:t xml:space="preserve">- Cam kết in lại bản tin nếu bản tin in không đúng với yêu cầu kỹ thuật, </w:t>
            </w:r>
            <w:r w:rsidRPr="006B19C5">
              <w:rPr>
                <w:rFonts w:eastAsia="Calibri"/>
                <w:szCs w:val="24"/>
              </w:rPr>
              <w:t>đổi trả hàng trong 24 giờ khi nhận được văn bản thông báo hàng bị lỗi và in ấn không đạt yêu cầu</w:t>
            </w:r>
          </w:p>
          <w:p w14:paraId="0B41E36C" w14:textId="77777777" w:rsidR="006B19C5" w:rsidRPr="006B19C5" w:rsidRDefault="006B19C5" w:rsidP="00B517F7">
            <w:pPr>
              <w:spacing w:line="360" w:lineRule="auto"/>
              <w:ind w:right="34"/>
              <w:rPr>
                <w:szCs w:val="24"/>
              </w:rPr>
            </w:pPr>
            <w:r w:rsidRPr="006B19C5">
              <w:rPr>
                <w:szCs w:val="24"/>
              </w:rPr>
              <w:lastRenderedPageBreak/>
              <w:t>- Cam kết chi trả chi phí phát sinh do việc không in đúng tiến độ dẫn tới không giao bản tin kịp cho chủ đầu tư.</w:t>
            </w:r>
          </w:p>
        </w:tc>
        <w:tc>
          <w:tcPr>
            <w:tcW w:w="1932" w:type="dxa"/>
            <w:vAlign w:val="center"/>
          </w:tcPr>
          <w:p w14:paraId="79BE6386" w14:textId="77777777" w:rsidR="006B19C5" w:rsidRPr="006B19C5" w:rsidRDefault="006B19C5" w:rsidP="00B517F7">
            <w:pPr>
              <w:widowControl w:val="0"/>
              <w:autoSpaceDE w:val="0"/>
              <w:autoSpaceDN w:val="0"/>
              <w:adjustRightInd w:val="0"/>
              <w:spacing w:line="360" w:lineRule="auto"/>
              <w:ind w:right="-14"/>
              <w:jc w:val="center"/>
              <w:rPr>
                <w:rFonts w:eastAsia="Calibri"/>
                <w:b/>
                <w:szCs w:val="24"/>
              </w:rPr>
            </w:pPr>
            <w:r w:rsidRPr="006B19C5">
              <w:rPr>
                <w:rFonts w:eastAsia="Calibri"/>
                <w:b/>
                <w:szCs w:val="24"/>
              </w:rPr>
              <w:lastRenderedPageBreak/>
              <w:t>Đạt</w:t>
            </w:r>
          </w:p>
        </w:tc>
      </w:tr>
      <w:tr w:rsidR="006B19C5" w:rsidRPr="006B19C5" w14:paraId="1BCB3772" w14:textId="77777777" w:rsidTr="00B517F7">
        <w:trPr>
          <w:trHeight w:val="415"/>
        </w:trPr>
        <w:tc>
          <w:tcPr>
            <w:tcW w:w="2609" w:type="dxa"/>
            <w:vMerge/>
            <w:vAlign w:val="center"/>
          </w:tcPr>
          <w:p w14:paraId="5F568A86" w14:textId="77777777" w:rsidR="006B19C5" w:rsidRPr="006B19C5" w:rsidRDefault="006B19C5" w:rsidP="00B517F7">
            <w:pPr>
              <w:widowControl w:val="0"/>
              <w:autoSpaceDE w:val="0"/>
              <w:autoSpaceDN w:val="0"/>
              <w:adjustRightInd w:val="0"/>
              <w:spacing w:line="360" w:lineRule="auto"/>
              <w:ind w:right="-14"/>
              <w:jc w:val="center"/>
              <w:rPr>
                <w:rFonts w:eastAsia="Calibri"/>
                <w:szCs w:val="24"/>
              </w:rPr>
            </w:pPr>
          </w:p>
        </w:tc>
        <w:tc>
          <w:tcPr>
            <w:tcW w:w="4521" w:type="dxa"/>
            <w:vAlign w:val="center"/>
          </w:tcPr>
          <w:p w14:paraId="160D1697" w14:textId="77777777" w:rsidR="006B19C5" w:rsidRPr="006B19C5" w:rsidRDefault="006B19C5" w:rsidP="00B517F7">
            <w:pPr>
              <w:widowControl w:val="0"/>
              <w:autoSpaceDE w:val="0"/>
              <w:autoSpaceDN w:val="0"/>
              <w:adjustRightInd w:val="0"/>
              <w:spacing w:line="360" w:lineRule="auto"/>
              <w:ind w:right="-14"/>
              <w:rPr>
                <w:rFonts w:eastAsia="Calibri"/>
                <w:szCs w:val="24"/>
              </w:rPr>
            </w:pPr>
            <w:r w:rsidRPr="006B19C5">
              <w:rPr>
                <w:szCs w:val="24"/>
              </w:rPr>
              <w:t>Không cam kết như trên</w:t>
            </w:r>
          </w:p>
        </w:tc>
        <w:tc>
          <w:tcPr>
            <w:tcW w:w="1932" w:type="dxa"/>
            <w:vAlign w:val="center"/>
          </w:tcPr>
          <w:p w14:paraId="0F286584" w14:textId="77777777" w:rsidR="006B19C5" w:rsidRPr="006B19C5" w:rsidRDefault="006B19C5" w:rsidP="00B517F7">
            <w:pPr>
              <w:widowControl w:val="0"/>
              <w:autoSpaceDE w:val="0"/>
              <w:autoSpaceDN w:val="0"/>
              <w:adjustRightInd w:val="0"/>
              <w:spacing w:line="360" w:lineRule="auto"/>
              <w:ind w:right="-14"/>
              <w:jc w:val="center"/>
              <w:rPr>
                <w:rFonts w:eastAsia="Calibri"/>
                <w:b/>
                <w:szCs w:val="24"/>
              </w:rPr>
            </w:pPr>
            <w:r w:rsidRPr="006B19C5">
              <w:rPr>
                <w:rFonts w:eastAsia="Calibri"/>
                <w:b/>
                <w:szCs w:val="24"/>
              </w:rPr>
              <w:t>Không đạt</w:t>
            </w:r>
          </w:p>
        </w:tc>
      </w:tr>
      <w:tr w:rsidR="006B19C5" w:rsidRPr="006B19C5" w14:paraId="46A8732B" w14:textId="77777777" w:rsidTr="00B517F7">
        <w:tc>
          <w:tcPr>
            <w:tcW w:w="9062" w:type="dxa"/>
            <w:gridSpan w:val="3"/>
            <w:vAlign w:val="center"/>
          </w:tcPr>
          <w:p w14:paraId="5E1AD69F" w14:textId="77777777" w:rsidR="006B19C5" w:rsidRPr="006B19C5" w:rsidRDefault="006B19C5" w:rsidP="00B517F7">
            <w:pPr>
              <w:widowControl w:val="0"/>
              <w:numPr>
                <w:ilvl w:val="0"/>
                <w:numId w:val="1"/>
              </w:numPr>
              <w:autoSpaceDE w:val="0"/>
              <w:autoSpaceDN w:val="0"/>
              <w:adjustRightInd w:val="0"/>
              <w:spacing w:line="360" w:lineRule="auto"/>
              <w:ind w:right="-14"/>
              <w:rPr>
                <w:rFonts w:eastAsia="Calibri"/>
                <w:b/>
              </w:rPr>
            </w:pPr>
            <w:r w:rsidRPr="006B19C5">
              <w:rPr>
                <w:rFonts w:eastAsia="Calibri"/>
                <w:b/>
              </w:rPr>
              <w:t>Khả năng đáp ứng về Sức khỏe và An toàn, Môi trường, Đạo đức kinh doanh</w:t>
            </w:r>
          </w:p>
        </w:tc>
      </w:tr>
      <w:tr w:rsidR="006B19C5" w:rsidRPr="006B19C5" w14:paraId="732F81BE" w14:textId="77777777" w:rsidTr="00B517F7">
        <w:tc>
          <w:tcPr>
            <w:tcW w:w="9062" w:type="dxa"/>
            <w:gridSpan w:val="3"/>
            <w:vAlign w:val="center"/>
          </w:tcPr>
          <w:p w14:paraId="4757178E" w14:textId="77777777" w:rsidR="006B19C5" w:rsidRPr="006B19C5" w:rsidRDefault="006B19C5" w:rsidP="00B517F7">
            <w:pPr>
              <w:widowControl w:val="0"/>
              <w:numPr>
                <w:ilvl w:val="1"/>
                <w:numId w:val="1"/>
              </w:numPr>
              <w:autoSpaceDE w:val="0"/>
              <w:autoSpaceDN w:val="0"/>
              <w:adjustRightInd w:val="0"/>
              <w:spacing w:line="360" w:lineRule="auto"/>
              <w:ind w:right="-14"/>
              <w:rPr>
                <w:rFonts w:eastAsia="Calibri"/>
                <w:b/>
              </w:rPr>
            </w:pPr>
            <w:r w:rsidRPr="006B19C5">
              <w:rPr>
                <w:rFonts w:eastAsia="Calibri"/>
                <w:b/>
              </w:rPr>
              <w:t xml:space="preserve"> Khả năng đáp ứng về Sức khỏe và An toàn</w:t>
            </w:r>
          </w:p>
        </w:tc>
      </w:tr>
      <w:tr w:rsidR="006B19C5" w:rsidRPr="006B19C5" w14:paraId="3828DCB0" w14:textId="77777777" w:rsidTr="00B517F7">
        <w:tc>
          <w:tcPr>
            <w:tcW w:w="2609" w:type="dxa"/>
            <w:vMerge w:val="restart"/>
            <w:vAlign w:val="center"/>
          </w:tcPr>
          <w:p w14:paraId="00914A17"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 xml:space="preserve">Khả năng đáp ứng về </w:t>
            </w:r>
          </w:p>
          <w:p w14:paraId="60D415C4"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Sức khỏe và An toàn</w:t>
            </w:r>
          </w:p>
        </w:tc>
        <w:tc>
          <w:tcPr>
            <w:tcW w:w="4521" w:type="dxa"/>
            <w:vAlign w:val="center"/>
          </w:tcPr>
          <w:p w14:paraId="4353EFFF"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Nhà thầu có cam kết môi trường làm việc an toàn và hợp vệ sinh, đảm bảo lao động được tiếp cận các phương tiện vệ sinh sạch sẽ.</w:t>
            </w:r>
          </w:p>
        </w:tc>
        <w:tc>
          <w:tcPr>
            <w:tcW w:w="1932" w:type="dxa"/>
            <w:vAlign w:val="center"/>
          </w:tcPr>
          <w:p w14:paraId="062AEF3E"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0FC12D44" w14:textId="77777777" w:rsidTr="00B517F7">
        <w:trPr>
          <w:trHeight w:val="1242"/>
        </w:trPr>
        <w:tc>
          <w:tcPr>
            <w:tcW w:w="2609" w:type="dxa"/>
            <w:vMerge/>
            <w:vAlign w:val="center"/>
          </w:tcPr>
          <w:p w14:paraId="12A72A80"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32162CD2"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Nhà thầu không có cam kết môi trường làm việc an toàn và hợp vệ sinh, đảm bảo lao động được tiếp cận các phương tiện vệ sinh sạch sẽ.</w:t>
            </w:r>
          </w:p>
        </w:tc>
        <w:tc>
          <w:tcPr>
            <w:tcW w:w="1932" w:type="dxa"/>
            <w:vAlign w:val="center"/>
          </w:tcPr>
          <w:p w14:paraId="17C2303C"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67448957" w14:textId="77777777" w:rsidTr="00B517F7">
        <w:trPr>
          <w:trHeight w:val="756"/>
        </w:trPr>
        <w:tc>
          <w:tcPr>
            <w:tcW w:w="9062" w:type="dxa"/>
            <w:gridSpan w:val="3"/>
            <w:vAlign w:val="center"/>
          </w:tcPr>
          <w:p w14:paraId="00F2376A" w14:textId="77777777" w:rsidR="006B19C5" w:rsidRPr="006B19C5" w:rsidRDefault="006B19C5" w:rsidP="00B517F7">
            <w:pPr>
              <w:widowControl w:val="0"/>
              <w:autoSpaceDE w:val="0"/>
              <w:autoSpaceDN w:val="0"/>
              <w:adjustRightInd w:val="0"/>
              <w:spacing w:line="360" w:lineRule="auto"/>
              <w:ind w:right="-14"/>
              <w:rPr>
                <w:rFonts w:eastAsia="Calibri"/>
                <w:b/>
              </w:rPr>
            </w:pPr>
            <w:r w:rsidRPr="006B19C5">
              <w:rPr>
                <w:rFonts w:eastAsia="Calibri"/>
                <w:b/>
              </w:rPr>
              <w:t xml:space="preserve">     5.2. Khả năng đáp ứng về Môi trường làm việc</w:t>
            </w:r>
          </w:p>
        </w:tc>
      </w:tr>
      <w:tr w:rsidR="006B19C5" w:rsidRPr="006B19C5" w14:paraId="07238A12" w14:textId="77777777" w:rsidTr="00B517F7">
        <w:trPr>
          <w:trHeight w:val="415"/>
        </w:trPr>
        <w:tc>
          <w:tcPr>
            <w:tcW w:w="2609" w:type="dxa"/>
            <w:vMerge w:val="restart"/>
            <w:vAlign w:val="center"/>
          </w:tcPr>
          <w:p w14:paraId="4B55B269"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rPr>
              <w:t>Khả năng đáp ứng về Môi trường làm việc</w:t>
            </w:r>
          </w:p>
        </w:tc>
        <w:tc>
          <w:tcPr>
            <w:tcW w:w="4521" w:type="dxa"/>
            <w:vAlign w:val="center"/>
          </w:tcPr>
          <w:p w14:paraId="31AA495A" w14:textId="77777777" w:rsidR="006B19C5" w:rsidRPr="006B19C5" w:rsidRDefault="006B19C5" w:rsidP="00B517F7">
            <w:pPr>
              <w:widowControl w:val="0"/>
              <w:autoSpaceDE w:val="0"/>
              <w:autoSpaceDN w:val="0"/>
              <w:adjustRightInd w:val="0"/>
              <w:spacing w:line="360" w:lineRule="auto"/>
              <w:ind w:right="-14"/>
              <w:rPr>
                <w:rFonts w:eastAsia="Calibri"/>
                <w:bCs/>
              </w:rPr>
            </w:pPr>
            <w:r w:rsidRPr="006B19C5">
              <w:rPr>
                <w:rFonts w:eastAsia="Calibri"/>
                <w:bCs/>
              </w:rPr>
              <w:t>Nhà thầu có cam kết về đảm bảo vệ sinh môi trường theo quy định pháp luật (rác thải in ấn, mực,…)</w:t>
            </w:r>
          </w:p>
        </w:tc>
        <w:tc>
          <w:tcPr>
            <w:tcW w:w="1932" w:type="dxa"/>
            <w:vAlign w:val="center"/>
          </w:tcPr>
          <w:p w14:paraId="6CCCC80D"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071C3B50" w14:textId="77777777" w:rsidTr="00B517F7">
        <w:trPr>
          <w:trHeight w:val="415"/>
        </w:trPr>
        <w:tc>
          <w:tcPr>
            <w:tcW w:w="2609" w:type="dxa"/>
            <w:vMerge/>
            <w:vAlign w:val="center"/>
          </w:tcPr>
          <w:p w14:paraId="79748504" w14:textId="77777777" w:rsidR="006B19C5" w:rsidRPr="006B19C5" w:rsidRDefault="006B19C5" w:rsidP="00B517F7">
            <w:pPr>
              <w:widowControl w:val="0"/>
              <w:autoSpaceDE w:val="0"/>
              <w:autoSpaceDN w:val="0"/>
              <w:adjustRightInd w:val="0"/>
              <w:spacing w:line="360" w:lineRule="auto"/>
              <w:ind w:right="-14"/>
              <w:rPr>
                <w:rFonts w:eastAsia="Calibri"/>
              </w:rPr>
            </w:pPr>
          </w:p>
        </w:tc>
        <w:tc>
          <w:tcPr>
            <w:tcW w:w="4521" w:type="dxa"/>
            <w:vAlign w:val="center"/>
          </w:tcPr>
          <w:p w14:paraId="061FD84D" w14:textId="77777777" w:rsidR="006B19C5" w:rsidRPr="006B19C5" w:rsidRDefault="006B19C5" w:rsidP="00B517F7">
            <w:pPr>
              <w:widowControl w:val="0"/>
              <w:autoSpaceDE w:val="0"/>
              <w:autoSpaceDN w:val="0"/>
              <w:adjustRightInd w:val="0"/>
              <w:spacing w:line="360" w:lineRule="auto"/>
              <w:ind w:right="-14"/>
              <w:rPr>
                <w:rFonts w:eastAsia="Calibri"/>
                <w:b/>
              </w:rPr>
            </w:pPr>
            <w:r w:rsidRPr="006B19C5">
              <w:rPr>
                <w:rFonts w:eastAsia="Calibri"/>
                <w:bCs/>
              </w:rPr>
              <w:t>Nhà thầu không có cam kết về đảm bảo vệ sinh môi trường theo quy định pháp luật (rác thải in ấn, mực,…)</w:t>
            </w:r>
          </w:p>
        </w:tc>
        <w:tc>
          <w:tcPr>
            <w:tcW w:w="1932" w:type="dxa"/>
            <w:vAlign w:val="center"/>
          </w:tcPr>
          <w:p w14:paraId="0EB9C08B"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0F76FCDC" w14:textId="77777777" w:rsidTr="00B517F7">
        <w:trPr>
          <w:trHeight w:val="415"/>
        </w:trPr>
        <w:tc>
          <w:tcPr>
            <w:tcW w:w="9062" w:type="dxa"/>
            <w:gridSpan w:val="3"/>
            <w:vAlign w:val="center"/>
          </w:tcPr>
          <w:p w14:paraId="611C22FC" w14:textId="77777777" w:rsidR="006B19C5" w:rsidRPr="006B19C5" w:rsidRDefault="006B19C5" w:rsidP="00B517F7">
            <w:pPr>
              <w:widowControl w:val="0"/>
              <w:autoSpaceDE w:val="0"/>
              <w:autoSpaceDN w:val="0"/>
              <w:adjustRightInd w:val="0"/>
              <w:spacing w:line="360" w:lineRule="auto"/>
              <w:ind w:right="-14"/>
              <w:rPr>
                <w:rFonts w:eastAsia="Calibri"/>
                <w:b/>
              </w:rPr>
            </w:pPr>
            <w:r w:rsidRPr="006B19C5">
              <w:rPr>
                <w:rFonts w:eastAsia="Calibri"/>
                <w:b/>
              </w:rPr>
              <w:t xml:space="preserve">       5.3. Khả năng đáp ứng về Đạo đức kinh doanh</w:t>
            </w:r>
          </w:p>
        </w:tc>
      </w:tr>
      <w:tr w:rsidR="006B19C5" w:rsidRPr="006B19C5" w14:paraId="67BA8575" w14:textId="77777777" w:rsidTr="00B517F7">
        <w:trPr>
          <w:trHeight w:val="210"/>
        </w:trPr>
        <w:tc>
          <w:tcPr>
            <w:tcW w:w="2609" w:type="dxa"/>
            <w:vMerge w:val="restart"/>
            <w:vAlign w:val="center"/>
          </w:tcPr>
          <w:p w14:paraId="62CF3932"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rPr>
              <w:t>Khả năng đáp ứng về Đạo đức kinh doanh</w:t>
            </w:r>
          </w:p>
        </w:tc>
        <w:tc>
          <w:tcPr>
            <w:tcW w:w="4521" w:type="dxa"/>
            <w:vAlign w:val="center"/>
          </w:tcPr>
          <w:p w14:paraId="42D2129F" w14:textId="77777777" w:rsidR="006B19C5" w:rsidRPr="006B19C5" w:rsidRDefault="006B19C5" w:rsidP="00B517F7">
            <w:pPr>
              <w:widowControl w:val="0"/>
              <w:autoSpaceDE w:val="0"/>
              <w:autoSpaceDN w:val="0"/>
              <w:adjustRightInd w:val="0"/>
              <w:spacing w:line="360" w:lineRule="auto"/>
              <w:ind w:right="-14"/>
              <w:rPr>
                <w:rFonts w:eastAsia="Calibri"/>
                <w:b/>
              </w:rPr>
            </w:pPr>
            <w:r w:rsidRPr="006B19C5">
              <w:rPr>
                <w:rFonts w:eastAsia="Calibri"/>
                <w:bCs/>
              </w:rPr>
              <w:t>Nhà thầu có cam kết về việc không có tham nhũng, hối lộ hoặc hình thức gian lận kinh doanh trong doanh nghiệp, đáp ứng quy định của pháp luật về luật phòng chống tham nhũng hối lộ và gian lận kinh doanh, không đang trong thời gian bị cấm đầu thầu của các đơn vị trong phạm vi Thành phố Hà Nội</w:t>
            </w:r>
          </w:p>
        </w:tc>
        <w:tc>
          <w:tcPr>
            <w:tcW w:w="1932" w:type="dxa"/>
            <w:vAlign w:val="center"/>
          </w:tcPr>
          <w:p w14:paraId="10214757"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798628AA" w14:textId="77777777" w:rsidTr="00B517F7">
        <w:trPr>
          <w:trHeight w:val="210"/>
        </w:trPr>
        <w:tc>
          <w:tcPr>
            <w:tcW w:w="2609" w:type="dxa"/>
            <w:vMerge/>
            <w:vAlign w:val="center"/>
          </w:tcPr>
          <w:p w14:paraId="799EC3D3" w14:textId="77777777" w:rsidR="006B19C5" w:rsidRPr="006B19C5" w:rsidRDefault="006B19C5" w:rsidP="00B517F7">
            <w:pPr>
              <w:widowControl w:val="0"/>
              <w:autoSpaceDE w:val="0"/>
              <w:autoSpaceDN w:val="0"/>
              <w:adjustRightInd w:val="0"/>
              <w:spacing w:line="360" w:lineRule="auto"/>
              <w:ind w:right="-14"/>
              <w:rPr>
                <w:rFonts w:eastAsia="Calibri"/>
                <w:b/>
              </w:rPr>
            </w:pPr>
          </w:p>
        </w:tc>
        <w:tc>
          <w:tcPr>
            <w:tcW w:w="4521" w:type="dxa"/>
            <w:vAlign w:val="center"/>
          </w:tcPr>
          <w:p w14:paraId="5ACB6C30" w14:textId="77777777" w:rsidR="006B19C5" w:rsidRPr="006B19C5" w:rsidRDefault="006B19C5" w:rsidP="00B517F7">
            <w:pPr>
              <w:widowControl w:val="0"/>
              <w:autoSpaceDE w:val="0"/>
              <w:autoSpaceDN w:val="0"/>
              <w:adjustRightInd w:val="0"/>
              <w:spacing w:line="360" w:lineRule="auto"/>
              <w:ind w:right="-14"/>
              <w:rPr>
                <w:rFonts w:eastAsia="Calibri"/>
                <w:b/>
              </w:rPr>
            </w:pPr>
            <w:r w:rsidRPr="006B19C5">
              <w:rPr>
                <w:rFonts w:eastAsia="Calibri"/>
                <w:bCs/>
              </w:rPr>
              <w:t xml:space="preserve">Nhà thầu không có cam kết về việc không có tham nhũng, hối lộ hoặc hình thức gian lận </w:t>
            </w:r>
            <w:r w:rsidRPr="006B19C5">
              <w:rPr>
                <w:rFonts w:eastAsia="Calibri"/>
                <w:bCs/>
              </w:rPr>
              <w:lastRenderedPageBreak/>
              <w:t>kinh doanh trong doanh nghiệp, đáp ứng quy định của pháp luật về luật phòng chống tham nhũng hối lộ và gian lận kinh doanh hoặc đang trong thời gian bị cấm đầu thầu trong của các đơn vị trong phạm vi Thành phố Hà Nội</w:t>
            </w:r>
          </w:p>
        </w:tc>
        <w:tc>
          <w:tcPr>
            <w:tcW w:w="1932" w:type="dxa"/>
            <w:vAlign w:val="center"/>
          </w:tcPr>
          <w:p w14:paraId="49025510"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lastRenderedPageBreak/>
              <w:t>Không đạt</w:t>
            </w:r>
          </w:p>
        </w:tc>
      </w:tr>
      <w:tr w:rsidR="006B19C5" w:rsidRPr="006B19C5" w14:paraId="7D46BD5E" w14:textId="77777777" w:rsidTr="00B517F7">
        <w:tc>
          <w:tcPr>
            <w:tcW w:w="9062" w:type="dxa"/>
            <w:gridSpan w:val="3"/>
            <w:vAlign w:val="center"/>
          </w:tcPr>
          <w:p w14:paraId="2AD30A81" w14:textId="77777777" w:rsidR="006B19C5" w:rsidRPr="006B19C5" w:rsidRDefault="006B19C5" w:rsidP="00B517F7">
            <w:pPr>
              <w:widowControl w:val="0"/>
              <w:numPr>
                <w:ilvl w:val="0"/>
                <w:numId w:val="1"/>
              </w:numPr>
              <w:autoSpaceDE w:val="0"/>
              <w:autoSpaceDN w:val="0"/>
              <w:adjustRightInd w:val="0"/>
              <w:spacing w:line="360" w:lineRule="auto"/>
              <w:ind w:right="-14"/>
              <w:rPr>
                <w:rFonts w:eastAsia="Calibri"/>
                <w:b/>
              </w:rPr>
            </w:pPr>
            <w:r w:rsidRPr="006B19C5">
              <w:rPr>
                <w:rFonts w:eastAsia="Calibri"/>
                <w:b/>
              </w:rPr>
              <w:t>Uy tín của nhà thầu</w:t>
            </w:r>
          </w:p>
        </w:tc>
      </w:tr>
      <w:tr w:rsidR="006B19C5" w:rsidRPr="006B19C5" w14:paraId="07841074" w14:textId="77777777" w:rsidTr="00B517F7">
        <w:tc>
          <w:tcPr>
            <w:tcW w:w="2609" w:type="dxa"/>
            <w:vMerge w:val="restart"/>
            <w:vAlign w:val="center"/>
          </w:tcPr>
          <w:p w14:paraId="1DDBBC6E"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Uy tín của nhà thầu thông qua việc thực hiện các hợp đồng tương tự trước đó trong thời gian năm 2022 trở lại đây, tính đến thời điểm đóng thầu.</w:t>
            </w:r>
          </w:p>
        </w:tc>
        <w:tc>
          <w:tcPr>
            <w:tcW w:w="4521" w:type="dxa"/>
            <w:vAlign w:val="center"/>
          </w:tcPr>
          <w:p w14:paraId="11D8966A" w14:textId="77777777" w:rsidR="006B19C5" w:rsidRPr="006B19C5" w:rsidRDefault="006B19C5" w:rsidP="00B517F7">
            <w:pPr>
              <w:widowControl w:val="0"/>
              <w:autoSpaceDE w:val="0"/>
              <w:autoSpaceDN w:val="0"/>
              <w:adjustRightInd w:val="0"/>
              <w:spacing w:line="360" w:lineRule="auto"/>
              <w:ind w:right="-14"/>
              <w:rPr>
                <w:rFonts w:eastAsia="Calibri"/>
                <w:szCs w:val="24"/>
              </w:rPr>
            </w:pPr>
            <w:r w:rsidRPr="006B19C5">
              <w:rPr>
                <w:szCs w:val="24"/>
              </w:rPr>
              <w:t>Nhà thầu có cam kết về kết quả thực hiện hợp đồng của nhà thầu đáp ứng theo quy định tại Điều 20 của Nghị định số 214/2025/NĐ-CP</w:t>
            </w:r>
          </w:p>
        </w:tc>
        <w:tc>
          <w:tcPr>
            <w:tcW w:w="1932" w:type="dxa"/>
            <w:vAlign w:val="center"/>
          </w:tcPr>
          <w:p w14:paraId="3D0F1ACD"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44A32DA9" w14:textId="77777777" w:rsidTr="00B517F7">
        <w:tc>
          <w:tcPr>
            <w:tcW w:w="2609" w:type="dxa"/>
            <w:vMerge/>
            <w:vAlign w:val="center"/>
          </w:tcPr>
          <w:p w14:paraId="7077EDC8"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43EA01F9" w14:textId="77777777" w:rsidR="006B19C5" w:rsidRPr="006B19C5" w:rsidRDefault="006B19C5" w:rsidP="00B517F7">
            <w:pPr>
              <w:widowControl w:val="0"/>
              <w:autoSpaceDE w:val="0"/>
              <w:autoSpaceDN w:val="0"/>
              <w:adjustRightInd w:val="0"/>
              <w:spacing w:line="360" w:lineRule="auto"/>
              <w:ind w:right="-14"/>
              <w:rPr>
                <w:rFonts w:eastAsia="Calibri"/>
                <w:szCs w:val="24"/>
              </w:rPr>
            </w:pPr>
            <w:r w:rsidRPr="006B19C5">
              <w:rPr>
                <w:szCs w:val="24"/>
              </w:rPr>
              <w:t>Nhà thầu không có cam kết hoặc Chủ đầu tư có tài liệu chứng minh nhà thầu không đáp ứng</w:t>
            </w:r>
          </w:p>
        </w:tc>
        <w:tc>
          <w:tcPr>
            <w:tcW w:w="1932" w:type="dxa"/>
            <w:vAlign w:val="center"/>
          </w:tcPr>
          <w:p w14:paraId="035A9217"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r w:rsidR="006B19C5" w:rsidRPr="006B19C5" w14:paraId="0F365D49" w14:textId="77777777" w:rsidTr="00B517F7">
        <w:tc>
          <w:tcPr>
            <w:tcW w:w="9062" w:type="dxa"/>
            <w:gridSpan w:val="3"/>
            <w:vAlign w:val="center"/>
          </w:tcPr>
          <w:p w14:paraId="431B73CD" w14:textId="77777777" w:rsidR="006B19C5" w:rsidRPr="006B19C5" w:rsidRDefault="006B19C5" w:rsidP="00B517F7">
            <w:pPr>
              <w:widowControl w:val="0"/>
              <w:numPr>
                <w:ilvl w:val="0"/>
                <w:numId w:val="1"/>
              </w:numPr>
              <w:autoSpaceDE w:val="0"/>
              <w:autoSpaceDN w:val="0"/>
              <w:adjustRightInd w:val="0"/>
              <w:spacing w:line="360" w:lineRule="auto"/>
              <w:ind w:right="-14"/>
              <w:rPr>
                <w:rFonts w:eastAsia="Calibri"/>
                <w:b/>
              </w:rPr>
            </w:pPr>
            <w:r w:rsidRPr="006B19C5">
              <w:rPr>
                <w:rFonts w:eastAsia="Calibri"/>
                <w:b/>
              </w:rPr>
              <w:t>Các yếu tố về điều kiện thương mại, thời gian thực hiện</w:t>
            </w:r>
          </w:p>
        </w:tc>
      </w:tr>
      <w:tr w:rsidR="006B19C5" w:rsidRPr="006B19C5" w14:paraId="1AEEFFA5" w14:textId="77777777" w:rsidTr="00B517F7">
        <w:tc>
          <w:tcPr>
            <w:tcW w:w="2609" w:type="dxa"/>
            <w:vMerge w:val="restart"/>
            <w:vAlign w:val="center"/>
          </w:tcPr>
          <w:p w14:paraId="33A57CE2" w14:textId="77777777" w:rsidR="006B19C5" w:rsidRPr="006B19C5" w:rsidRDefault="006B19C5" w:rsidP="00B517F7">
            <w:pPr>
              <w:widowControl w:val="0"/>
              <w:autoSpaceDE w:val="0"/>
              <w:autoSpaceDN w:val="0"/>
              <w:adjustRightInd w:val="0"/>
              <w:spacing w:line="360" w:lineRule="auto"/>
              <w:ind w:right="-14"/>
              <w:jc w:val="center"/>
              <w:rPr>
                <w:rFonts w:eastAsia="Calibri"/>
              </w:rPr>
            </w:pPr>
            <w:r w:rsidRPr="006B19C5">
              <w:rPr>
                <w:rFonts w:eastAsia="Calibri"/>
              </w:rPr>
              <w:t>Điều kiện thương mại, thời gian thực hiện hợp lý, khả thi, phù hợp với đề xuất về tiến độ cung cấp.</w:t>
            </w:r>
          </w:p>
        </w:tc>
        <w:tc>
          <w:tcPr>
            <w:tcW w:w="4521" w:type="dxa"/>
            <w:vAlign w:val="center"/>
          </w:tcPr>
          <w:p w14:paraId="6EB4A8E4"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Có điều kiện thương mại, thời gian thực hiện hợp lý, khả thi, phù hợp với đề xuất về tiến độ cung cấp.</w:t>
            </w:r>
          </w:p>
        </w:tc>
        <w:tc>
          <w:tcPr>
            <w:tcW w:w="1932" w:type="dxa"/>
            <w:vAlign w:val="center"/>
          </w:tcPr>
          <w:p w14:paraId="23C014E9"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Đạt</w:t>
            </w:r>
          </w:p>
        </w:tc>
      </w:tr>
      <w:tr w:rsidR="006B19C5" w:rsidRPr="006B19C5" w14:paraId="2940DA64" w14:textId="77777777" w:rsidTr="00B517F7">
        <w:tc>
          <w:tcPr>
            <w:tcW w:w="2609" w:type="dxa"/>
            <w:vMerge/>
            <w:vAlign w:val="center"/>
          </w:tcPr>
          <w:p w14:paraId="5DD21DFA" w14:textId="77777777" w:rsidR="006B19C5" w:rsidRPr="006B19C5" w:rsidRDefault="006B19C5" w:rsidP="00B517F7">
            <w:pPr>
              <w:widowControl w:val="0"/>
              <w:autoSpaceDE w:val="0"/>
              <w:autoSpaceDN w:val="0"/>
              <w:adjustRightInd w:val="0"/>
              <w:spacing w:line="360" w:lineRule="auto"/>
              <w:ind w:right="-14"/>
              <w:jc w:val="center"/>
              <w:rPr>
                <w:rFonts w:eastAsia="Calibri"/>
              </w:rPr>
            </w:pPr>
          </w:p>
        </w:tc>
        <w:tc>
          <w:tcPr>
            <w:tcW w:w="4521" w:type="dxa"/>
            <w:vAlign w:val="center"/>
          </w:tcPr>
          <w:p w14:paraId="60D4F322" w14:textId="77777777" w:rsidR="006B19C5" w:rsidRPr="006B19C5" w:rsidRDefault="006B19C5" w:rsidP="00B517F7">
            <w:pPr>
              <w:widowControl w:val="0"/>
              <w:autoSpaceDE w:val="0"/>
              <w:autoSpaceDN w:val="0"/>
              <w:adjustRightInd w:val="0"/>
              <w:spacing w:line="360" w:lineRule="auto"/>
              <w:ind w:right="-14"/>
              <w:rPr>
                <w:rFonts w:eastAsia="Calibri"/>
              </w:rPr>
            </w:pPr>
            <w:r w:rsidRPr="006B19C5">
              <w:rPr>
                <w:rFonts w:eastAsia="Calibri"/>
              </w:rPr>
              <w:t>Điều kiện thương mại, thời gian thực hiện không hợp lý, khả thi, không phù hợp với đề xuất về tiến độ cung cấp.</w:t>
            </w:r>
          </w:p>
        </w:tc>
        <w:tc>
          <w:tcPr>
            <w:tcW w:w="1932" w:type="dxa"/>
            <w:vAlign w:val="center"/>
          </w:tcPr>
          <w:p w14:paraId="64804E18" w14:textId="77777777" w:rsidR="006B19C5" w:rsidRPr="006B19C5" w:rsidRDefault="006B19C5" w:rsidP="00B517F7">
            <w:pPr>
              <w:widowControl w:val="0"/>
              <w:autoSpaceDE w:val="0"/>
              <w:autoSpaceDN w:val="0"/>
              <w:adjustRightInd w:val="0"/>
              <w:spacing w:line="360" w:lineRule="auto"/>
              <w:ind w:right="-14"/>
              <w:jc w:val="center"/>
              <w:rPr>
                <w:rFonts w:eastAsia="Calibri"/>
                <w:b/>
              </w:rPr>
            </w:pPr>
            <w:r w:rsidRPr="006B19C5">
              <w:rPr>
                <w:rFonts w:eastAsia="Calibri"/>
                <w:b/>
              </w:rPr>
              <w:t>Không đạt</w:t>
            </w:r>
          </w:p>
        </w:tc>
      </w:tr>
    </w:tbl>
    <w:p w14:paraId="59C71527" w14:textId="77777777" w:rsidR="000E4426" w:rsidRPr="006B19C5" w:rsidRDefault="000E4426"/>
    <w:sectPr w:rsidR="000E4426" w:rsidRPr="006B1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F0D10"/>
    <w:multiLevelType w:val="multilevel"/>
    <w:tmpl w:val="BFAEE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718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C5"/>
    <w:rsid w:val="000E4426"/>
    <w:rsid w:val="006B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CD28"/>
  <w15:chartTrackingRefBased/>
  <w15:docId w15:val="{9506AA8F-7C7A-44C1-A5DB-6B5CED5A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C5"/>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6B19C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rsid w:val="006B19C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2025-12-23T03:52:00Z</dcterms:created>
  <dcterms:modified xsi:type="dcterms:W3CDTF">2025-12-23T03:53:00Z</dcterms:modified>
</cp:coreProperties>
</file>