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C5A" w:rsidRPr="00180F17" w:rsidRDefault="00A76C5A" w:rsidP="00A76C5A">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A76C5A" w:rsidRPr="00180F17" w:rsidRDefault="00A76C5A" w:rsidP="00A76C5A">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tbl>
      <w:tblPr>
        <w:tblW w:w="5000" w:type="pct"/>
        <w:tblLook w:val="04A0" w:firstRow="1" w:lastRow="0" w:firstColumn="1" w:lastColumn="0" w:noHBand="0" w:noVBand="1"/>
      </w:tblPr>
      <w:tblGrid>
        <w:gridCol w:w="759"/>
        <w:gridCol w:w="3041"/>
        <w:gridCol w:w="3063"/>
        <w:gridCol w:w="2487"/>
      </w:tblGrid>
      <w:tr w:rsidR="00A76C5A" w:rsidRPr="00A76C5A" w:rsidTr="00A07907">
        <w:trPr>
          <w:trHeight w:val="330"/>
          <w:tblHeader/>
        </w:trPr>
        <w:tc>
          <w:tcPr>
            <w:tcW w:w="406" w:type="pct"/>
            <w:vMerge w:val="restart"/>
            <w:tcBorders>
              <w:top w:val="single" w:sz="4" w:space="0" w:color="auto"/>
              <w:left w:val="single" w:sz="4" w:space="0" w:color="auto"/>
              <w:bottom w:val="single" w:sz="4" w:space="0" w:color="000000"/>
              <w:right w:val="single" w:sz="4" w:space="0" w:color="auto"/>
            </w:tcBorders>
            <w:noWrap/>
            <w:vAlign w:val="center"/>
            <w:hideMark/>
          </w:tcPr>
          <w:p w:rsidR="00A76C5A" w:rsidRPr="00A76C5A" w:rsidRDefault="00A76C5A" w:rsidP="00A07907">
            <w:pPr>
              <w:jc w:val="center"/>
              <w:rPr>
                <w:b/>
                <w:bCs/>
                <w:color w:val="000000"/>
                <w:sz w:val="26"/>
                <w:szCs w:val="26"/>
              </w:rPr>
            </w:pPr>
            <w:r w:rsidRPr="00A76C5A">
              <w:rPr>
                <w:b/>
                <w:bCs/>
                <w:color w:val="000000"/>
                <w:sz w:val="26"/>
                <w:szCs w:val="26"/>
              </w:rPr>
              <w:t>Stt</w:t>
            </w:r>
          </w:p>
        </w:tc>
        <w:tc>
          <w:tcPr>
            <w:tcW w:w="1626" w:type="pct"/>
            <w:vMerge w:val="restart"/>
            <w:tcBorders>
              <w:top w:val="single" w:sz="4" w:space="0" w:color="auto"/>
              <w:left w:val="single" w:sz="4" w:space="0" w:color="auto"/>
              <w:bottom w:val="single" w:sz="4" w:space="0" w:color="000000"/>
              <w:right w:val="single" w:sz="4" w:space="0" w:color="auto"/>
            </w:tcBorders>
            <w:vAlign w:val="center"/>
            <w:hideMark/>
          </w:tcPr>
          <w:p w:rsidR="00A76C5A" w:rsidRPr="00A76C5A" w:rsidRDefault="00A76C5A" w:rsidP="00A07907">
            <w:pPr>
              <w:jc w:val="center"/>
              <w:rPr>
                <w:b/>
                <w:bCs/>
                <w:color w:val="000000"/>
                <w:sz w:val="26"/>
                <w:szCs w:val="26"/>
              </w:rPr>
            </w:pPr>
            <w:r w:rsidRPr="00A76C5A">
              <w:rPr>
                <w:b/>
                <w:bCs/>
                <w:color w:val="000000"/>
                <w:sz w:val="26"/>
                <w:szCs w:val="26"/>
              </w:rPr>
              <w:t>Nội dung yêu cầu</w:t>
            </w:r>
          </w:p>
        </w:tc>
        <w:tc>
          <w:tcPr>
            <w:tcW w:w="2968" w:type="pct"/>
            <w:gridSpan w:val="2"/>
            <w:tcBorders>
              <w:top w:val="single" w:sz="4" w:space="0" w:color="auto"/>
              <w:left w:val="nil"/>
              <w:bottom w:val="single" w:sz="4" w:space="0" w:color="auto"/>
              <w:right w:val="single" w:sz="4" w:space="0" w:color="000000"/>
            </w:tcBorders>
            <w:vAlign w:val="center"/>
            <w:hideMark/>
          </w:tcPr>
          <w:p w:rsidR="00A76C5A" w:rsidRPr="00A76C5A" w:rsidRDefault="00A76C5A" w:rsidP="00A07907">
            <w:pPr>
              <w:jc w:val="center"/>
              <w:rPr>
                <w:b/>
                <w:bCs/>
                <w:color w:val="000000"/>
                <w:sz w:val="26"/>
                <w:szCs w:val="26"/>
              </w:rPr>
            </w:pPr>
            <w:r w:rsidRPr="00A76C5A">
              <w:rPr>
                <w:b/>
                <w:bCs/>
                <w:color w:val="000000"/>
                <w:sz w:val="26"/>
                <w:szCs w:val="26"/>
              </w:rPr>
              <w:t>Mức độ đáp ứng</w:t>
            </w:r>
          </w:p>
        </w:tc>
      </w:tr>
      <w:tr w:rsidR="00A76C5A" w:rsidRPr="00A76C5A" w:rsidTr="00A07907">
        <w:trPr>
          <w:trHeight w:val="330"/>
        </w:trPr>
        <w:tc>
          <w:tcPr>
            <w:tcW w:w="406" w:type="pct"/>
            <w:vMerge/>
            <w:tcBorders>
              <w:top w:val="single" w:sz="4" w:space="0" w:color="auto"/>
              <w:left w:val="single" w:sz="4" w:space="0" w:color="auto"/>
              <w:bottom w:val="single" w:sz="4" w:space="0" w:color="000000"/>
              <w:right w:val="single" w:sz="4" w:space="0" w:color="auto"/>
            </w:tcBorders>
            <w:vAlign w:val="center"/>
            <w:hideMark/>
          </w:tcPr>
          <w:p w:rsidR="00A76C5A" w:rsidRPr="00A76C5A" w:rsidRDefault="00A76C5A" w:rsidP="00A07907">
            <w:pPr>
              <w:jc w:val="left"/>
              <w:rPr>
                <w:b/>
                <w:bCs/>
                <w:color w:val="000000"/>
                <w:sz w:val="26"/>
                <w:szCs w:val="26"/>
              </w:rPr>
            </w:pPr>
          </w:p>
        </w:tc>
        <w:tc>
          <w:tcPr>
            <w:tcW w:w="1626" w:type="pct"/>
            <w:vMerge/>
            <w:tcBorders>
              <w:top w:val="single" w:sz="4" w:space="0" w:color="auto"/>
              <w:left w:val="single" w:sz="4" w:space="0" w:color="auto"/>
              <w:bottom w:val="single" w:sz="4" w:space="0" w:color="000000"/>
              <w:right w:val="single" w:sz="4" w:space="0" w:color="auto"/>
            </w:tcBorders>
            <w:vAlign w:val="center"/>
            <w:hideMark/>
          </w:tcPr>
          <w:p w:rsidR="00A76C5A" w:rsidRPr="00A76C5A" w:rsidRDefault="00A76C5A" w:rsidP="00A07907">
            <w:pPr>
              <w:jc w:val="left"/>
              <w:rPr>
                <w:b/>
                <w:bCs/>
                <w:color w:val="000000"/>
                <w:sz w:val="26"/>
                <w:szCs w:val="26"/>
              </w:rPr>
            </w:pPr>
          </w:p>
        </w:tc>
        <w:tc>
          <w:tcPr>
            <w:tcW w:w="1638" w:type="pct"/>
            <w:tcBorders>
              <w:top w:val="nil"/>
              <w:left w:val="nil"/>
              <w:bottom w:val="single" w:sz="4" w:space="0" w:color="auto"/>
              <w:right w:val="single" w:sz="4" w:space="0" w:color="auto"/>
            </w:tcBorders>
            <w:vAlign w:val="center"/>
            <w:hideMark/>
          </w:tcPr>
          <w:p w:rsidR="00A76C5A" w:rsidRPr="00A76C5A" w:rsidRDefault="00A76C5A" w:rsidP="00A07907">
            <w:pPr>
              <w:jc w:val="center"/>
              <w:rPr>
                <w:b/>
                <w:bCs/>
                <w:color w:val="000000"/>
                <w:sz w:val="26"/>
                <w:szCs w:val="26"/>
              </w:rPr>
            </w:pPr>
            <w:r w:rsidRPr="00A76C5A">
              <w:rPr>
                <w:b/>
                <w:bCs/>
                <w:color w:val="000000"/>
                <w:sz w:val="26"/>
                <w:szCs w:val="26"/>
              </w:rPr>
              <w:t>Đạt</w:t>
            </w:r>
          </w:p>
        </w:tc>
        <w:tc>
          <w:tcPr>
            <w:tcW w:w="1330" w:type="pct"/>
            <w:tcBorders>
              <w:top w:val="nil"/>
              <w:left w:val="nil"/>
              <w:bottom w:val="single" w:sz="4" w:space="0" w:color="auto"/>
              <w:right w:val="single" w:sz="4" w:space="0" w:color="auto"/>
            </w:tcBorders>
            <w:vAlign w:val="center"/>
            <w:hideMark/>
          </w:tcPr>
          <w:p w:rsidR="00A76C5A" w:rsidRPr="00A76C5A" w:rsidRDefault="00A76C5A" w:rsidP="00A07907">
            <w:pPr>
              <w:jc w:val="center"/>
              <w:rPr>
                <w:b/>
                <w:bCs/>
                <w:color w:val="000000"/>
                <w:sz w:val="26"/>
                <w:szCs w:val="26"/>
              </w:rPr>
            </w:pPr>
            <w:r w:rsidRPr="00A76C5A">
              <w:rPr>
                <w:b/>
                <w:bCs/>
                <w:color w:val="000000"/>
                <w:sz w:val="26"/>
                <w:szCs w:val="26"/>
              </w:rPr>
              <w:t>Không đạt</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1</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xml:space="preserve">Đặc tính, </w:t>
            </w:r>
            <w:bookmarkStart w:id="0" w:name="_GoBack"/>
            <w:bookmarkEnd w:id="0"/>
            <w:r w:rsidRPr="00A76C5A">
              <w:rPr>
                <w:color w:val="000000"/>
                <w:sz w:val="26"/>
                <w:szCs w:val="26"/>
              </w:rPr>
              <w:t>thông số kỹ thuật của hàng hóa, tiêu chuẩn sản xuất, tiêu chuẩn chế tạo và công nghệ:</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r>
      <w:tr w:rsidR="00A76C5A" w:rsidRPr="00A76C5A" w:rsidTr="00A07907">
        <w:trPr>
          <w:trHeight w:val="99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1.1</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Có bảng mô tả, so sánh đặc tính, thông số kỹ thuật của hàng hóa theo Mẫu tại Mục 1.2 Chương V của E-HSMT.</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Có bảng mô tả, so sánh đặc tính, thông số kỹ thuật của hàng hóa theo Mẫu tại Mục 1.2 Chương V của E-HSMT.</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Không Có bảng mô tả, so sánh đặc tính, thông số kỹ thuật của hàng hóa theo Mẫu tại Mục 1.2 Chương V của E-HSMT.</w:t>
            </w:r>
          </w:p>
        </w:tc>
      </w:tr>
      <w:tr w:rsidR="00A76C5A" w:rsidRPr="00A76C5A" w:rsidTr="00A07907">
        <w:trPr>
          <w:trHeight w:val="132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1.2 </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Đặc tính, thông số kỹ thuật của hàng hóa đáp ứng yêu cầu tại Mục 1.2 Chương V của E-HSMT và cung cấp tài liệu chứng minh.</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Có Đặc tính, thông số kỹ thuật của hàng hóa đáp ứng yêu cầu tại Mục 1.2 Chương V của E-HSMT và cung cấp tài liệu chứng minh.</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Đặc tính, thông số kỹ thuật của hàng hóa không đáp ứng yêu cầu tại Mục 1.2 Chương V của E-HSMT và không cung cấp tài liệu chứng minh.</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b/>
                <w:bCs/>
                <w:i/>
                <w:iCs/>
                <w:color w:val="000000"/>
                <w:sz w:val="26"/>
                <w:szCs w:val="26"/>
              </w:rPr>
            </w:pPr>
            <w:r w:rsidRPr="00A76C5A">
              <w:rPr>
                <w:b/>
                <w:bCs/>
                <w:i/>
                <w:iCs/>
                <w:color w:val="000000"/>
                <w:sz w:val="26"/>
                <w:szCs w:val="26"/>
              </w:rPr>
              <w:t>*</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b/>
                <w:bCs/>
                <w:i/>
                <w:iCs/>
                <w:color w:val="000000"/>
                <w:sz w:val="26"/>
                <w:szCs w:val="26"/>
              </w:rPr>
            </w:pPr>
            <w:r w:rsidRPr="00A76C5A">
              <w:rPr>
                <w:b/>
                <w:bCs/>
                <w:i/>
                <w:iCs/>
                <w:color w:val="000000"/>
                <w:sz w:val="26"/>
                <w:szCs w:val="26"/>
              </w:rPr>
              <w:t>Kết luận mục 1</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b/>
                <w:bCs/>
                <w:i/>
                <w:iCs/>
                <w:color w:val="000000"/>
                <w:sz w:val="26"/>
                <w:szCs w:val="26"/>
              </w:rPr>
            </w:pPr>
            <w:r w:rsidRPr="00A76C5A">
              <w:rPr>
                <w:b/>
                <w:bCs/>
                <w:i/>
                <w:iCs/>
                <w:color w:val="000000"/>
                <w:sz w:val="26"/>
                <w:szCs w:val="26"/>
              </w:rPr>
              <w:t>Tất cả tiêu chuẩn chi tiết đều được xác định là đạt.</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b/>
                <w:bCs/>
                <w:i/>
                <w:iCs/>
                <w:color w:val="000000"/>
                <w:sz w:val="26"/>
                <w:szCs w:val="26"/>
              </w:rPr>
            </w:pPr>
            <w:r w:rsidRPr="00A76C5A">
              <w:rPr>
                <w:b/>
                <w:bCs/>
                <w:i/>
                <w:iCs/>
                <w:color w:val="000000"/>
                <w:sz w:val="26"/>
                <w:szCs w:val="26"/>
              </w:rPr>
              <w:t>Có ≥ 1 tiêu chuẩn chi tiết được xác định là không đạt.</w:t>
            </w:r>
          </w:p>
        </w:tc>
      </w:tr>
      <w:tr w:rsidR="00A76C5A" w:rsidRPr="00A76C5A" w:rsidTr="00A07907">
        <w:trPr>
          <w:trHeight w:val="33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2</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Mức độ đáp ứng các yêu cầu về bảo hành, bảo trì:</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2.1</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Thời gian bảo hành ≥ 5 năm hoặc 150.000 km đầu tiên. Tùy điều kiện nào đến trước. Bảo hành phải được thực hiện tại Đại lý chính hãng</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Có cam kết đáp ứng yêu cầu</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Không Có cam kết hoặc cam kết không đáp ứng yêu cầu</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2.3</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Cam kết Bảo dưỡng theo quy định của hãng sản xuất</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Có cam kết</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xml:space="preserve">- Không Có cam kết </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2.4</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Các cam kết khác:</w:t>
            </w:r>
          </w:p>
          <w:p w:rsidR="00A76C5A" w:rsidRPr="00A76C5A" w:rsidRDefault="00A76C5A" w:rsidP="00A07907">
            <w:pPr>
              <w:jc w:val="left"/>
              <w:rPr>
                <w:color w:val="000000"/>
                <w:sz w:val="26"/>
                <w:szCs w:val="26"/>
              </w:rPr>
            </w:pPr>
            <w:r w:rsidRPr="00A76C5A">
              <w:rPr>
                <w:color w:val="000000"/>
                <w:sz w:val="26"/>
                <w:szCs w:val="26"/>
              </w:rPr>
              <w:t xml:space="preserve">Nhà thầu phải cung cấp bản cam kết có ký, đóng dấu hợp lệ thể hiện đầy đủ </w:t>
            </w:r>
            <w:r w:rsidRPr="00A76C5A">
              <w:rPr>
                <w:color w:val="000000"/>
                <w:sz w:val="26"/>
                <w:szCs w:val="26"/>
              </w:rPr>
              <w:lastRenderedPageBreak/>
              <w:t>các nội dung cam kết như sau:</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lastRenderedPageBreak/>
              <w:t>- Có cam kết đầy đủ theo yêu cầu</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Không có cam kết hoặc cam kết không đầy đủ không đáp ứng yêu cầu</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lastRenderedPageBreak/>
              <w:t> </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Hàng hóa phải bảo đảm mới 100%, chưa qua sử dụng, sản xuất từ năm 2025 trở về sau</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 </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Trong thời gian bảo hành, nhà thầu phải có dịch vụ hỗ trợ kỹ thuật: 24/24; 7 ngày/tuần.</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r>
      <w:tr w:rsidR="00A76C5A" w:rsidRPr="00A76C5A" w:rsidTr="00A07907">
        <w:trPr>
          <w:trHeight w:val="99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 </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xml:space="preserve">- Khi có yêu cầu kiểm tra, sửa chữa đột xuất, nhà thầu có khả năng đáp ứng trong vòng &lt; 48 giờ kể từ khi nhận được thông báo của chủ đầu tư. </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r>
      <w:tr w:rsidR="00A76C5A" w:rsidRPr="00A76C5A" w:rsidTr="00A07907">
        <w:trPr>
          <w:trHeight w:val="99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 </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xml:space="preserve">- Hàng hóa cung cấp không ảnh hưởng, tác động đến môi trường hoặc nếu ảnh hưởng, tác động đến môi trường phải đề xuất biện pháp để giải quyết. </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 </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xml:space="preserve">- Nhà thầu sẽ cung cấp tài liệu khi giao hàng bao gồm: </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r>
      <w:tr w:rsidR="00A76C5A" w:rsidRPr="00A76C5A" w:rsidTr="00A07907">
        <w:trPr>
          <w:trHeight w:val="264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 </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xml:space="preserve">+ Đối với hàng hóa nhập khẩu: Bản gốc hoặc bản sao được chứng thực Giấy chứng nhận xuất xứ (CO), Giấy chứng nhận chất lượng (CQ); Bản sao tờ khai hải quan, vận đơn, packing list, Giấy phép nhập khẩu (Trừ trường hợp hàng hóa nằm ngoài quy định phải có giấy phép nhập khẩu) và các tài liệu chứng minh hàng hóa được thông quan hợp pháp </w:t>
            </w:r>
            <w:r w:rsidRPr="00A76C5A">
              <w:rPr>
                <w:color w:val="000000"/>
                <w:sz w:val="26"/>
                <w:szCs w:val="26"/>
              </w:rPr>
              <w:lastRenderedPageBreak/>
              <w:t>với đầy đủ thông tin về hàng hóa như trong hợp đồng hoặc các tài liệu tương đương</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lastRenderedPageBreak/>
              <w:t> </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b/>
                <w:bCs/>
                <w:i/>
                <w:iCs/>
                <w:color w:val="000000"/>
                <w:sz w:val="26"/>
                <w:szCs w:val="26"/>
              </w:rPr>
            </w:pPr>
            <w:r w:rsidRPr="00A76C5A">
              <w:rPr>
                <w:b/>
                <w:bCs/>
                <w:i/>
                <w:iCs/>
                <w:color w:val="000000"/>
                <w:sz w:val="26"/>
                <w:szCs w:val="26"/>
              </w:rPr>
              <w:t>*</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b/>
                <w:bCs/>
                <w:i/>
                <w:iCs/>
                <w:color w:val="000000"/>
                <w:sz w:val="26"/>
                <w:szCs w:val="26"/>
              </w:rPr>
            </w:pPr>
            <w:r w:rsidRPr="00A76C5A">
              <w:rPr>
                <w:b/>
                <w:bCs/>
                <w:i/>
                <w:iCs/>
                <w:color w:val="000000"/>
                <w:sz w:val="26"/>
                <w:szCs w:val="26"/>
              </w:rPr>
              <w:t>Kết luận mục2</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b/>
                <w:bCs/>
                <w:i/>
                <w:iCs/>
                <w:color w:val="000000"/>
                <w:sz w:val="26"/>
                <w:szCs w:val="26"/>
              </w:rPr>
            </w:pPr>
            <w:r w:rsidRPr="00A76C5A">
              <w:rPr>
                <w:b/>
                <w:bCs/>
                <w:i/>
                <w:iCs/>
                <w:color w:val="000000"/>
                <w:sz w:val="26"/>
                <w:szCs w:val="26"/>
              </w:rPr>
              <w:t>Tất cả tiêu chuẩn chi tiết đều được xác định là đạt.</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b/>
                <w:bCs/>
                <w:i/>
                <w:iCs/>
                <w:color w:val="000000"/>
                <w:sz w:val="26"/>
                <w:szCs w:val="26"/>
              </w:rPr>
            </w:pPr>
            <w:r w:rsidRPr="00A76C5A">
              <w:rPr>
                <w:b/>
                <w:bCs/>
                <w:i/>
                <w:iCs/>
                <w:color w:val="000000"/>
                <w:sz w:val="26"/>
                <w:szCs w:val="26"/>
              </w:rPr>
              <w:t>Có ≥ 1 tiêu chuẩn chi tiết được xác định là không đạt.</w:t>
            </w:r>
          </w:p>
        </w:tc>
      </w:tr>
      <w:tr w:rsidR="00A76C5A" w:rsidRPr="00A76C5A" w:rsidTr="00A07907">
        <w:trPr>
          <w:trHeight w:val="132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3</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Mức độ đáp ứng các yêu cầu về cung cấp vật tư, thiết bị thay thế và các dịch vụ liên quan khác (nếu có) trong toàn bộ quá trình sử dụng của hàng hóa: ≥ 20 năm</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Nhà thầu có cam kết đáp ứng theo yêu cầu.</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Nhà thầu không có cam kết hoặc cam kết không đáp ứng theo yêu cầu</w:t>
            </w:r>
          </w:p>
        </w:tc>
      </w:tr>
      <w:tr w:rsidR="00A76C5A" w:rsidRPr="00A76C5A" w:rsidTr="00A07907">
        <w:trPr>
          <w:trHeight w:val="66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4</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xml:space="preserve">Tiến độ cung cấp hàng hóa: Đáp ứng yêu cầu tại Mẫu số 01A. Phạm vi cung cấp hàng hóa Chương IV. </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Tiến độ cung cấp đáp ứng yêu cầu</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Tiến độ cung cấp không đáp ứng yêu cầu</w:t>
            </w:r>
          </w:p>
        </w:tc>
      </w:tr>
      <w:tr w:rsidR="00A76C5A" w:rsidRPr="00A76C5A" w:rsidTr="00A07907">
        <w:trPr>
          <w:trHeight w:val="264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t>5</w:t>
            </w:r>
          </w:p>
        </w:tc>
        <w:tc>
          <w:tcPr>
            <w:tcW w:w="1626"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1638"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Không có từ 02 hợp đồng trở lên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1330" w:type="pct"/>
            <w:tcBorders>
              <w:top w:val="nil"/>
              <w:left w:val="nil"/>
              <w:bottom w:val="single" w:sz="4" w:space="0" w:color="auto"/>
              <w:right w:val="single" w:sz="4" w:space="0" w:color="auto"/>
            </w:tcBorders>
            <w:hideMark/>
          </w:tcPr>
          <w:p w:rsidR="00A76C5A" w:rsidRPr="00A76C5A" w:rsidRDefault="00A76C5A" w:rsidP="00A07907">
            <w:pPr>
              <w:jc w:val="left"/>
              <w:rPr>
                <w:color w:val="000000"/>
                <w:sz w:val="26"/>
                <w:szCs w:val="26"/>
              </w:rPr>
            </w:pPr>
            <w:r w:rsidRPr="00A76C5A">
              <w:rPr>
                <w:color w:val="000000"/>
                <w:sz w:val="26"/>
                <w:szCs w:val="26"/>
              </w:rPr>
              <w:t>- Có từ 02 hợp đồng trở lên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A76C5A" w:rsidRPr="00A76C5A" w:rsidTr="00A07907">
        <w:trPr>
          <w:trHeight w:val="330"/>
        </w:trPr>
        <w:tc>
          <w:tcPr>
            <w:tcW w:w="406" w:type="pct"/>
            <w:tcBorders>
              <w:top w:val="nil"/>
              <w:left w:val="single" w:sz="4" w:space="0" w:color="auto"/>
              <w:bottom w:val="single" w:sz="4" w:space="0" w:color="auto"/>
              <w:right w:val="single" w:sz="4" w:space="0" w:color="auto"/>
            </w:tcBorders>
            <w:noWrap/>
            <w:hideMark/>
          </w:tcPr>
          <w:p w:rsidR="00A76C5A" w:rsidRPr="00A76C5A" w:rsidRDefault="00A76C5A" w:rsidP="00A07907">
            <w:pPr>
              <w:jc w:val="center"/>
              <w:rPr>
                <w:color w:val="000000"/>
                <w:sz w:val="26"/>
                <w:szCs w:val="26"/>
              </w:rPr>
            </w:pPr>
            <w:r w:rsidRPr="00A76C5A">
              <w:rPr>
                <w:color w:val="000000"/>
                <w:sz w:val="26"/>
                <w:szCs w:val="26"/>
              </w:rPr>
              <w:lastRenderedPageBreak/>
              <w:t>*</w:t>
            </w:r>
          </w:p>
        </w:tc>
        <w:tc>
          <w:tcPr>
            <w:tcW w:w="4594" w:type="pct"/>
            <w:gridSpan w:val="3"/>
            <w:tcBorders>
              <w:top w:val="single" w:sz="4" w:space="0" w:color="auto"/>
              <w:left w:val="nil"/>
              <w:bottom w:val="single" w:sz="4" w:space="0" w:color="auto"/>
              <w:right w:val="single" w:sz="4" w:space="0" w:color="auto"/>
            </w:tcBorders>
            <w:hideMark/>
          </w:tcPr>
          <w:p w:rsidR="00A76C5A" w:rsidRPr="00A76C5A" w:rsidRDefault="00A76C5A" w:rsidP="00A07907">
            <w:pPr>
              <w:jc w:val="center"/>
              <w:rPr>
                <w:color w:val="000000"/>
                <w:sz w:val="26"/>
                <w:szCs w:val="26"/>
              </w:rPr>
            </w:pPr>
            <w:r w:rsidRPr="00A76C5A">
              <w:rPr>
                <w:color w:val="000000"/>
                <w:sz w:val="26"/>
                <w:szCs w:val="26"/>
              </w:rPr>
              <w:t>Nhà thầu được đánh giá là đạt yêu cầu về kỹ thuật khi các tiêu chuẩn 1, 2, 3, 4, 5 được đánh giá là đạt. Trường hợp nhà thầu không đạt một trong các tiêu chuẩn 1, 2, 3, 4, 5 thì được đánh giá là không đạt và không được xem xét, đánh giá bước tiếp theo</w:t>
            </w:r>
          </w:p>
        </w:tc>
      </w:tr>
    </w:tbl>
    <w:p w:rsidR="00965AE0" w:rsidRDefault="00965AE0"/>
    <w:sectPr w:rsidR="0096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5A"/>
    <w:rsid w:val="00965AE0"/>
    <w:rsid w:val="00A7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02EBA-189C-419E-BB0A-2479F743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C5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76C5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2025-12-18T11:22:00Z</dcterms:created>
  <dcterms:modified xsi:type="dcterms:W3CDTF">2025-12-18T11:24:00Z</dcterms:modified>
</cp:coreProperties>
</file>