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FF" w:rsidRPr="00B231FF" w:rsidRDefault="00B231FF" w:rsidP="00B231FF">
      <w:pPr>
        <w:pStyle w:val="TOC1"/>
        <w:spacing w:line="264" w:lineRule="auto"/>
        <w:rPr>
          <w:rFonts w:ascii="Times New Roman" w:hAnsi="Times New Roman" w:cs="Times New Roman"/>
        </w:rPr>
      </w:pPr>
      <w:r w:rsidRPr="00B231FF">
        <w:rPr>
          <w:rFonts w:ascii="Times New Roman" w:hAnsi="Times New Roman" w:cs="Times New Roman"/>
        </w:rPr>
        <w:t xml:space="preserve">Mục </w:t>
      </w:r>
      <w:r w:rsidRPr="00B231FF">
        <w:rPr>
          <w:rFonts w:ascii="Times New Roman" w:hAnsi="Times New Roman" w:cs="Times New Roman"/>
          <w:lang w:val="pl-PL"/>
        </w:rPr>
        <w:t>3</w:t>
      </w:r>
      <w:r w:rsidRPr="00B231FF">
        <w:rPr>
          <w:rFonts w:ascii="Times New Roman" w:hAnsi="Times New Roman" w:cs="Times New Roman"/>
        </w:rPr>
        <w:t>. Tiêu chuẩn đánh giá về kỹ thuật</w:t>
      </w:r>
    </w:p>
    <w:p w:rsidR="00B231FF" w:rsidRPr="00B231FF" w:rsidRDefault="00B231FF" w:rsidP="00B231FF">
      <w:pPr>
        <w:spacing w:before="80" w:after="80" w:line="264" w:lineRule="auto"/>
        <w:ind w:firstLine="709"/>
        <w:rPr>
          <w:sz w:val="28"/>
          <w:szCs w:val="28"/>
        </w:rPr>
      </w:pPr>
      <w:r w:rsidRPr="00B231FF">
        <w:rPr>
          <w:sz w:val="28"/>
          <w:szCs w:val="28"/>
          <w:lang w:val="vi-VN"/>
        </w:rPr>
        <w:t xml:space="preserve">Sử dụng tiêu chí đạt/không đạt </w:t>
      </w:r>
      <w:r w:rsidRPr="00B231FF">
        <w:rPr>
          <w:sz w:val="28"/>
          <w:szCs w:val="28"/>
        </w:rPr>
        <w:t>như sau: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8930"/>
        <w:gridCol w:w="2268"/>
      </w:tblGrid>
      <w:tr w:rsidR="00B231FF" w:rsidRPr="00B231FF" w:rsidTr="00B231FF">
        <w:trPr>
          <w:trHeight w:val="70"/>
        </w:trPr>
        <w:tc>
          <w:tcPr>
            <w:tcW w:w="12186" w:type="dxa"/>
            <w:gridSpan w:val="2"/>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b/>
                <w:sz w:val="28"/>
                <w:szCs w:val="28"/>
              </w:rPr>
            </w:pPr>
            <w:r w:rsidRPr="00B231FF">
              <w:rPr>
                <w:b/>
                <w:sz w:val="28"/>
                <w:szCs w:val="28"/>
              </w:rPr>
              <w:t>Nội dung đánh giá</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ind w:right="45"/>
              <w:jc w:val="center"/>
              <w:rPr>
                <w:b/>
                <w:sz w:val="28"/>
                <w:szCs w:val="28"/>
              </w:rPr>
            </w:pPr>
            <w:r w:rsidRPr="00B231FF">
              <w:rPr>
                <w:b/>
                <w:sz w:val="28"/>
                <w:szCs w:val="28"/>
              </w:rPr>
              <w:t>Sử dụng tiêu chí đạt, không đạt</w:t>
            </w:r>
          </w:p>
        </w:tc>
      </w:tr>
      <w:tr w:rsidR="00B231FF" w:rsidRPr="00B231FF" w:rsidTr="00B231FF">
        <w:tc>
          <w:tcPr>
            <w:tcW w:w="14454" w:type="dxa"/>
            <w:gridSpan w:val="3"/>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b/>
                <w:sz w:val="28"/>
                <w:szCs w:val="28"/>
              </w:rPr>
            </w:pPr>
            <w:r w:rsidRPr="00B231FF">
              <w:rPr>
                <w:b/>
                <w:sz w:val="28"/>
                <w:szCs w:val="28"/>
              </w:rPr>
              <w:t>1. Đặc tính kỹ thuật của hàng hóa</w:t>
            </w:r>
          </w:p>
        </w:tc>
      </w:tr>
      <w:tr w:rsidR="00B231FF" w:rsidRPr="00B231FF" w:rsidTr="00B231FF">
        <w:trPr>
          <w:trHeight w:val="1264"/>
        </w:trPr>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sz w:val="28"/>
                <w:szCs w:val="28"/>
              </w:rPr>
            </w:pPr>
            <w:r w:rsidRPr="00B231FF">
              <w:rPr>
                <w:sz w:val="28"/>
                <w:szCs w:val="28"/>
              </w:rPr>
              <w:t>Đặc tính, thông số kỹ thuật của hàng hóa, tiêu chuẩn sản xuất, tiêu chuẩn chế tạo và công nghệ</w:t>
            </w:r>
          </w:p>
        </w:tc>
        <w:tc>
          <w:tcPr>
            <w:tcW w:w="8930"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sz w:val="28"/>
                <w:szCs w:val="28"/>
              </w:rPr>
            </w:pPr>
            <w:r w:rsidRPr="00B231FF">
              <w:rPr>
                <w:sz w:val="28"/>
                <w:szCs w:val="28"/>
              </w:rPr>
              <w:t>- Có đặc tính, thông số kỹ thuật của hàng hóa, tiêu chuẩn sản xuất, tiêu chuẩn chế tạo và công nghệ hoàn toàn phù hợp đáp ứng yêu cầu chương V của E-HSMT.</w:t>
            </w:r>
          </w:p>
          <w:p w:rsidR="00B231FF" w:rsidRPr="00B231FF" w:rsidRDefault="00B231FF" w:rsidP="002C31BD">
            <w:pPr>
              <w:widowControl w:val="0"/>
              <w:spacing w:before="120" w:line="320" w:lineRule="exact"/>
              <w:ind w:right="45"/>
              <w:rPr>
                <w:sz w:val="28"/>
                <w:szCs w:val="28"/>
              </w:rPr>
            </w:pPr>
            <w:r w:rsidRPr="00B231FF">
              <w:rPr>
                <w:sz w:val="28"/>
                <w:szCs w:val="28"/>
              </w:rPr>
              <w:t xml:space="preserve">- Thiết bị chào thầu phải nêu rõ: Ký mã hiệu, nhãn mác sản phẩm (theo quy định của nhà sản xuất (nếu có)); Tên nhà sản xuất, xuất xứ rõ ràng; Sản xuất từ năm 2024 trở về sau, mới 100%; </w:t>
            </w:r>
          </w:p>
          <w:p w:rsidR="00B231FF" w:rsidRPr="00B231FF" w:rsidRDefault="00B231FF" w:rsidP="002C31BD">
            <w:pPr>
              <w:spacing w:before="120" w:line="320" w:lineRule="exact"/>
              <w:ind w:right="45"/>
              <w:rPr>
                <w:sz w:val="28"/>
                <w:szCs w:val="28"/>
              </w:rPr>
            </w:pPr>
            <w:r w:rsidRPr="00B231FF">
              <w:rPr>
                <w:sz w:val="28"/>
                <w:szCs w:val="28"/>
              </w:rPr>
              <w:t xml:space="preserve"> - Nhà thầu cung cấp bản gốc hoặc bản sao Catalogue hoặc tài liệu xác nhận thông số kỹ thuật của nhà sản xuất hoặc nhà phân phối chính thức tại Việt Nam (Không yêu cầu với vật tư, phụ kiện, nhân công lắp đặt);</w:t>
            </w:r>
          </w:p>
          <w:p w:rsidR="00B231FF" w:rsidRPr="00B231FF" w:rsidRDefault="00B231FF" w:rsidP="002C31BD">
            <w:pPr>
              <w:spacing w:before="120" w:line="320" w:lineRule="exact"/>
              <w:ind w:right="45"/>
              <w:rPr>
                <w:sz w:val="28"/>
                <w:szCs w:val="28"/>
              </w:rPr>
            </w:pPr>
            <w:r w:rsidRPr="00B231FF">
              <w:rPr>
                <w:sz w:val="28"/>
                <w:szCs w:val="28"/>
              </w:rPr>
              <w:t>- Nhà thầu phải cam kết: Hàng hóa cung cấp phải có Giấy chứng nhận xuất xứ (CO), Giấy chứng nhận chất lượng (CQ) đối với hàng hóa nhập khẩu (Không yêu cầu với vật tư, linh phụ kiện lắp đặt).</w:t>
            </w:r>
          </w:p>
          <w:p w:rsidR="00B231FF" w:rsidRPr="00B231FF" w:rsidRDefault="00B231FF" w:rsidP="002C31BD">
            <w:pPr>
              <w:ind w:right="108"/>
              <w:rPr>
                <w:sz w:val="28"/>
                <w:szCs w:val="28"/>
                <w:lang w:val="nl-NL"/>
              </w:rPr>
            </w:pPr>
            <w:r w:rsidRPr="00B231FF">
              <w:rPr>
                <w:sz w:val="28"/>
                <w:szCs w:val="28"/>
                <w:lang w:val="nl-NL"/>
              </w:rPr>
              <w:t>- Có chứng nhận bản quyền của nhà sản xuất về phần mềm lẫn phần cứng để tránh tranh chấp về Sở hữu trí tuệ.</w:t>
            </w:r>
          </w:p>
          <w:p w:rsidR="00B231FF" w:rsidRPr="00B231FF" w:rsidRDefault="00B231FF" w:rsidP="002C31BD">
            <w:pPr>
              <w:spacing w:before="120" w:line="320" w:lineRule="exact"/>
              <w:ind w:right="45"/>
              <w:rPr>
                <w:sz w:val="28"/>
                <w:szCs w:val="28"/>
              </w:rPr>
            </w:pPr>
            <w:r w:rsidRPr="00B231FF">
              <w:rPr>
                <w:sz w:val="28"/>
                <w:szCs w:val="28"/>
              </w:rPr>
              <w:t xml:space="preserve">- Toàn bộ hệ thống phải có khả năng kết nối, nhận bản tin từ Hệ thống thông tin nguồn cấp tỉnh và chia sẻ dữ liệu về hoạt động thông tin cơ sở ngược lại, bảo đảm mô hình kết nối, chia sẻ dữ liệu xuyên suốt từ trung ương – tỉnh – huyện – xã như hướng dẫn tại tài liệu 2455/BTTTT-TTCS. Nhà thầu </w:t>
            </w:r>
            <w:r w:rsidR="00580BEA">
              <w:rPr>
                <w:sz w:val="28"/>
                <w:szCs w:val="28"/>
              </w:rPr>
              <w:t xml:space="preserve">cam kết </w:t>
            </w:r>
            <w:r w:rsidRPr="00B231FF">
              <w:rPr>
                <w:sz w:val="28"/>
                <w:szCs w:val="28"/>
              </w:rPr>
              <w:t>có trách nhiệm phối hợp chủ đầu tư để hoàn thiện công tác đấu nối và đưa vào sử dụng trong thời gian lắp đặt hệ thống truyền thanh thông minh.</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rPr>
          <w:trHeight w:val="70"/>
        </w:trPr>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B231FF">
            <w:pPr>
              <w:spacing w:before="120" w:line="350" w:lineRule="exact"/>
              <w:ind w:right="45"/>
              <w:rPr>
                <w:sz w:val="28"/>
                <w:szCs w:val="28"/>
              </w:rPr>
            </w:pPr>
            <w:r w:rsidRPr="00B231FF">
              <w:rPr>
                <w:sz w:val="28"/>
                <w:szCs w:val="28"/>
              </w:rPr>
              <w:t>- Không có đặc tính, thông số kỹ thuật của hàng hóa, tiêu chuẩn sản xuất, tiêu chuẩn chế tạo và công nghệ phù hợp, đáp ứng yêu cầu chương V của E-HSMT.</w:t>
            </w:r>
          </w:p>
          <w:p w:rsidR="00B231FF" w:rsidRPr="00B231FF" w:rsidRDefault="00B231FF" w:rsidP="00B231FF">
            <w:pPr>
              <w:widowControl w:val="0"/>
              <w:spacing w:before="120" w:after="60" w:line="350" w:lineRule="exact"/>
              <w:ind w:right="45"/>
              <w:rPr>
                <w:sz w:val="28"/>
                <w:szCs w:val="28"/>
              </w:rPr>
            </w:pPr>
            <w:r w:rsidRPr="00B231FF">
              <w:rPr>
                <w:sz w:val="28"/>
                <w:szCs w:val="28"/>
              </w:rPr>
              <w:t xml:space="preserve">- Thiết bị chào thầu không nêu đầy đủ: Ký mã hiệu, nhãn mác sản phẩm (theo quy định của nhà sản xuất (nếu có)); Tên nhà sản xuất, xuất xứ không rõ ràng; Sản xuất từ năm 2023 trở về trước; không phải là hàng mới 100% hoặc: </w:t>
            </w:r>
          </w:p>
          <w:p w:rsidR="00B231FF" w:rsidRPr="00B231FF" w:rsidRDefault="00B231FF" w:rsidP="00B231FF">
            <w:pPr>
              <w:widowControl w:val="0"/>
              <w:spacing w:before="120" w:after="60" w:line="350" w:lineRule="exact"/>
              <w:ind w:right="45"/>
              <w:rPr>
                <w:sz w:val="28"/>
                <w:szCs w:val="28"/>
              </w:rPr>
            </w:pPr>
            <w:r w:rsidRPr="00B231FF">
              <w:rPr>
                <w:sz w:val="28"/>
                <w:szCs w:val="28"/>
              </w:rPr>
              <w:t xml:space="preserve">- Không có đầy đủ bản gốc hoặc bản sao tài liệu xác nhận thông số kỹ thuật hoặc Catalogue của nhà sản xuất hoặc nhà phân phối chính thức tại Việt Nam </w:t>
            </w:r>
          </w:p>
          <w:p w:rsidR="00B231FF" w:rsidRPr="00B231FF" w:rsidRDefault="00B231FF" w:rsidP="00B231FF">
            <w:pPr>
              <w:spacing w:before="120" w:line="350" w:lineRule="exact"/>
              <w:ind w:right="45"/>
              <w:rPr>
                <w:sz w:val="28"/>
                <w:szCs w:val="28"/>
              </w:rPr>
            </w:pPr>
            <w:r w:rsidRPr="00B231FF">
              <w:rPr>
                <w:sz w:val="28"/>
                <w:szCs w:val="28"/>
              </w:rPr>
              <w:t>- Nhà thầu không có cam kết: Hàng hóa cung cấp phải có Giấy chứng nhận xuất xứ (CO), Giấy chứng nhận chất lượng (CQ) đối với hàng hóa nhập khẩu (Không bao gồm vật tư, linh phụ kiện lắp đặt) Và không cung cấp CO, CQ khi giao hàng.</w:t>
            </w:r>
          </w:p>
          <w:p w:rsidR="00B231FF" w:rsidRPr="00B231FF" w:rsidRDefault="00B231FF" w:rsidP="00B231FF">
            <w:pPr>
              <w:spacing w:before="120" w:line="350" w:lineRule="exact"/>
              <w:ind w:right="108"/>
              <w:rPr>
                <w:sz w:val="28"/>
                <w:szCs w:val="28"/>
                <w:lang w:val="nl-NL"/>
              </w:rPr>
            </w:pPr>
            <w:r w:rsidRPr="00B231FF">
              <w:rPr>
                <w:sz w:val="28"/>
                <w:szCs w:val="28"/>
                <w:lang w:val="nl-NL"/>
              </w:rPr>
              <w:t>- Không có chứng nhận bản quyền của nhà sản xuất về phần mềm lẫn phần cứng để tránh tranh chấp về Sở hữu trí tuệ.</w:t>
            </w:r>
          </w:p>
          <w:p w:rsidR="00B231FF" w:rsidRPr="00B231FF" w:rsidRDefault="00B231FF" w:rsidP="00B231FF">
            <w:pPr>
              <w:spacing w:before="120" w:line="350" w:lineRule="exact"/>
              <w:ind w:right="45"/>
              <w:rPr>
                <w:sz w:val="28"/>
                <w:szCs w:val="28"/>
              </w:rPr>
            </w:pPr>
            <w:r w:rsidRPr="00B231FF">
              <w:rPr>
                <w:sz w:val="28"/>
                <w:szCs w:val="28"/>
              </w:rPr>
              <w:t xml:space="preserve">- Hệ thống không có khả năng kết nối, nhận bản tin từ Hệ thống thông tin nguồn cấp tỉnh và chia sẻ dữ liệu về hoạt động thông tin cơ sở ngược lại, bảo đảm mô hình kết nối, chia sẻ dữ liệu xuyên suốt từ trung ương – tỉnh – huyện – xã như hướng dẫn tại tài liệu 2455/BTTTT-TTCS. Nhà thầu </w:t>
            </w:r>
            <w:r w:rsidR="00580BEA">
              <w:rPr>
                <w:sz w:val="28"/>
                <w:szCs w:val="28"/>
              </w:rPr>
              <w:t>k</w:t>
            </w:r>
            <w:r w:rsidRPr="00B231FF">
              <w:rPr>
                <w:sz w:val="28"/>
                <w:szCs w:val="28"/>
              </w:rPr>
              <w:t xml:space="preserve">hông </w:t>
            </w:r>
            <w:r w:rsidR="00580BEA">
              <w:rPr>
                <w:sz w:val="28"/>
                <w:szCs w:val="28"/>
              </w:rPr>
              <w:t xml:space="preserve">không có cam kết </w:t>
            </w:r>
            <w:r w:rsidRPr="00B231FF">
              <w:rPr>
                <w:sz w:val="28"/>
                <w:szCs w:val="28"/>
              </w:rPr>
              <w:t>phối hợp chủ đầu tư để hoàn thiện công tác đấu nối và đưa vào sử dụng trong thời gian lắp đặt hệ thống truyền thanh thông minh.</w:t>
            </w: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c>
          <w:tcPr>
            <w:tcW w:w="14454" w:type="dxa"/>
            <w:gridSpan w:val="3"/>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120" w:line="320" w:lineRule="exact"/>
              <w:ind w:right="43"/>
              <w:rPr>
                <w:b/>
                <w:sz w:val="28"/>
                <w:szCs w:val="28"/>
              </w:rPr>
            </w:pPr>
            <w:r w:rsidRPr="00B231FF">
              <w:rPr>
                <w:b/>
                <w:sz w:val="28"/>
                <w:szCs w:val="28"/>
              </w:rPr>
              <w:lastRenderedPageBreak/>
              <w:t>2. Giải pháp kỹ thuật, biện pháp tổ chức cung cấp, lắp đặt hàng hóa</w:t>
            </w:r>
          </w:p>
        </w:tc>
      </w:tr>
      <w:tr w:rsidR="00B231FF" w:rsidRPr="00B231FF" w:rsidTr="00E216B7">
        <w:trPr>
          <w:trHeight w:val="274"/>
        </w:trPr>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sz w:val="28"/>
                <w:szCs w:val="28"/>
              </w:rPr>
            </w:pPr>
            <w:r w:rsidRPr="00B231FF">
              <w:rPr>
                <w:sz w:val="28"/>
                <w:szCs w:val="28"/>
              </w:rPr>
              <w:t>Tính hợp lý và hiệu quả kinh tế của các giải pháp kỹ thuật, biện pháp tổ chức cung cấp, lắp đặt hàng hóa.</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ind w:firstLine="115"/>
              <w:rPr>
                <w:sz w:val="28"/>
                <w:szCs w:val="28"/>
              </w:rPr>
            </w:pPr>
            <w:r w:rsidRPr="00B231FF">
              <w:rPr>
                <w:sz w:val="28"/>
                <w:szCs w:val="28"/>
              </w:rPr>
              <w:t>- Có các giải pháp kỹ thuật, biện pháp tổ chức cung cấp, lắp đặt hàng hóa hợp lý và hiệu quả kinh tế, cụ thể:</w:t>
            </w:r>
          </w:p>
          <w:p w:rsidR="00B231FF" w:rsidRPr="00B231FF" w:rsidRDefault="00B231FF" w:rsidP="002C31BD">
            <w:pPr>
              <w:ind w:firstLine="115"/>
              <w:rPr>
                <w:sz w:val="28"/>
                <w:szCs w:val="28"/>
              </w:rPr>
            </w:pPr>
            <w:r w:rsidRPr="00B231FF">
              <w:rPr>
                <w:sz w:val="28"/>
                <w:szCs w:val="28"/>
              </w:rPr>
              <w:t>- Có thuyết minh phương án vận chuyển, phương tiện vận chuyển đến đơn vị sử dụng.</w:t>
            </w:r>
          </w:p>
          <w:p w:rsidR="00B231FF" w:rsidRPr="00B231FF" w:rsidRDefault="00B231FF" w:rsidP="002C31BD">
            <w:pPr>
              <w:ind w:firstLine="115"/>
              <w:rPr>
                <w:sz w:val="28"/>
                <w:szCs w:val="28"/>
              </w:rPr>
            </w:pPr>
            <w:r w:rsidRPr="00B231FF">
              <w:rPr>
                <w:sz w:val="28"/>
                <w:szCs w:val="28"/>
              </w:rPr>
              <w:t>- Biện pháp bảo quản để đảm bảo về chất lượng của thiết bị trong quá trình vận chuyển, lắp đặt.</w:t>
            </w:r>
          </w:p>
          <w:p w:rsidR="00B231FF" w:rsidRPr="00B231FF" w:rsidRDefault="00B231FF" w:rsidP="002C31BD">
            <w:pPr>
              <w:ind w:right="43"/>
              <w:rPr>
                <w:sz w:val="28"/>
                <w:szCs w:val="28"/>
              </w:rPr>
            </w:pPr>
            <w:r w:rsidRPr="00B231FF">
              <w:rPr>
                <w:sz w:val="28"/>
                <w:szCs w:val="28"/>
              </w:rPr>
              <w:lastRenderedPageBreak/>
              <w:t>- Phương án tập kết thiết bị và lưu kho tại đơn vị sử dụng, chuẩn bị cho công tác thi công lắp đặt.</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lastRenderedPageBreak/>
              <w:t>Đạt</w:t>
            </w:r>
          </w:p>
        </w:tc>
      </w:tr>
      <w:tr w:rsidR="00B231FF" w:rsidRPr="00B231FF" w:rsidTr="00B231FF">
        <w:trPr>
          <w:trHeight w:val="1302"/>
        </w:trPr>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ind w:firstLine="115"/>
              <w:rPr>
                <w:sz w:val="28"/>
                <w:szCs w:val="28"/>
              </w:rPr>
            </w:pPr>
            <w:r w:rsidRPr="00B231FF">
              <w:rPr>
                <w:sz w:val="28"/>
                <w:szCs w:val="28"/>
              </w:rPr>
              <w:t xml:space="preserve">- Không có thuyết minh phương án vận chuyển, phương tiện vận chuyển đến đơn vị sử dụng hoặc: </w:t>
            </w:r>
          </w:p>
          <w:p w:rsidR="00B231FF" w:rsidRPr="00B231FF" w:rsidRDefault="00B231FF" w:rsidP="002C31BD">
            <w:pPr>
              <w:ind w:firstLine="115"/>
              <w:rPr>
                <w:sz w:val="28"/>
                <w:szCs w:val="28"/>
              </w:rPr>
            </w:pPr>
            <w:r w:rsidRPr="00B231FF">
              <w:rPr>
                <w:sz w:val="28"/>
                <w:szCs w:val="28"/>
              </w:rPr>
              <w:t xml:space="preserve">- Không có biện pháp bảo quản để đảm bảo về chất lượng của thiết bị trong quá trình vận chuyển, lắp đặt hoặc: </w:t>
            </w:r>
          </w:p>
          <w:p w:rsidR="00B231FF" w:rsidRPr="00B231FF" w:rsidRDefault="00B231FF" w:rsidP="002C31BD">
            <w:pPr>
              <w:ind w:right="43"/>
              <w:rPr>
                <w:sz w:val="28"/>
                <w:szCs w:val="28"/>
              </w:rPr>
            </w:pPr>
            <w:r w:rsidRPr="00B231FF">
              <w:rPr>
                <w:sz w:val="28"/>
                <w:szCs w:val="28"/>
              </w:rPr>
              <w:t>- Không có phương án tập kết thiết bị và lưu kho tại đơn vị sử dụng, chuẩn bị cho công tác thi công lắp đặt.</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c>
          <w:tcPr>
            <w:tcW w:w="14454" w:type="dxa"/>
            <w:gridSpan w:val="3"/>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b/>
                <w:sz w:val="28"/>
                <w:szCs w:val="28"/>
              </w:rPr>
            </w:pPr>
            <w:r w:rsidRPr="00B231FF">
              <w:rPr>
                <w:b/>
                <w:sz w:val="28"/>
                <w:szCs w:val="28"/>
              </w:rPr>
              <w:t>3. Tiến độ cung cấp hàng hóa</w:t>
            </w:r>
          </w:p>
        </w:tc>
      </w:tr>
      <w:tr w:rsidR="00B231FF" w:rsidRPr="00B231FF" w:rsidTr="00B231FF">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sz w:val="28"/>
                <w:szCs w:val="28"/>
              </w:rPr>
            </w:pPr>
            <w:r w:rsidRPr="00B231FF">
              <w:rPr>
                <w:sz w:val="28"/>
                <w:szCs w:val="28"/>
              </w:rPr>
              <w:t>Bảng tiến độ cung cấp hàng hóa hợp lý, khả thi phù hợp với đề xuất kỹ thuật và đáp ứng yêu cầu của E-HSMT.</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ind w:left="114"/>
              <w:rPr>
                <w:sz w:val="28"/>
                <w:szCs w:val="28"/>
              </w:rPr>
            </w:pPr>
            <w:r w:rsidRPr="00B231FF">
              <w:rPr>
                <w:sz w:val="28"/>
                <w:szCs w:val="28"/>
              </w:rPr>
              <w:t>- Có bảng tiến độ chi tiết (thuyết minh chi tiết, cụ thể): Thời gian cung ứng hoặc sản xuất hàng hóa và tập kết đến đơn vị sử dụng; Thời gian thi công, lắp đặt thiết bị tại đơn vị sử dụng; Thời gian nghiệm thu, bàn giao.</w:t>
            </w:r>
          </w:p>
          <w:p w:rsidR="00B231FF" w:rsidRPr="00B231FF" w:rsidRDefault="00B231FF" w:rsidP="002C31BD">
            <w:pPr>
              <w:ind w:right="45"/>
              <w:rPr>
                <w:sz w:val="28"/>
                <w:szCs w:val="28"/>
              </w:rPr>
            </w:pPr>
            <w:r w:rsidRPr="00B231FF">
              <w:rPr>
                <w:sz w:val="28"/>
                <w:szCs w:val="28"/>
              </w:rPr>
              <w:t>- Tổng tiến độ hoàn thành gói thầu: &lt;= 10 ngày</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ind w:left="114"/>
              <w:rPr>
                <w:sz w:val="28"/>
                <w:szCs w:val="28"/>
              </w:rPr>
            </w:pPr>
            <w:r w:rsidRPr="00B231FF">
              <w:rPr>
                <w:sz w:val="28"/>
                <w:szCs w:val="28"/>
              </w:rPr>
              <w:t>- Không có bảng tiến độ chi tiết (thuyết minh chi tiết, cụ thể): Thời gian cung ứng hoặc sản xuất hàng hóa và tập kết đến đơn vị sử dụng; Thời gian thi công, lắp đặt thiết bị tại đơn vị sử dụng; Thời gian nghiệm thu, bàn giao hoặc:</w:t>
            </w:r>
          </w:p>
          <w:p w:rsidR="00B231FF" w:rsidRPr="00B231FF" w:rsidRDefault="00B231FF" w:rsidP="002C31BD">
            <w:pPr>
              <w:ind w:right="45"/>
              <w:rPr>
                <w:sz w:val="28"/>
                <w:szCs w:val="28"/>
              </w:rPr>
            </w:pPr>
            <w:r w:rsidRPr="00B231FF">
              <w:rPr>
                <w:sz w:val="28"/>
                <w:szCs w:val="28"/>
              </w:rPr>
              <w:t>- Tổng tiến độ hoàn thành gói thầu: &gt; 10 ngày</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c>
          <w:tcPr>
            <w:tcW w:w="3256"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sz w:val="28"/>
                <w:szCs w:val="28"/>
              </w:rPr>
            </w:pPr>
            <w:r w:rsidRPr="00B231FF">
              <w:rPr>
                <w:b/>
                <w:sz w:val="28"/>
                <w:szCs w:val="28"/>
              </w:rPr>
              <w:t>4. Bảo hành</w:t>
            </w:r>
            <w:r w:rsidR="00ED1B0D">
              <w:rPr>
                <w:b/>
                <w:sz w:val="28"/>
                <w:szCs w:val="28"/>
              </w:rPr>
              <w:t>, bảo trì</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120" w:line="320" w:lineRule="exact"/>
              <w:ind w:right="45"/>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p>
        </w:tc>
      </w:tr>
      <w:tr w:rsidR="00B231FF" w:rsidRPr="00B231FF" w:rsidTr="00B231FF">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sz w:val="28"/>
                <w:szCs w:val="28"/>
              </w:rPr>
            </w:pPr>
            <w:r w:rsidRPr="00B231FF">
              <w:rPr>
                <w:sz w:val="28"/>
                <w:szCs w:val="28"/>
              </w:rPr>
              <w:t>Thời gian bảo hành</w:t>
            </w:r>
            <w:r w:rsidR="00ED1B0D">
              <w:rPr>
                <w:sz w:val="28"/>
                <w:szCs w:val="28"/>
              </w:rPr>
              <w:t>, bảo trì</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60" w:line="320" w:lineRule="exact"/>
              <w:rPr>
                <w:rFonts w:asciiTheme="majorHAnsi" w:hAnsiTheme="majorHAnsi" w:cstheme="majorHAnsi"/>
                <w:sz w:val="28"/>
                <w:szCs w:val="28"/>
              </w:rPr>
            </w:pPr>
            <w:r w:rsidRPr="00B231FF">
              <w:rPr>
                <w:sz w:val="28"/>
                <w:szCs w:val="28"/>
              </w:rPr>
              <w:t xml:space="preserve">Thời gian bảo hành ≥ 12 tháng. Nhà thầu có </w:t>
            </w:r>
            <w:r w:rsidR="00ED1B0D">
              <w:rPr>
                <w:sz w:val="28"/>
                <w:szCs w:val="28"/>
              </w:rPr>
              <w:t xml:space="preserve">trình bày </w:t>
            </w:r>
            <w:r w:rsidRPr="00B231FF">
              <w:rPr>
                <w:sz w:val="28"/>
                <w:szCs w:val="28"/>
              </w:rPr>
              <w:t>kế hoạch cung cấp dịch vụ bảo hành, bảo trì; năng lực cung cấp các dịch vụ sau bán hàng; cung cấp vật tư, phụ tùng thay thế; khả năng lắp đặt thiết bị, hàng hoá</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line="360" w:lineRule="exact"/>
              <w:ind w:right="45"/>
              <w:rPr>
                <w:sz w:val="28"/>
                <w:szCs w:val="28"/>
              </w:rPr>
            </w:pPr>
            <w:r w:rsidRPr="00B231FF">
              <w:rPr>
                <w:sz w:val="28"/>
                <w:szCs w:val="28"/>
              </w:rPr>
              <w:t xml:space="preserve">Thời gian bảo hành &lt; 12 tháng. Nhà thầu không có </w:t>
            </w:r>
            <w:r w:rsidR="00ED1B0D">
              <w:rPr>
                <w:sz w:val="28"/>
                <w:szCs w:val="28"/>
              </w:rPr>
              <w:t xml:space="preserve">trình bày </w:t>
            </w:r>
            <w:r w:rsidRPr="00B231FF">
              <w:rPr>
                <w:sz w:val="28"/>
                <w:szCs w:val="28"/>
              </w:rPr>
              <w:t xml:space="preserve">kế hoạch cung cấp dịch vụ bảo hành, bảo trì; năng lực cung cấp các dịch vụ sau bán hàng; cung cấp vật tư, phụ tùng thay thế; khả năng lắp đặt thiết bị, hàng hoá </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c>
          <w:tcPr>
            <w:tcW w:w="3256"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sz w:val="28"/>
                <w:szCs w:val="28"/>
              </w:rPr>
            </w:pPr>
            <w:r w:rsidRPr="00B231FF">
              <w:rPr>
                <w:b/>
                <w:sz w:val="28"/>
                <w:szCs w:val="28"/>
              </w:rPr>
              <w:t>5. Khả năng thích ứng về địa lý, môi trường</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120" w:line="320" w:lineRule="exact"/>
              <w:ind w:right="45"/>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p>
        </w:tc>
      </w:tr>
      <w:tr w:rsidR="00B231FF" w:rsidRPr="00B231FF" w:rsidTr="00B231FF">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sz w:val="28"/>
                <w:szCs w:val="28"/>
              </w:rPr>
            </w:pPr>
            <w:r w:rsidRPr="00B231FF">
              <w:rPr>
                <w:sz w:val="28"/>
                <w:szCs w:val="28"/>
              </w:rPr>
              <w:t>Khả năng thích ứng về địa lý, môi trường</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60" w:line="320" w:lineRule="exact"/>
              <w:rPr>
                <w:rFonts w:asciiTheme="majorHAnsi" w:hAnsiTheme="majorHAnsi" w:cstheme="majorHAnsi"/>
                <w:sz w:val="28"/>
                <w:szCs w:val="28"/>
              </w:rPr>
            </w:pPr>
            <w:r w:rsidRPr="00B231FF">
              <w:rPr>
                <w:sz w:val="28"/>
                <w:szCs w:val="28"/>
              </w:rPr>
              <w:t>- Hàng hóa thích ứng về địa lý, môi trường: Khu vực Miền Trung Việt Nam</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line="360" w:lineRule="exact"/>
              <w:ind w:right="45"/>
              <w:rPr>
                <w:sz w:val="28"/>
                <w:szCs w:val="28"/>
              </w:rPr>
            </w:pPr>
            <w:r w:rsidRPr="00B231FF">
              <w:rPr>
                <w:sz w:val="28"/>
                <w:szCs w:val="28"/>
              </w:rPr>
              <w:t>- Hàng hóa không thích ứng về địa lý, môi trường: Khu vực Miền Trung Việt Nam</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c>
          <w:tcPr>
            <w:tcW w:w="3256"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5"/>
              <w:rPr>
                <w:sz w:val="28"/>
                <w:szCs w:val="28"/>
              </w:rPr>
            </w:pPr>
            <w:r w:rsidRPr="00B231FF">
              <w:rPr>
                <w:b/>
                <w:sz w:val="28"/>
                <w:szCs w:val="28"/>
              </w:rPr>
              <w:lastRenderedPageBreak/>
              <w:t>6. Tác động đối với môi trường và biện pháp giải quyết</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120" w:line="320" w:lineRule="exact"/>
              <w:ind w:right="45"/>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p>
        </w:tc>
      </w:tr>
      <w:tr w:rsidR="00B231FF" w:rsidRPr="00B231FF" w:rsidTr="00B231FF">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sz w:val="28"/>
                <w:szCs w:val="28"/>
              </w:rPr>
            </w:pPr>
            <w:r w:rsidRPr="00B231FF">
              <w:rPr>
                <w:sz w:val="28"/>
                <w:szCs w:val="28"/>
              </w:rPr>
              <w:t>Tác động đối với môi trường và biện pháp giải quyết</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60" w:line="320" w:lineRule="exact"/>
              <w:rPr>
                <w:rFonts w:asciiTheme="majorHAnsi" w:hAnsiTheme="majorHAnsi" w:cstheme="majorHAnsi"/>
                <w:sz w:val="28"/>
                <w:szCs w:val="28"/>
              </w:rPr>
            </w:pPr>
            <w:r w:rsidRPr="00B231FF">
              <w:rPr>
                <w:sz w:val="28"/>
                <w:szCs w:val="28"/>
              </w:rPr>
              <w:t>- Hàng hóa không gây ô nhiễm môi trường không khí, nước</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line="360" w:lineRule="exact"/>
              <w:ind w:right="45"/>
              <w:rPr>
                <w:sz w:val="28"/>
                <w:szCs w:val="28"/>
              </w:rPr>
            </w:pPr>
            <w:r w:rsidRPr="00B231FF">
              <w:rPr>
                <w:sz w:val="28"/>
                <w:szCs w:val="28"/>
              </w:rPr>
              <w:t>- Hàng hóa gây ô nhiễm môi trường không khí, nước nhưng không có biện pháp giải quyết</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rPr>
          <w:trHeight w:val="70"/>
        </w:trPr>
        <w:tc>
          <w:tcPr>
            <w:tcW w:w="14454" w:type="dxa"/>
            <w:gridSpan w:val="3"/>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before="120" w:line="320" w:lineRule="exact"/>
              <w:ind w:right="45"/>
              <w:rPr>
                <w:b/>
                <w:sz w:val="28"/>
                <w:szCs w:val="28"/>
              </w:rPr>
            </w:pPr>
            <w:r w:rsidRPr="00B231FF">
              <w:rPr>
                <w:b/>
                <w:sz w:val="28"/>
                <w:szCs w:val="28"/>
              </w:rPr>
              <w:t>7. Uy tín của nhà thầu</w:t>
            </w:r>
          </w:p>
        </w:tc>
      </w:tr>
      <w:tr w:rsidR="00B231FF" w:rsidRPr="00B231FF" w:rsidTr="00B231FF">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60" w:lineRule="exact"/>
              <w:ind w:right="140"/>
              <w:rPr>
                <w:sz w:val="28"/>
                <w:szCs w:val="28"/>
                <w:lang w:val="nl-NL"/>
              </w:rPr>
            </w:pPr>
            <w:r w:rsidRPr="00B231FF">
              <w:rPr>
                <w:sz w:val="28"/>
                <w:szCs w:val="28"/>
              </w:rPr>
              <w:t>Uy tín của nhà thầu thông qua kết quả thực hiện hợp đồng của nhà thầu theo quy định tại Khoản 3 Điều 20 Nghị định số 214/2025/NĐ-CP ngày 04/8/2025; C</w:t>
            </w:r>
            <w:r w:rsidRPr="00B231FF">
              <w:rPr>
                <w:sz w:val="28"/>
                <w:szCs w:val="28"/>
                <w:lang w:val="vi-VN"/>
              </w:rPr>
              <w:t xml:space="preserve">hất lượng hàng hóa tương tự được công khai theo quy định tại </w:t>
            </w:r>
            <w:r w:rsidRPr="00B231FF">
              <w:rPr>
                <w:sz w:val="28"/>
                <w:szCs w:val="28"/>
              </w:rPr>
              <w:t xml:space="preserve">khoản 05 </w:t>
            </w:r>
            <w:r w:rsidRPr="00B231FF">
              <w:rPr>
                <w:sz w:val="28"/>
                <w:szCs w:val="28"/>
                <w:lang w:val="vi-VN"/>
              </w:rPr>
              <w:t xml:space="preserve">Điều </w:t>
            </w:r>
            <w:r w:rsidRPr="00B231FF">
              <w:rPr>
                <w:sz w:val="28"/>
                <w:szCs w:val="28"/>
              </w:rPr>
              <w:t>20</w:t>
            </w:r>
            <w:r w:rsidRPr="00B231FF">
              <w:rPr>
                <w:sz w:val="28"/>
                <w:szCs w:val="28"/>
                <w:lang w:val="vi-VN"/>
              </w:rPr>
              <w:t xml:space="preserve"> của Nghị định số 214/2025/NĐ-CP ngày 04/8/202</w:t>
            </w:r>
            <w:r w:rsidRPr="00B231FF">
              <w:rPr>
                <w:sz w:val="28"/>
                <w:szCs w:val="28"/>
              </w:rPr>
              <w:t xml:space="preserve">5 </w:t>
            </w:r>
            <w:r w:rsidRPr="00B231FF">
              <w:rPr>
                <w:spacing w:val="2"/>
                <w:sz w:val="28"/>
                <w:szCs w:val="28"/>
                <w:lang w:val="nl-NL"/>
              </w:rPr>
              <w:t>trong vòng 5 năm trở lại đây</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line="360" w:lineRule="exact"/>
              <w:ind w:right="45"/>
              <w:rPr>
                <w:sz w:val="28"/>
                <w:szCs w:val="28"/>
                <w:lang w:val="nl-NL"/>
              </w:rPr>
            </w:pPr>
            <w:r w:rsidRPr="00B231FF">
              <w:rPr>
                <w:sz w:val="28"/>
                <w:szCs w:val="28"/>
                <w:lang w:val="nl-NL"/>
              </w:rPr>
              <w:t xml:space="preserve">Nhà thầu thực hiện </w:t>
            </w:r>
            <w:r w:rsidRPr="00B231FF">
              <w:rPr>
                <w:sz w:val="28"/>
                <w:szCs w:val="28"/>
                <w:lang w:val="vi-VN"/>
              </w:rPr>
              <w:t>gói thầu cung cấp hàng hóa, EPC, EP, PC, chìa khóa trao tay</w:t>
            </w:r>
            <w:r w:rsidRPr="00B231FF">
              <w:rPr>
                <w:sz w:val="28"/>
                <w:szCs w:val="28"/>
                <w:lang w:val="nl-NL"/>
              </w:rPr>
              <w:t xml:space="preserve"> không vi phạm các quy định về kết quả thực hiện hợp đồng tại </w:t>
            </w:r>
            <w:r w:rsidRPr="00B231FF">
              <w:rPr>
                <w:sz w:val="28"/>
                <w:szCs w:val="28"/>
              </w:rPr>
              <w:t>Khoản 3 Điều 20 Nghị định số 214/2025/NĐ-CP ngày 04/8/2025 của Chính phủ; C</w:t>
            </w:r>
            <w:r w:rsidRPr="00B231FF">
              <w:rPr>
                <w:sz w:val="28"/>
                <w:szCs w:val="28"/>
                <w:lang w:val="vi-VN"/>
              </w:rPr>
              <w:t xml:space="preserve">hất lượng hàng hóa tương tự </w:t>
            </w:r>
            <w:r w:rsidRPr="00B231FF">
              <w:rPr>
                <w:sz w:val="28"/>
                <w:szCs w:val="28"/>
              </w:rPr>
              <w:t xml:space="preserve">nhà thầu đã thực hiện </w:t>
            </w:r>
            <w:r w:rsidRPr="00B231FF">
              <w:rPr>
                <w:sz w:val="28"/>
                <w:szCs w:val="28"/>
                <w:lang w:val="vi-VN"/>
              </w:rPr>
              <w:t xml:space="preserve">được công khai </w:t>
            </w:r>
            <w:r w:rsidRPr="00B231FF">
              <w:rPr>
                <w:sz w:val="28"/>
                <w:szCs w:val="28"/>
              </w:rPr>
              <w:t xml:space="preserve">không vi phạm </w:t>
            </w:r>
            <w:r w:rsidRPr="00B231FF">
              <w:rPr>
                <w:sz w:val="28"/>
                <w:szCs w:val="28"/>
                <w:lang w:val="vi-VN"/>
              </w:rPr>
              <w:t xml:space="preserve">theo quy định tại </w:t>
            </w:r>
            <w:r w:rsidRPr="00B231FF">
              <w:rPr>
                <w:sz w:val="28"/>
                <w:szCs w:val="28"/>
              </w:rPr>
              <w:t xml:space="preserve">khoản 05 </w:t>
            </w:r>
            <w:r w:rsidRPr="00B231FF">
              <w:rPr>
                <w:sz w:val="28"/>
                <w:szCs w:val="28"/>
                <w:lang w:val="vi-VN"/>
              </w:rPr>
              <w:t xml:space="preserve">Điều </w:t>
            </w:r>
            <w:r w:rsidRPr="00B231FF">
              <w:rPr>
                <w:sz w:val="28"/>
                <w:szCs w:val="28"/>
              </w:rPr>
              <w:t>20</w:t>
            </w:r>
            <w:r w:rsidRPr="00B231FF">
              <w:rPr>
                <w:sz w:val="28"/>
                <w:szCs w:val="28"/>
                <w:lang w:val="vi-VN"/>
              </w:rPr>
              <w:t xml:space="preserve"> của Nghị định số 214/2025/NĐ-CP ngày 04/8/202</w:t>
            </w:r>
            <w:r w:rsidRPr="00B231FF">
              <w:rPr>
                <w:sz w:val="28"/>
                <w:szCs w:val="28"/>
              </w:rPr>
              <w:t xml:space="preserve">5 </w:t>
            </w:r>
            <w:r w:rsidRPr="00B231FF">
              <w:rPr>
                <w:spacing w:val="2"/>
                <w:sz w:val="28"/>
                <w:szCs w:val="28"/>
                <w:lang w:val="nl-NL"/>
              </w:rPr>
              <w:t>trong vòng 5 năm trở lại đây</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6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2C31BD">
            <w:pPr>
              <w:spacing w:line="360" w:lineRule="exact"/>
              <w:ind w:right="45"/>
              <w:rPr>
                <w:sz w:val="28"/>
                <w:szCs w:val="28"/>
              </w:rPr>
            </w:pPr>
            <w:r w:rsidRPr="00B231FF">
              <w:rPr>
                <w:sz w:val="28"/>
                <w:szCs w:val="28"/>
                <w:lang w:val="nl-NL"/>
              </w:rPr>
              <w:t xml:space="preserve">Nhà thầu thực hiện </w:t>
            </w:r>
            <w:r w:rsidRPr="00B231FF">
              <w:rPr>
                <w:sz w:val="28"/>
                <w:szCs w:val="28"/>
                <w:lang w:val="vi-VN"/>
              </w:rPr>
              <w:t>gói thầu cung cấp hàng hóa, EPC, EP, PC, chìa khóa trao tay</w:t>
            </w:r>
            <w:r w:rsidRPr="00B231FF">
              <w:rPr>
                <w:sz w:val="28"/>
                <w:szCs w:val="28"/>
                <w:lang w:val="nl-NL"/>
              </w:rPr>
              <w:t xml:space="preserve"> vi phạm các quy định về kết quả thực hiện hợp đồng tại </w:t>
            </w:r>
            <w:r w:rsidRPr="00B231FF">
              <w:rPr>
                <w:sz w:val="28"/>
                <w:szCs w:val="28"/>
              </w:rPr>
              <w:t>Khoản 3 Điều 20 Nghị định số 214/2025/NĐ-CP ngày 04/8/2025 của Chính phủ; C</w:t>
            </w:r>
            <w:r w:rsidRPr="00B231FF">
              <w:rPr>
                <w:sz w:val="28"/>
                <w:szCs w:val="28"/>
                <w:lang w:val="vi-VN"/>
              </w:rPr>
              <w:t xml:space="preserve">hất lượng hàng hóa tương tự </w:t>
            </w:r>
            <w:r w:rsidRPr="00B231FF">
              <w:rPr>
                <w:sz w:val="28"/>
                <w:szCs w:val="28"/>
              </w:rPr>
              <w:t xml:space="preserve">nhà thầu đã thực hiện </w:t>
            </w:r>
            <w:r w:rsidRPr="00B231FF">
              <w:rPr>
                <w:sz w:val="28"/>
                <w:szCs w:val="28"/>
                <w:lang w:val="vi-VN"/>
              </w:rPr>
              <w:t xml:space="preserve">được công khai </w:t>
            </w:r>
            <w:r w:rsidRPr="00B231FF">
              <w:rPr>
                <w:sz w:val="28"/>
                <w:szCs w:val="28"/>
              </w:rPr>
              <w:t xml:space="preserve">vi phạm </w:t>
            </w:r>
            <w:r w:rsidRPr="00B231FF">
              <w:rPr>
                <w:sz w:val="28"/>
                <w:szCs w:val="28"/>
                <w:lang w:val="vi-VN"/>
              </w:rPr>
              <w:t xml:space="preserve">theo quy định tại </w:t>
            </w:r>
            <w:r w:rsidRPr="00B231FF">
              <w:rPr>
                <w:sz w:val="28"/>
                <w:szCs w:val="28"/>
              </w:rPr>
              <w:t xml:space="preserve">khoản 05 </w:t>
            </w:r>
            <w:r w:rsidRPr="00B231FF">
              <w:rPr>
                <w:sz w:val="28"/>
                <w:szCs w:val="28"/>
                <w:lang w:val="vi-VN"/>
              </w:rPr>
              <w:t xml:space="preserve">Điều </w:t>
            </w:r>
            <w:r w:rsidRPr="00B231FF">
              <w:rPr>
                <w:sz w:val="28"/>
                <w:szCs w:val="28"/>
              </w:rPr>
              <w:t>20</w:t>
            </w:r>
            <w:r w:rsidRPr="00B231FF">
              <w:rPr>
                <w:sz w:val="28"/>
                <w:szCs w:val="28"/>
                <w:lang w:val="vi-VN"/>
              </w:rPr>
              <w:t xml:space="preserve"> của Nghị định số 214/2025/NĐ-CP ngày 04/8/202</w:t>
            </w:r>
            <w:r w:rsidRPr="00B231FF">
              <w:rPr>
                <w:sz w:val="28"/>
                <w:szCs w:val="28"/>
              </w:rPr>
              <w:t xml:space="preserve">5 </w:t>
            </w:r>
            <w:r w:rsidRPr="00B231FF">
              <w:rPr>
                <w:spacing w:val="2"/>
                <w:sz w:val="28"/>
                <w:szCs w:val="28"/>
                <w:lang w:val="nl-NL"/>
              </w:rPr>
              <w:t>trong vòng 5 năm trở lại đây</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rPr>
          <w:trHeight w:val="523"/>
        </w:trPr>
        <w:tc>
          <w:tcPr>
            <w:tcW w:w="14454" w:type="dxa"/>
            <w:gridSpan w:val="3"/>
            <w:tcBorders>
              <w:top w:val="single" w:sz="4" w:space="0" w:color="auto"/>
              <w:left w:val="single" w:sz="4" w:space="0" w:color="auto"/>
              <w:bottom w:val="single" w:sz="4" w:space="0" w:color="auto"/>
              <w:right w:val="single" w:sz="4" w:space="0" w:color="auto"/>
            </w:tcBorders>
            <w:vAlign w:val="center"/>
          </w:tcPr>
          <w:p w:rsidR="00B231FF" w:rsidRPr="00B231FF" w:rsidRDefault="00B231FF" w:rsidP="00B231FF">
            <w:pPr>
              <w:ind w:right="45"/>
              <w:jc w:val="left"/>
              <w:rPr>
                <w:b/>
                <w:sz w:val="28"/>
                <w:szCs w:val="28"/>
              </w:rPr>
            </w:pPr>
            <w:r>
              <w:rPr>
                <w:b/>
                <w:sz w:val="28"/>
                <w:szCs w:val="28"/>
              </w:rPr>
              <w:t>8</w:t>
            </w:r>
            <w:r w:rsidRPr="00B231FF">
              <w:rPr>
                <w:b/>
                <w:sz w:val="28"/>
                <w:szCs w:val="28"/>
              </w:rPr>
              <w:t>. Các yếu tố về điều kiện thương mại, thời gian thực hiện, đào tạo, chuyển giao công nghệ</w:t>
            </w:r>
          </w:p>
        </w:tc>
      </w:tr>
      <w:tr w:rsidR="00B231FF" w:rsidRPr="00B231FF" w:rsidTr="00B231FF">
        <w:trPr>
          <w:trHeight w:val="856"/>
        </w:trPr>
        <w:tc>
          <w:tcPr>
            <w:tcW w:w="3256" w:type="dxa"/>
            <w:vMerge w:val="restart"/>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rPr>
                <w:sz w:val="28"/>
                <w:szCs w:val="28"/>
              </w:rPr>
            </w:pPr>
            <w:r w:rsidRPr="00B231FF">
              <w:rPr>
                <w:sz w:val="28"/>
                <w:szCs w:val="28"/>
              </w:rPr>
              <w:t xml:space="preserve">Điều kiện thương mại, thời gian thực hiện, đào tạo, </w:t>
            </w:r>
            <w:r w:rsidRPr="00B231FF">
              <w:rPr>
                <w:sz w:val="28"/>
                <w:szCs w:val="28"/>
              </w:rPr>
              <w:lastRenderedPageBreak/>
              <w:t>chuyển giao công nghệ hợp lý, khả thi, phù hợp với đề xuất về tiến độ cung cấp</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B231FF">
            <w:pPr>
              <w:spacing w:before="120"/>
              <w:ind w:right="45"/>
              <w:rPr>
                <w:sz w:val="28"/>
                <w:szCs w:val="28"/>
              </w:rPr>
            </w:pPr>
            <w:r w:rsidRPr="00B231FF">
              <w:rPr>
                <w:sz w:val="28"/>
                <w:szCs w:val="28"/>
              </w:rPr>
              <w:lastRenderedPageBreak/>
              <w:t>Có điều kiện thương mại, thời gian thực hiện, đào tạo, chuyển giao công nghệ hợp lý, khả thi, phù hợp với đề xuất về tiến độ cung cấp.</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Đạt</w:t>
            </w:r>
          </w:p>
        </w:tc>
      </w:tr>
      <w:tr w:rsidR="00B231FF" w:rsidRPr="00B231FF" w:rsidTr="00B231FF">
        <w:tc>
          <w:tcPr>
            <w:tcW w:w="3256" w:type="dxa"/>
            <w:vMerge/>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320" w:lineRule="exact"/>
              <w:rPr>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B231FF">
            <w:pPr>
              <w:spacing w:before="120"/>
              <w:ind w:right="45"/>
              <w:rPr>
                <w:sz w:val="28"/>
                <w:szCs w:val="28"/>
              </w:rPr>
            </w:pPr>
            <w:r w:rsidRPr="00B231FF">
              <w:rPr>
                <w:sz w:val="28"/>
                <w:szCs w:val="28"/>
              </w:rPr>
              <w:t>Điều kiện thương mại, thời gian thực hiện, đào tạo, chuyển giao công nghệ không hợp lý, khả thi, không phù hợp với đề xuất về tiến độ cung cấp.</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before="120" w:line="320" w:lineRule="exact"/>
              <w:ind w:right="43"/>
              <w:jc w:val="center"/>
              <w:rPr>
                <w:b/>
                <w:sz w:val="28"/>
                <w:szCs w:val="28"/>
              </w:rPr>
            </w:pPr>
            <w:r w:rsidRPr="00B231FF">
              <w:rPr>
                <w:b/>
                <w:sz w:val="28"/>
                <w:szCs w:val="28"/>
              </w:rPr>
              <w:t>Không đạt</w:t>
            </w:r>
          </w:p>
        </w:tc>
      </w:tr>
      <w:tr w:rsidR="00B231FF" w:rsidRPr="00B231FF" w:rsidTr="00B231FF">
        <w:tc>
          <w:tcPr>
            <w:tcW w:w="3256"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276" w:lineRule="auto"/>
              <w:ind w:left="142" w:right="152"/>
              <w:rPr>
                <w:b/>
                <w:sz w:val="28"/>
                <w:szCs w:val="28"/>
              </w:rPr>
            </w:pPr>
            <w:r w:rsidRPr="00B231FF">
              <w:rPr>
                <w:b/>
                <w:sz w:val="28"/>
                <w:szCs w:val="28"/>
              </w:rPr>
              <w:lastRenderedPageBreak/>
              <w:t>Kết luận</w:t>
            </w: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B231FF">
            <w:pPr>
              <w:spacing w:before="120" w:after="120"/>
              <w:ind w:left="142" w:right="153"/>
              <w:rPr>
                <w:sz w:val="28"/>
                <w:szCs w:val="28"/>
              </w:rPr>
            </w:pPr>
            <w:r w:rsidRPr="00B231FF">
              <w:rPr>
                <w:sz w:val="28"/>
                <w:szCs w:val="28"/>
              </w:rPr>
              <w:t>Các tiêu chuẩn 1,2,3,4,5,6</w:t>
            </w:r>
            <w:r>
              <w:rPr>
                <w:sz w:val="28"/>
                <w:szCs w:val="28"/>
              </w:rPr>
              <w:t>,7,8</w:t>
            </w:r>
            <w:r w:rsidRPr="00B231FF">
              <w:rPr>
                <w:sz w:val="28"/>
                <w:szCs w:val="28"/>
              </w:rPr>
              <w:t xml:space="preserve"> được xác định là đạt</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B231FF">
            <w:pPr>
              <w:spacing w:line="276" w:lineRule="auto"/>
              <w:ind w:right="43"/>
              <w:jc w:val="center"/>
              <w:rPr>
                <w:b/>
                <w:sz w:val="28"/>
                <w:szCs w:val="28"/>
              </w:rPr>
            </w:pPr>
            <w:r w:rsidRPr="00B231FF">
              <w:rPr>
                <w:b/>
                <w:sz w:val="28"/>
                <w:szCs w:val="28"/>
              </w:rPr>
              <w:t>Đạt</w:t>
            </w:r>
          </w:p>
        </w:tc>
      </w:tr>
      <w:tr w:rsidR="00B231FF" w:rsidRPr="00B231FF" w:rsidTr="00B231FF">
        <w:tc>
          <w:tcPr>
            <w:tcW w:w="3256"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2C31BD">
            <w:pPr>
              <w:spacing w:line="276" w:lineRule="auto"/>
              <w:ind w:left="142" w:right="152"/>
              <w:rPr>
                <w:b/>
                <w:sz w:val="28"/>
                <w:szCs w:val="28"/>
              </w:rPr>
            </w:pPr>
          </w:p>
        </w:tc>
        <w:tc>
          <w:tcPr>
            <w:tcW w:w="8930" w:type="dxa"/>
            <w:tcBorders>
              <w:top w:val="single" w:sz="4" w:space="0" w:color="auto"/>
              <w:left w:val="single" w:sz="4" w:space="0" w:color="auto"/>
              <w:bottom w:val="single" w:sz="4" w:space="0" w:color="auto"/>
              <w:right w:val="single" w:sz="4" w:space="0" w:color="auto"/>
            </w:tcBorders>
          </w:tcPr>
          <w:p w:rsidR="00B231FF" w:rsidRPr="00B231FF" w:rsidRDefault="00B231FF" w:rsidP="00B231FF">
            <w:pPr>
              <w:spacing w:before="120" w:after="120"/>
              <w:ind w:left="142" w:right="153"/>
              <w:rPr>
                <w:sz w:val="28"/>
                <w:szCs w:val="28"/>
              </w:rPr>
            </w:pPr>
            <w:r w:rsidRPr="00B231FF">
              <w:rPr>
                <w:sz w:val="28"/>
                <w:szCs w:val="28"/>
              </w:rPr>
              <w:t>Một trong các tiêu chuẩn 1,2,3,4,5,6</w:t>
            </w:r>
            <w:r>
              <w:rPr>
                <w:sz w:val="28"/>
                <w:szCs w:val="28"/>
              </w:rPr>
              <w:t>,7,8</w:t>
            </w:r>
            <w:r w:rsidRPr="00B231FF">
              <w:rPr>
                <w:sz w:val="28"/>
                <w:szCs w:val="28"/>
              </w:rPr>
              <w:t xml:space="preserve"> được xác định là không đạt</w:t>
            </w:r>
          </w:p>
        </w:tc>
        <w:tc>
          <w:tcPr>
            <w:tcW w:w="2268" w:type="dxa"/>
            <w:tcBorders>
              <w:top w:val="single" w:sz="4" w:space="0" w:color="auto"/>
              <w:left w:val="single" w:sz="4" w:space="0" w:color="auto"/>
              <w:bottom w:val="single" w:sz="4" w:space="0" w:color="auto"/>
              <w:right w:val="single" w:sz="4" w:space="0" w:color="auto"/>
            </w:tcBorders>
            <w:vAlign w:val="center"/>
          </w:tcPr>
          <w:p w:rsidR="00B231FF" w:rsidRPr="00B231FF" w:rsidRDefault="00B231FF" w:rsidP="00B231FF">
            <w:pPr>
              <w:spacing w:line="276" w:lineRule="auto"/>
              <w:ind w:right="43"/>
              <w:jc w:val="center"/>
              <w:rPr>
                <w:b/>
                <w:sz w:val="28"/>
                <w:szCs w:val="28"/>
              </w:rPr>
            </w:pPr>
            <w:r w:rsidRPr="00B231FF">
              <w:rPr>
                <w:b/>
                <w:sz w:val="28"/>
                <w:szCs w:val="28"/>
              </w:rPr>
              <w:t>Không đạt</w:t>
            </w:r>
          </w:p>
        </w:tc>
      </w:tr>
    </w:tbl>
    <w:p w:rsidR="007E1D08" w:rsidRPr="00B231FF" w:rsidRDefault="007E1D08"/>
    <w:sectPr w:rsidR="007E1D08" w:rsidRPr="00B231FF" w:rsidSect="00B231FF">
      <w:pgSz w:w="16840" w:h="11907" w:orient="landscape" w:code="9"/>
      <w:pgMar w:top="1135"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FF"/>
    <w:rsid w:val="002820AC"/>
    <w:rsid w:val="00580BEA"/>
    <w:rsid w:val="007E1D08"/>
    <w:rsid w:val="00B231FF"/>
    <w:rsid w:val="00E216B7"/>
    <w:rsid w:val="00ED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0F0E"/>
  <w15:chartTrackingRefBased/>
  <w15:docId w15:val="{77E3AB15-8FCA-4249-A5D4-3A6B56FD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1FF"/>
    <w:pPr>
      <w:spacing w:before="0"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231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alloonText">
    <w:name w:val="Balloon Text"/>
    <w:basedOn w:val="Normal"/>
    <w:link w:val="BalloonTextChar"/>
    <w:uiPriority w:val="99"/>
    <w:semiHidden/>
    <w:unhideWhenUsed/>
    <w:rsid w:val="00ED1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B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2025-12-08T09:10:00Z</cp:lastPrinted>
  <dcterms:created xsi:type="dcterms:W3CDTF">2025-12-08T08:59:00Z</dcterms:created>
  <dcterms:modified xsi:type="dcterms:W3CDTF">2025-12-18T07:54:00Z</dcterms:modified>
</cp:coreProperties>
</file>