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B91" w:rsidRPr="00F17AC9" w:rsidRDefault="007D0B91" w:rsidP="007D0B91">
      <w:pPr>
        <w:spacing w:before="120" w:after="120"/>
        <w:ind w:firstLine="709"/>
        <w:outlineLvl w:val="1"/>
        <w:rPr>
          <w:rFonts w:eastAsia="MS Mincho"/>
          <w:b/>
          <w:szCs w:val="24"/>
          <w:lang w:val="vi-VN" w:eastAsia="vi-VN"/>
        </w:rPr>
      </w:pPr>
      <w:r w:rsidRPr="00F17AC9">
        <w:rPr>
          <w:b/>
          <w:bCs/>
          <w:szCs w:val="24"/>
          <w:lang w:val="vi-VN"/>
        </w:rPr>
        <w:t xml:space="preserve">Mục </w:t>
      </w:r>
      <w:r w:rsidRPr="00F17AC9">
        <w:rPr>
          <w:b/>
          <w:bCs/>
          <w:szCs w:val="24"/>
          <w:lang w:val="pl-PL"/>
        </w:rPr>
        <w:t>3</w:t>
      </w:r>
      <w:r w:rsidRPr="00F17AC9">
        <w:rPr>
          <w:b/>
          <w:bCs/>
          <w:szCs w:val="24"/>
          <w:lang w:val="vi-VN"/>
        </w:rPr>
        <w:t>. Tiêu chuẩn đánh giá về kỹ thuật</w:t>
      </w:r>
      <w:r w:rsidRPr="00F17AC9">
        <w:rPr>
          <w:rFonts w:eastAsia="MS Mincho"/>
          <w:b/>
          <w:szCs w:val="24"/>
          <w:lang w:val="vi-VN" w:eastAsia="vi-VN"/>
        </w:rPr>
        <w:t xml:space="preserve"> </w:t>
      </w:r>
    </w:p>
    <w:p w:rsidR="007D0B91" w:rsidRPr="00F17AC9" w:rsidRDefault="007D0B91" w:rsidP="007D0B91">
      <w:pPr>
        <w:spacing w:before="120" w:after="120"/>
        <w:rPr>
          <w:b/>
          <w:iCs/>
          <w:szCs w:val="24"/>
          <w:lang w:val="vi-VN"/>
        </w:rPr>
      </w:pPr>
      <w:bookmarkStart w:id="0" w:name="_Hlk99723051"/>
      <w:r w:rsidRPr="00F17AC9">
        <w:rPr>
          <w:b/>
          <w:szCs w:val="24"/>
          <w:lang w:val="pl-PL"/>
        </w:rPr>
        <w:tab/>
      </w:r>
      <w:bookmarkEnd w:id="0"/>
      <w:r w:rsidRPr="00F17AC9">
        <w:rPr>
          <w:b/>
          <w:szCs w:val="24"/>
          <w:lang w:val="pl-PL"/>
        </w:rPr>
        <w:t xml:space="preserve">3.1. Đánh giá theo </w:t>
      </w:r>
      <w:r w:rsidRPr="00F17AC9">
        <w:rPr>
          <w:b/>
          <w:iCs/>
          <w:szCs w:val="24"/>
          <w:lang w:val="vi-VN"/>
        </w:rPr>
        <w:t>phương pháp chấm điểm</w:t>
      </w:r>
      <w:r w:rsidRPr="00F17AC9">
        <w:rPr>
          <w:rStyle w:val="FootnoteReference"/>
          <w:b/>
          <w:iCs/>
          <w:szCs w:val="24"/>
        </w:rPr>
        <w:footnoteReference w:id="1"/>
      </w:r>
      <w:r w:rsidRPr="00F17AC9">
        <w:rPr>
          <w:b/>
          <w:iCs/>
          <w:szCs w:val="24"/>
          <w:lang w:val="vi-VN"/>
        </w:rPr>
        <w:t>:</w:t>
      </w:r>
    </w:p>
    <w:p w:rsidR="007D0B91" w:rsidRPr="0065773B" w:rsidRDefault="007D0B91" w:rsidP="007D0B91">
      <w:pPr>
        <w:autoSpaceDE w:val="0"/>
        <w:autoSpaceDN w:val="0"/>
        <w:adjustRightInd w:val="0"/>
        <w:spacing w:before="120"/>
        <w:ind w:firstLine="567"/>
        <w:rPr>
          <w:spacing w:val="2"/>
          <w:szCs w:val="24"/>
          <w:lang w:val="vi-VN"/>
        </w:rPr>
      </w:pPr>
      <w:r w:rsidRPr="0065773B">
        <w:rPr>
          <w:szCs w:val="24"/>
          <w:lang w:val="vi-VN"/>
        </w:rPr>
        <w:t xml:space="preserve">Sử dụng phương pháp chấm điểm với thang điểm tối đa 100 để đánh giá về kỹ thuật, nhà thầu có tổng số điểm đánh giá về kỹ thuật đạt ≥ </w:t>
      </w:r>
      <w:r w:rsidRPr="0065773B">
        <w:rPr>
          <w:b/>
          <w:szCs w:val="24"/>
          <w:lang w:val="vi-VN"/>
        </w:rPr>
        <w:t>70 điểm</w:t>
      </w:r>
      <w:r w:rsidRPr="0065773B">
        <w:rPr>
          <w:szCs w:val="24"/>
          <w:lang w:val="vi-VN"/>
        </w:rPr>
        <w:t xml:space="preserve"> và có tổng số điểm của từng mục (mục 1÷8) ≥ số điểm tối thiểu yêu cầu của mục đó là đạt yêu cầu về mặt kỹ thuật và được tiếp tục xem xét về tài chính. Cụ thể</w:t>
      </w:r>
      <w:r w:rsidRPr="0065773B">
        <w:rPr>
          <w:szCs w:val="24"/>
        </w:rPr>
        <w:t xml:space="preserve"> như</w:t>
      </w:r>
      <w:r w:rsidRPr="0065773B">
        <w:rPr>
          <w:szCs w:val="24"/>
          <w:lang w:val="vi-VN"/>
        </w:rPr>
        <w:t xml:space="preserve"> sau</w:t>
      </w:r>
      <w:r w:rsidRPr="0065773B">
        <w:rPr>
          <w:spacing w:val="2"/>
          <w:szCs w:val="24"/>
          <w:lang w:val="vi-VN"/>
        </w:rPr>
        <w:t>:</w:t>
      </w:r>
    </w:p>
    <w:tbl>
      <w:tblPr>
        <w:tblW w:w="9117" w:type="dxa"/>
        <w:tblInd w:w="108" w:type="dxa"/>
        <w:tblLook w:val="04A0" w:firstRow="1" w:lastRow="0" w:firstColumn="1" w:lastColumn="0" w:noHBand="0" w:noVBand="1"/>
      </w:tblPr>
      <w:tblGrid>
        <w:gridCol w:w="746"/>
        <w:gridCol w:w="5491"/>
        <w:gridCol w:w="960"/>
        <w:gridCol w:w="960"/>
        <w:gridCol w:w="960"/>
      </w:tblGrid>
      <w:tr w:rsidR="007D0B91" w:rsidRPr="0065773B" w:rsidTr="009D74E1">
        <w:trPr>
          <w:trHeight w:val="1035"/>
          <w:tblHeader/>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STT</w:t>
            </w:r>
          </w:p>
        </w:tc>
        <w:tc>
          <w:tcPr>
            <w:tcW w:w="5510" w:type="dxa"/>
            <w:tcBorders>
              <w:top w:val="single" w:sz="4" w:space="0" w:color="auto"/>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Mức độ đáp ứng</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Điểm tối đa</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Điểm chi tiết</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Điểm tối thiểu</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bCs/>
                <w:szCs w:val="24"/>
              </w:rPr>
            </w:pPr>
            <w:r w:rsidRPr="0065773B">
              <w:rPr>
                <w:b/>
                <w:bCs/>
                <w:szCs w:val="24"/>
              </w:rPr>
              <w:t>1</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bCs/>
                <w:szCs w:val="24"/>
              </w:rPr>
            </w:pPr>
            <w:r w:rsidRPr="0065773B">
              <w:rPr>
                <w:b/>
                <w:bCs/>
                <w:szCs w:val="24"/>
              </w:rPr>
              <w:t>Tính hiệu quả của việc cung cấp dịch vụ</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10,5</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thuyết minh tính hiệu quả của việc cung cấp dịch vụ chi tiết, đầy đủ.</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thuyết minh tính hiệu quả của việc cung cấp dịch vụ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bCs/>
                <w:szCs w:val="24"/>
              </w:rPr>
            </w:pPr>
            <w:r w:rsidRPr="0065773B">
              <w:rPr>
                <w:b/>
                <w:bCs/>
                <w:szCs w:val="24"/>
              </w:rPr>
              <w:t>2</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bCs/>
                <w:szCs w:val="24"/>
              </w:rPr>
            </w:pPr>
            <w:r w:rsidRPr="0065773B">
              <w:rPr>
                <w:b/>
                <w:spacing w:val="2"/>
                <w:szCs w:val="24"/>
                <w:lang w:val="vi-VN"/>
              </w:rPr>
              <w:t>Mức độ hiểu biết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10,5</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Trên cơ sở khảo sát hiện trường, nghiên cứu hồ sơ do bên mời thầu cung cấp, Nhà thầu có thuyết minh khả năng am hiểu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thuyết minh mức độ hiểu biết về tính chất và mục đích công việc chi tiết, đầy đủ.</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thuyết minh độ hiểu biết về tính chất và mục đích công việc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bCs/>
                <w:szCs w:val="24"/>
              </w:rPr>
            </w:pPr>
            <w:r w:rsidRPr="0065773B">
              <w:rPr>
                <w:b/>
                <w:bCs/>
                <w:szCs w:val="24"/>
              </w:rPr>
              <w:t>3</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bCs/>
                <w:szCs w:val="24"/>
              </w:rPr>
            </w:pPr>
            <w:r w:rsidRPr="0065773B">
              <w:rPr>
                <w:b/>
                <w:spacing w:val="2"/>
                <w:szCs w:val="24"/>
                <w:lang w:val="vi-VN"/>
              </w:rPr>
              <w:t>Tính hợp lý và khả thi của kế hoạch, các giải pháp kỹ thuật, biện pháp tổ chức cung cấp dịch vụ</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10,5</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 xml:space="preserve">Có thuyết minh kế hoạch, các giải pháp kỹ thuật, biện pháp tổ chức cung cấp dịch vụ đầy </w:t>
            </w:r>
            <w:r w:rsidRPr="0065773B">
              <w:rPr>
                <w:szCs w:val="24"/>
              </w:rPr>
              <w:lastRenderedPageBreak/>
              <w:t>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lastRenderedPageBreak/>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thuyết minh kế hoạch, các giải pháp kỹ thuật, biện pháp tổ chức cung cấp dịch vụ nhưng không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bCs/>
                <w:szCs w:val="24"/>
              </w:rPr>
            </w:pPr>
            <w:r w:rsidRPr="0065773B">
              <w:rPr>
                <w:b/>
                <w:bCs/>
                <w:szCs w:val="24"/>
              </w:rPr>
              <w:t>4</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bCs/>
                <w:szCs w:val="24"/>
              </w:rPr>
            </w:pPr>
            <w:r w:rsidRPr="0065773B">
              <w:rPr>
                <w:b/>
                <w:spacing w:val="2"/>
                <w:szCs w:val="24"/>
                <w:lang w:val="pl-PL"/>
              </w:rPr>
              <w:t xml:space="preserve">Mức độ đáp ứng </w:t>
            </w:r>
            <w:r w:rsidRPr="0065773B">
              <w:rPr>
                <w:b/>
                <w:spacing w:val="2"/>
                <w:szCs w:val="24"/>
                <w:lang w:val="vi-VN"/>
              </w:rPr>
              <w:t xml:space="preserve">hệ thống </w:t>
            </w:r>
            <w:r w:rsidRPr="0065773B">
              <w:rPr>
                <w:b/>
                <w:spacing w:val="2"/>
                <w:szCs w:val="24"/>
                <w:lang w:val="pl-PL"/>
              </w:rPr>
              <w:t>đảm bảo</w:t>
            </w:r>
            <w:r w:rsidRPr="0065773B">
              <w:rPr>
                <w:b/>
                <w:spacing w:val="2"/>
                <w:szCs w:val="24"/>
                <w:lang w:val="vi-VN"/>
              </w:rPr>
              <w:t xml:space="preserve"> chất lượng và phương pháp </w:t>
            </w:r>
            <w:r w:rsidRPr="0065773B">
              <w:rPr>
                <w:b/>
                <w:spacing w:val="2"/>
                <w:szCs w:val="24"/>
                <w:lang w:val="pl-PL"/>
              </w:rPr>
              <w:t>thực hiện</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10,5</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thuyết minh mức độ đáp ứng hệ thống đảm bảo chất lượng và phương pháp thực hiện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thuyết minh mức độ đáp ứng hệ thống đảm bảo chất lượng và phương pháp thực hiện nhưng không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bCs/>
                <w:szCs w:val="24"/>
              </w:rPr>
              <w:t>5</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szCs w:val="24"/>
              </w:rPr>
            </w:pPr>
            <w:r w:rsidRPr="0065773B">
              <w:rPr>
                <w:b/>
                <w:spacing w:val="2"/>
                <w:szCs w:val="24"/>
                <w:lang w:val="pl-PL"/>
              </w:rPr>
              <w:t>Mức độ đáp ứng các yêu cầu về tiêu chuẩn thực hiện dịch vụ</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i/>
                <w:iCs/>
                <w:szCs w:val="24"/>
              </w:rPr>
              <w:t>7</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spacing w:val="2"/>
                <w:szCs w:val="24"/>
                <w:lang w:val="pl-PL"/>
              </w:rPr>
            </w:pPr>
            <w:r w:rsidRPr="0065773B">
              <w:rPr>
                <w:szCs w:val="24"/>
              </w:rPr>
              <w:t>Có cam kết và thuyết minh đáp ứng các yêu cầu về tiêu chuẩn thực hiện dịch vụ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spacing w:val="2"/>
                <w:szCs w:val="24"/>
                <w:lang w:val="pl-PL"/>
              </w:rPr>
            </w:pPr>
            <w:r w:rsidRPr="0065773B">
              <w:rPr>
                <w:szCs w:val="24"/>
              </w:rPr>
              <w:t>Có cam kết và thuyết minh đáp ứng các yêu cầu về tiêu chuẩn thực hiện dịch vụ theo yêu cầu tại Chương V – E-HSMT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0÷6</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spacing w:val="2"/>
                <w:szCs w:val="24"/>
                <w:lang w:val="pl-PL"/>
              </w:rPr>
            </w:pPr>
            <w:r w:rsidRPr="0065773B">
              <w:rPr>
                <w:szCs w:val="24"/>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bCs/>
                <w:szCs w:val="24"/>
              </w:rPr>
            </w:pPr>
            <w:r w:rsidRPr="0065773B">
              <w:rPr>
                <w:b/>
                <w:bCs/>
                <w:szCs w:val="24"/>
              </w:rPr>
              <w:t>6</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bCs/>
                <w:szCs w:val="24"/>
              </w:rPr>
            </w:pPr>
            <w:r w:rsidRPr="0065773B">
              <w:rPr>
                <w:b/>
                <w:spacing w:val="2"/>
                <w:szCs w:val="24"/>
                <w:lang w:val="pl-PL"/>
              </w:rPr>
              <w:t>Tiến độ thực hiện gói thầu đáp ứng yêu cầu của E-HSMT</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7</w:t>
            </w:r>
          </w:p>
        </w:tc>
      </w:tr>
      <w:tr w:rsidR="007D0B91" w:rsidRPr="0065773B" w:rsidTr="009D74E1">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lastRenderedPageBreak/>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Đề xuất thời gian thực hiện gói thầu bằng thời gian yêu cầu của E-HSMT (365 ngày).</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Đề xuất thời gian thực hiện gói thầu không bằng thời gian yêu cầu của E-HSMT. Lớn hơn hoặc nhỏ hơn 365 ngày hoặc không có đề xuất</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bCs/>
                <w:szCs w:val="24"/>
              </w:rPr>
            </w:pPr>
            <w:r w:rsidRPr="0065773B">
              <w:rPr>
                <w:b/>
                <w:bCs/>
                <w:szCs w:val="24"/>
              </w:rPr>
              <w:t>7</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bCs/>
                <w:szCs w:val="24"/>
              </w:rPr>
            </w:pPr>
            <w:r w:rsidRPr="0065773B">
              <w:rPr>
                <w:b/>
                <w:bCs/>
                <w:szCs w:val="24"/>
              </w:rPr>
              <w:t>Bảo đảm điều kiện vệ sinh môi trường và các điều kiện khác như phòng cháy chữa cháy, an toàn lao động</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r w:rsidRPr="0065773B">
              <w:rPr>
                <w:i/>
                <w:iCs/>
                <w:szCs w:val="24"/>
              </w:rPr>
              <w:t>7</w:t>
            </w:r>
          </w:p>
        </w:tc>
      </w:tr>
      <w:tr w:rsidR="007D0B91" w:rsidRPr="0065773B" w:rsidTr="009D74E1">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cam kết và thuyết minh biện pháp thực hiện gói thầu đảm bảo điều kiện vệ sinh môi trường, phòng cháy chữa cháy, an toàn lao động chi tiết, đầy đủ.</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Có cam kết và thuyết minh biện pháp thực hiện gói thầu đảm bảo điều kiện vệ sinh môi trường, phòng cháy chữa cháy, an toàn lao động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1÷6</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center"/>
              <w:rPr>
                <w:b/>
                <w:bCs/>
                <w:szCs w:val="24"/>
              </w:rPr>
            </w:pPr>
            <w:r w:rsidRPr="0065773B">
              <w:rPr>
                <w:b/>
                <w:bCs/>
                <w:szCs w:val="24"/>
              </w:rPr>
              <w:t>8</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b/>
                <w:bCs/>
                <w:szCs w:val="24"/>
              </w:rPr>
            </w:pPr>
            <w:r w:rsidRPr="0065773B">
              <w:rPr>
                <w:b/>
                <w:bCs/>
                <w:szCs w:val="24"/>
              </w:rPr>
              <w:t>Năng lực, uy tín và kinh nghiệm của nhà thầu</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i/>
                <w:iCs/>
                <w:szCs w:val="24"/>
              </w:rPr>
            </w:pPr>
          </w:p>
        </w:tc>
      </w:tr>
      <w:tr w:rsidR="007D0B91" w:rsidRPr="0065773B" w:rsidTr="009D74E1">
        <w:trPr>
          <w:trHeight w:val="1648"/>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8.1</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Ngoài các hợp đồng đã nêu tại Mục 2.1 [Tiêu chuẩn đánh giá về năng lực và kinh nghiệm], Nhà thầu cứ có thêm 01 hợp đồng tương tự thì được cộng thêm 1 điểm (Kèm theo Hợp đồng và tài liệu chứng minh)</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3</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r w:rsidRPr="0065773B">
              <w:rPr>
                <w:szCs w:val="24"/>
              </w:rPr>
              <w:t>0÷3</w:t>
            </w:r>
          </w:p>
        </w:tc>
        <w:tc>
          <w:tcPr>
            <w:tcW w:w="960" w:type="dxa"/>
            <w:tcBorders>
              <w:top w:val="nil"/>
              <w:left w:val="nil"/>
              <w:bottom w:val="single" w:sz="4" w:space="0" w:color="auto"/>
              <w:right w:val="single" w:sz="4" w:space="0" w:color="auto"/>
            </w:tcBorders>
            <w:shd w:val="clear" w:color="000000" w:fill="FFFFFF"/>
            <w:noWrap/>
            <w:vAlign w:val="center"/>
          </w:tcPr>
          <w:p w:rsidR="007D0B91" w:rsidRPr="0065773B" w:rsidRDefault="007D0B91" w:rsidP="009D74E1">
            <w:pPr>
              <w:jc w:val="center"/>
              <w:rPr>
                <w:szCs w:val="24"/>
              </w:rPr>
            </w:pPr>
            <w:r w:rsidRPr="0065773B">
              <w:rPr>
                <w:szCs w:val="24"/>
              </w:rPr>
              <w:t> </w:t>
            </w: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8.2</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Uy tín của nhà thầu thông qua việc tham dự thầu (không thương thảo hợp đồng, có quyết định trúng thầu nhưng không tiến hành hoàn thiện, ký kết hợp đồng)</w:t>
            </w:r>
          </w:p>
        </w:tc>
        <w:tc>
          <w:tcPr>
            <w:tcW w:w="960" w:type="dxa"/>
            <w:tcBorders>
              <w:top w:val="nil"/>
              <w:left w:val="nil"/>
              <w:bottom w:val="single" w:sz="4" w:space="0" w:color="auto"/>
              <w:right w:val="single" w:sz="4" w:space="0" w:color="auto"/>
            </w:tcBorders>
            <w:shd w:val="clear" w:color="000000" w:fill="FFFFFF"/>
            <w:noWrap/>
            <w:vAlign w:val="center"/>
          </w:tcPr>
          <w:p w:rsidR="007D0B91" w:rsidRPr="0065773B" w:rsidRDefault="007D0B91" w:rsidP="009D74E1">
            <w:pPr>
              <w:jc w:val="center"/>
              <w:rPr>
                <w:szCs w:val="24"/>
              </w:rPr>
            </w:pPr>
            <w:r w:rsidRPr="0065773B">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tcPr>
          <w:p w:rsidR="007D0B91" w:rsidRPr="0065773B" w:rsidRDefault="007D0B91" w:rsidP="009D74E1">
            <w:pPr>
              <w:rPr>
                <w:szCs w:val="24"/>
              </w:rPr>
            </w:pPr>
            <w:r w:rsidRPr="0065773B">
              <w:rPr>
                <w:i/>
                <w:spacing w:val="-4"/>
                <w:szCs w:val="24"/>
              </w:rPr>
              <w:t>Không có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7D0B91" w:rsidRPr="0065773B" w:rsidRDefault="007D0B91" w:rsidP="009D74E1">
            <w:pPr>
              <w:jc w:val="center"/>
              <w:rPr>
                <w:szCs w:val="24"/>
              </w:rPr>
            </w:pPr>
          </w:p>
        </w:tc>
        <w:tc>
          <w:tcPr>
            <w:tcW w:w="960" w:type="dxa"/>
            <w:tcBorders>
              <w:top w:val="nil"/>
              <w:left w:val="nil"/>
              <w:bottom w:val="single" w:sz="4" w:space="0" w:color="auto"/>
              <w:right w:val="single" w:sz="4" w:space="0" w:color="auto"/>
            </w:tcBorders>
            <w:shd w:val="clear" w:color="000000" w:fill="FFFFFF"/>
          </w:tcPr>
          <w:p w:rsidR="007D0B91" w:rsidRPr="0065773B" w:rsidRDefault="007D0B91" w:rsidP="009D74E1">
            <w:pPr>
              <w:jc w:val="center"/>
              <w:rPr>
                <w:szCs w:val="24"/>
              </w:rPr>
            </w:pPr>
            <w:r w:rsidRPr="0065773B">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tcPr>
          <w:p w:rsidR="007D0B91" w:rsidRPr="0065773B" w:rsidRDefault="007D0B91" w:rsidP="009D74E1">
            <w:pPr>
              <w:rPr>
                <w:szCs w:val="24"/>
              </w:rPr>
            </w:pPr>
            <w:r w:rsidRPr="0065773B">
              <w:rPr>
                <w:i/>
                <w:spacing w:val="-4"/>
                <w:szCs w:val="24"/>
              </w:rPr>
              <w:t>Có ít nhất 01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7D0B91" w:rsidRPr="0065773B" w:rsidRDefault="007D0B91" w:rsidP="009D74E1">
            <w:pPr>
              <w:jc w:val="center"/>
              <w:rPr>
                <w:szCs w:val="24"/>
              </w:rPr>
            </w:pPr>
          </w:p>
        </w:tc>
        <w:tc>
          <w:tcPr>
            <w:tcW w:w="960" w:type="dxa"/>
            <w:tcBorders>
              <w:top w:val="nil"/>
              <w:left w:val="nil"/>
              <w:bottom w:val="single" w:sz="4" w:space="0" w:color="auto"/>
              <w:right w:val="single" w:sz="4" w:space="0" w:color="auto"/>
            </w:tcBorders>
            <w:shd w:val="clear" w:color="000000" w:fill="FFFFFF"/>
          </w:tcPr>
          <w:p w:rsidR="007D0B91" w:rsidRPr="0065773B" w:rsidRDefault="007D0B91" w:rsidP="009D74E1">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szCs w:val="24"/>
              </w:rPr>
            </w:pPr>
          </w:p>
        </w:tc>
      </w:tr>
      <w:tr w:rsidR="007D0B91" w:rsidRPr="0065773B" w:rsidTr="009D74E1">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7D0B91" w:rsidRPr="0065773B" w:rsidRDefault="007D0B91" w:rsidP="009D74E1">
            <w:pPr>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Tổng số điểm</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100</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 </w:t>
            </w:r>
          </w:p>
        </w:tc>
        <w:tc>
          <w:tcPr>
            <w:tcW w:w="960" w:type="dxa"/>
            <w:tcBorders>
              <w:top w:val="nil"/>
              <w:left w:val="nil"/>
              <w:bottom w:val="single" w:sz="4" w:space="0" w:color="auto"/>
              <w:right w:val="single" w:sz="4" w:space="0" w:color="auto"/>
            </w:tcBorders>
            <w:shd w:val="clear" w:color="000000" w:fill="FFFFFF"/>
            <w:vAlign w:val="center"/>
          </w:tcPr>
          <w:p w:rsidR="007D0B91" w:rsidRPr="0065773B" w:rsidRDefault="007D0B91" w:rsidP="009D74E1">
            <w:pPr>
              <w:jc w:val="center"/>
              <w:rPr>
                <w:b/>
                <w:szCs w:val="24"/>
              </w:rPr>
            </w:pPr>
            <w:r w:rsidRPr="0065773B">
              <w:rPr>
                <w:b/>
                <w:szCs w:val="24"/>
              </w:rPr>
              <w:t>70</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79D" w:rsidRDefault="004F779D" w:rsidP="007D0B91">
      <w:pPr>
        <w:spacing w:after="0" w:line="240" w:lineRule="auto"/>
      </w:pPr>
      <w:r>
        <w:separator/>
      </w:r>
    </w:p>
  </w:endnote>
  <w:endnote w:type="continuationSeparator" w:id="0">
    <w:p w:rsidR="004F779D" w:rsidRDefault="004F779D" w:rsidP="007D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79D" w:rsidRDefault="004F779D" w:rsidP="007D0B91">
      <w:pPr>
        <w:spacing w:after="0" w:line="240" w:lineRule="auto"/>
      </w:pPr>
      <w:r>
        <w:separator/>
      </w:r>
    </w:p>
  </w:footnote>
  <w:footnote w:type="continuationSeparator" w:id="0">
    <w:p w:rsidR="004F779D" w:rsidRDefault="004F779D" w:rsidP="007D0B91">
      <w:pPr>
        <w:spacing w:after="0" w:line="240" w:lineRule="auto"/>
      </w:pPr>
      <w:r>
        <w:continuationSeparator/>
      </w:r>
    </w:p>
  </w:footnote>
  <w:footnote w:id="1">
    <w:p w:rsidR="007D0B91" w:rsidRPr="00F17AC9" w:rsidRDefault="007D0B91" w:rsidP="007D0B91">
      <w:pPr>
        <w:pStyle w:val="FootnoteText"/>
        <w:tabs>
          <w:tab w:val="clear" w:pos="360"/>
        </w:tabs>
        <w:ind w:left="0" w:right="49" w:firstLine="0"/>
        <w:rPr>
          <w:sz w:val="24"/>
          <w:szCs w:val="24"/>
          <w:lang w:val="en-US"/>
        </w:rPr>
      </w:pPr>
      <w:r w:rsidRPr="008110CC">
        <w:rPr>
          <w:rStyle w:val="FootnoteReference"/>
          <w:szCs w:val="24"/>
        </w:rPr>
        <w:footnoteRef/>
      </w:r>
      <w:r w:rsidRPr="008110CC">
        <w:rPr>
          <w:szCs w:val="24"/>
          <w:lang w:val="vi-VN"/>
        </w:rPr>
        <w:t xml:space="preserve"> Trường hợp áp dụng</w:t>
      </w:r>
      <w:r w:rsidRPr="00F17AC9">
        <w:rPr>
          <w:szCs w:val="24"/>
          <w:lang w:val="en-US"/>
        </w:rPr>
        <w:t xml:space="preserve"> phương pháp này</w:t>
      </w:r>
      <w:r w:rsidRPr="008110CC">
        <w:rPr>
          <w:szCs w:val="24"/>
          <w:lang w:val="vi-VN"/>
        </w:rPr>
        <w:t xml:space="preserve"> thì xóa bỏ </w:t>
      </w:r>
      <w:r w:rsidRPr="00F17AC9">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91"/>
    <w:rsid w:val="004F779D"/>
    <w:rsid w:val="007D0B91"/>
    <w:rsid w:val="008C69DB"/>
    <w:rsid w:val="009B060A"/>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83B1C-A1DD-46DA-A08E-4920EED5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B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D0B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0B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0B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0B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0B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0B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B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D0B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0B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0B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0B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0B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0B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0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B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D0B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D0B91"/>
    <w:pPr>
      <w:spacing w:before="160"/>
      <w:jc w:val="center"/>
    </w:pPr>
    <w:rPr>
      <w:i/>
      <w:iCs/>
      <w:color w:val="404040" w:themeColor="text1" w:themeTint="BF"/>
    </w:rPr>
  </w:style>
  <w:style w:type="character" w:customStyle="1" w:styleId="QuoteChar">
    <w:name w:val="Quote Char"/>
    <w:basedOn w:val="DefaultParagraphFont"/>
    <w:link w:val="Quote"/>
    <w:uiPriority w:val="29"/>
    <w:rsid w:val="007D0B91"/>
    <w:rPr>
      <w:i/>
      <w:iCs/>
      <w:color w:val="404040" w:themeColor="text1" w:themeTint="BF"/>
    </w:rPr>
  </w:style>
  <w:style w:type="paragraph" w:styleId="ListParagraph">
    <w:name w:val="List Paragraph"/>
    <w:basedOn w:val="Normal"/>
    <w:uiPriority w:val="34"/>
    <w:qFormat/>
    <w:rsid w:val="007D0B91"/>
    <w:pPr>
      <w:ind w:left="720"/>
      <w:contextualSpacing/>
    </w:pPr>
  </w:style>
  <w:style w:type="character" w:styleId="IntenseEmphasis">
    <w:name w:val="Intense Emphasis"/>
    <w:basedOn w:val="DefaultParagraphFont"/>
    <w:uiPriority w:val="21"/>
    <w:qFormat/>
    <w:rsid w:val="007D0B91"/>
    <w:rPr>
      <w:i/>
      <w:iCs/>
      <w:color w:val="2F5496" w:themeColor="accent1" w:themeShade="BF"/>
    </w:rPr>
  </w:style>
  <w:style w:type="paragraph" w:styleId="IntenseQuote">
    <w:name w:val="Intense Quote"/>
    <w:basedOn w:val="Normal"/>
    <w:next w:val="Normal"/>
    <w:link w:val="IntenseQuoteChar"/>
    <w:uiPriority w:val="30"/>
    <w:qFormat/>
    <w:rsid w:val="007D0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B91"/>
    <w:rPr>
      <w:i/>
      <w:iCs/>
      <w:color w:val="2F5496" w:themeColor="accent1" w:themeShade="BF"/>
    </w:rPr>
  </w:style>
  <w:style w:type="character" w:styleId="IntenseReference">
    <w:name w:val="Intense Reference"/>
    <w:basedOn w:val="DefaultParagraphFont"/>
    <w:uiPriority w:val="32"/>
    <w:qFormat/>
    <w:rsid w:val="007D0B91"/>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D0B91"/>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D0B91"/>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7D0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2025-12-18T06:59:00Z</dcterms:created>
  <dcterms:modified xsi:type="dcterms:W3CDTF">2025-12-18T06:59:00Z</dcterms:modified>
</cp:coreProperties>
</file>