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236" w:rsidRPr="00FF4EFB" w:rsidRDefault="00494236" w:rsidP="00494236">
      <w:pPr>
        <w:pStyle w:val="01"/>
        <w:outlineLvl w:val="1"/>
      </w:pPr>
      <w:r w:rsidRPr="00FF4EFB">
        <w:t>Chương V. YÊU CẦU VỀ KỸ THUẬT</w:t>
      </w:r>
    </w:p>
    <w:p w:rsidR="00494236" w:rsidRPr="00FF4EFB" w:rsidRDefault="00494236" w:rsidP="00494236">
      <w:pPr>
        <w:widowControl w:val="0"/>
        <w:spacing w:before="60" w:after="60"/>
        <w:ind w:firstLine="709"/>
        <w:outlineLvl w:val="2"/>
        <w:rPr>
          <w:b/>
          <w:sz w:val="28"/>
          <w:szCs w:val="28"/>
          <w:lang w:val="vi-VN"/>
        </w:rPr>
      </w:pPr>
      <w:bookmarkStart w:id="0" w:name="_Toc104800536"/>
      <w:r w:rsidRPr="00FF4EFB">
        <w:rPr>
          <w:b/>
          <w:sz w:val="28"/>
          <w:szCs w:val="28"/>
          <w:lang w:val="vi-VN"/>
        </w:rPr>
        <w:t>Mục 1. Giới thiệu chung về dự án và gói thầu:</w:t>
      </w:r>
    </w:p>
    <w:p w:rsidR="00494236" w:rsidRPr="00FF4EFB" w:rsidRDefault="00494236" w:rsidP="00494236">
      <w:pPr>
        <w:widowControl w:val="0"/>
        <w:spacing w:before="60" w:after="60"/>
        <w:ind w:firstLine="709"/>
        <w:rPr>
          <w:iCs/>
          <w:spacing w:val="-4"/>
          <w:sz w:val="28"/>
          <w:szCs w:val="28"/>
          <w:lang w:val="vi-VN"/>
        </w:rPr>
      </w:pPr>
      <w:r w:rsidRPr="00FF4EFB">
        <w:rPr>
          <w:iCs/>
          <w:spacing w:val="-4"/>
          <w:sz w:val="28"/>
          <w:szCs w:val="28"/>
          <w:lang w:val="de-DE"/>
        </w:rPr>
        <w:t>- Tên gói thầu: Thu thập thông tin phiếu điều tra cơ sở sản xuất kinh doanh cá thể trong Tổng điều tra kinh tế năm 2026 trên địa bàn tỉnh Tuyên Quang</w:t>
      </w:r>
      <w:r w:rsidRPr="00FF4EFB">
        <w:rPr>
          <w:iCs/>
          <w:spacing w:val="-4"/>
          <w:sz w:val="28"/>
          <w:szCs w:val="28"/>
          <w:lang w:val="vi-VN"/>
        </w:rPr>
        <w:t>.</w:t>
      </w:r>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xml:space="preserve">- Chủ đầu tư: </w:t>
      </w:r>
      <w:r w:rsidRPr="00FF4EFB">
        <w:rPr>
          <w:iCs/>
          <w:spacing w:val="-4"/>
          <w:sz w:val="28"/>
          <w:szCs w:val="28"/>
          <w:lang w:val="vi-VN"/>
        </w:rPr>
        <w:t>Thống kê</w:t>
      </w:r>
      <w:r w:rsidRPr="00FF4EFB">
        <w:rPr>
          <w:iCs/>
          <w:spacing w:val="-4"/>
          <w:sz w:val="28"/>
          <w:szCs w:val="28"/>
          <w:lang w:val="de-DE"/>
        </w:rPr>
        <w:t xml:space="preserve"> tỉnh Tuyên Quang</w:t>
      </w:r>
      <w:r>
        <w:rPr>
          <w:iCs/>
          <w:spacing w:val="-4"/>
          <w:sz w:val="28"/>
          <w:szCs w:val="28"/>
          <w:lang w:val="de-DE"/>
        </w:rPr>
        <w:t>.</w:t>
      </w:r>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Hình thức lựa chọn nhà thầu: Chào hàng cạ</w:t>
      </w:r>
      <w:r>
        <w:rPr>
          <w:iCs/>
          <w:spacing w:val="-4"/>
          <w:sz w:val="28"/>
          <w:szCs w:val="28"/>
          <w:lang w:val="de-DE"/>
        </w:rPr>
        <w:t>nh tranh trong nước qua mạng.</w:t>
      </w:r>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Phương thức đấu thầu: Một giai đoạn một túi hồ sơ.</w:t>
      </w:r>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xml:space="preserve">- Hình thức thực hiện hợp đồng: </w:t>
      </w:r>
      <w:r>
        <w:rPr>
          <w:iCs/>
          <w:spacing w:val="-4"/>
          <w:sz w:val="28"/>
          <w:szCs w:val="28"/>
          <w:lang w:val="de-DE"/>
        </w:rPr>
        <w:t>Trọn gói</w:t>
      </w:r>
      <w:r w:rsidRPr="00FF4EFB">
        <w:rPr>
          <w:iCs/>
          <w:spacing w:val="-4"/>
          <w:sz w:val="28"/>
          <w:szCs w:val="28"/>
          <w:lang w:val="de-DE"/>
        </w:rPr>
        <w:t>.</w:t>
      </w:r>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Địa điểm thực hiện: Trên địa bàn tỉnh Tuyên Quang.</w:t>
      </w:r>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xml:space="preserve">- Nội dung gói thầu: </w:t>
      </w:r>
      <w:r w:rsidRPr="00FF4EFB">
        <w:rPr>
          <w:spacing w:val="-2"/>
          <w:sz w:val="28"/>
          <w:szCs w:val="28"/>
          <w:lang w:val="de-DE"/>
        </w:rPr>
        <w:t>Điều tra thu thập thông tin phiếu cơ sở SXKD cá thể trong Tổng điều tra kinh tế năm 2026 trên địa bàn tỉnh Tuyên Quang</w:t>
      </w:r>
      <w:r w:rsidRPr="00FF4EFB">
        <w:rPr>
          <w:iCs/>
          <w:spacing w:val="-4"/>
          <w:sz w:val="28"/>
          <w:szCs w:val="28"/>
          <w:lang w:val="de-DE"/>
        </w:rPr>
        <w:t xml:space="preserve">.  </w:t>
      </w:r>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xml:space="preserve">- Thời gian thực hiện hợp đồng: </w:t>
      </w:r>
      <w:r w:rsidRPr="00FF4EFB">
        <w:rPr>
          <w:noProof/>
          <w:sz w:val="28"/>
          <w:szCs w:val="28"/>
        </w:rPr>
        <w:t>90</w:t>
      </w:r>
      <w:r w:rsidRPr="00FF4EFB">
        <w:rPr>
          <w:noProof/>
          <w:sz w:val="28"/>
          <w:szCs w:val="28"/>
          <w:lang w:val="vi-VN"/>
        </w:rPr>
        <w:t xml:space="preserve"> ngày</w:t>
      </w:r>
      <w:r w:rsidRPr="00FF4EFB">
        <w:rPr>
          <w:noProof/>
          <w:sz w:val="28"/>
          <w:szCs w:val="28"/>
        </w:rPr>
        <w:t>, Quý I/2026.</w:t>
      </w:r>
      <w:r w:rsidRPr="00FF4EFB">
        <w:rPr>
          <w:iCs/>
          <w:spacing w:val="-4"/>
          <w:sz w:val="28"/>
          <w:szCs w:val="28"/>
          <w:lang w:val="de-DE"/>
        </w:rPr>
        <w:t xml:space="preserve"> </w:t>
      </w:r>
    </w:p>
    <w:p w:rsidR="00494236" w:rsidRPr="00FF4EFB" w:rsidRDefault="00494236" w:rsidP="00494236">
      <w:pPr>
        <w:widowControl w:val="0"/>
        <w:spacing w:before="60" w:after="60"/>
        <w:ind w:firstLine="709"/>
        <w:outlineLvl w:val="2"/>
        <w:rPr>
          <w:b/>
          <w:sz w:val="28"/>
          <w:szCs w:val="28"/>
          <w:lang w:val="de-DE"/>
        </w:rPr>
      </w:pPr>
      <w:r w:rsidRPr="00FF4EFB">
        <w:rPr>
          <w:b/>
          <w:sz w:val="28"/>
          <w:szCs w:val="28"/>
          <w:lang w:val="de-DE"/>
        </w:rPr>
        <w:t>Mục 2. Yêu cầu về kỹ thuật:</w:t>
      </w:r>
    </w:p>
    <w:p w:rsidR="00494236" w:rsidRPr="00FF4EFB" w:rsidRDefault="00494236" w:rsidP="00494236">
      <w:pPr>
        <w:widowControl w:val="0"/>
        <w:spacing w:before="60" w:after="60"/>
        <w:ind w:firstLine="709"/>
        <w:outlineLvl w:val="2"/>
        <w:rPr>
          <w:b/>
          <w:sz w:val="28"/>
          <w:szCs w:val="28"/>
          <w:lang w:val="de-DE"/>
        </w:rPr>
      </w:pPr>
      <w:r w:rsidRPr="00FF4EFB">
        <w:rPr>
          <w:b/>
          <w:sz w:val="28"/>
          <w:szCs w:val="28"/>
          <w:lang w:val="de-DE"/>
        </w:rPr>
        <w:t>1. Quy mô của gói thầu:</w:t>
      </w:r>
    </w:p>
    <w:tbl>
      <w:tblPr>
        <w:tblW w:w="9796" w:type="dxa"/>
        <w:tblInd w:w="93" w:type="dxa"/>
        <w:tblLook w:val="04A0" w:firstRow="1" w:lastRow="0" w:firstColumn="1" w:lastColumn="0" w:noHBand="0" w:noVBand="1"/>
      </w:tblPr>
      <w:tblGrid>
        <w:gridCol w:w="746"/>
        <w:gridCol w:w="4820"/>
        <w:gridCol w:w="4252"/>
      </w:tblGrid>
      <w:tr w:rsidR="00494236" w:rsidRPr="00494236" w:rsidTr="00494236">
        <w:trPr>
          <w:trHeight w:val="951"/>
        </w:trPr>
        <w:tc>
          <w:tcPr>
            <w:tcW w:w="724" w:type="dxa"/>
            <w:tcBorders>
              <w:top w:val="single" w:sz="4" w:space="0" w:color="auto"/>
              <w:left w:val="single" w:sz="4" w:space="0" w:color="auto"/>
              <w:bottom w:val="single" w:sz="4" w:space="0" w:color="auto"/>
              <w:right w:val="single" w:sz="4" w:space="0" w:color="auto"/>
            </w:tcBorders>
            <w:shd w:val="clear" w:color="auto" w:fill="C5E0B3"/>
            <w:vAlign w:val="center"/>
          </w:tcPr>
          <w:p w:rsidR="00494236" w:rsidRPr="00494236" w:rsidRDefault="00494236" w:rsidP="00803EFB">
            <w:pPr>
              <w:widowControl w:val="0"/>
              <w:jc w:val="center"/>
              <w:rPr>
                <w:b/>
                <w:bCs/>
                <w:sz w:val="28"/>
                <w:szCs w:val="28"/>
              </w:rPr>
            </w:pPr>
            <w:r w:rsidRPr="00494236">
              <w:rPr>
                <w:b/>
                <w:bCs/>
                <w:sz w:val="28"/>
                <w:szCs w:val="28"/>
              </w:rPr>
              <w:t>STT</w:t>
            </w:r>
          </w:p>
        </w:tc>
        <w:tc>
          <w:tcPr>
            <w:tcW w:w="4820" w:type="dxa"/>
            <w:tcBorders>
              <w:top w:val="single" w:sz="4" w:space="0" w:color="auto"/>
              <w:left w:val="nil"/>
              <w:bottom w:val="single" w:sz="4" w:space="0" w:color="auto"/>
              <w:right w:val="single" w:sz="4" w:space="0" w:color="auto"/>
            </w:tcBorders>
            <w:shd w:val="clear" w:color="auto" w:fill="C5E0B3"/>
            <w:vAlign w:val="center"/>
          </w:tcPr>
          <w:p w:rsidR="00494236" w:rsidRPr="00494236" w:rsidRDefault="00494236" w:rsidP="00803EFB">
            <w:pPr>
              <w:widowControl w:val="0"/>
              <w:jc w:val="center"/>
              <w:rPr>
                <w:b/>
                <w:bCs/>
                <w:sz w:val="28"/>
                <w:szCs w:val="28"/>
                <w:lang w:val="vi-VN"/>
              </w:rPr>
            </w:pPr>
            <w:r w:rsidRPr="00494236">
              <w:rPr>
                <w:b/>
                <w:bCs/>
                <w:sz w:val="28"/>
                <w:szCs w:val="28"/>
                <w:lang w:val="vi-VN"/>
              </w:rPr>
              <w:t>Phiếu điều tra</w:t>
            </w:r>
          </w:p>
        </w:tc>
        <w:tc>
          <w:tcPr>
            <w:tcW w:w="4252" w:type="dxa"/>
            <w:tcBorders>
              <w:top w:val="single" w:sz="4" w:space="0" w:color="auto"/>
              <w:left w:val="nil"/>
              <w:bottom w:val="single" w:sz="4" w:space="0" w:color="auto"/>
              <w:right w:val="single" w:sz="4" w:space="0" w:color="auto"/>
            </w:tcBorders>
            <w:shd w:val="clear" w:color="auto" w:fill="C5E0B3"/>
            <w:vAlign w:val="center"/>
          </w:tcPr>
          <w:p w:rsidR="00494236" w:rsidRPr="00494236" w:rsidRDefault="00494236" w:rsidP="00803EFB">
            <w:pPr>
              <w:widowControl w:val="0"/>
              <w:jc w:val="center"/>
              <w:rPr>
                <w:b/>
                <w:bCs/>
                <w:sz w:val="28"/>
                <w:szCs w:val="28"/>
                <w:lang w:val="vi-VN"/>
              </w:rPr>
            </w:pPr>
            <w:r w:rsidRPr="00494236">
              <w:rPr>
                <w:b/>
                <w:bCs/>
                <w:sz w:val="28"/>
                <w:szCs w:val="28"/>
                <w:lang w:val="vi-VN"/>
              </w:rPr>
              <w:t>Dự kiến tổng số phiếu điều tra</w:t>
            </w:r>
          </w:p>
        </w:tc>
      </w:tr>
      <w:tr w:rsidR="00494236" w:rsidRPr="00494236" w:rsidTr="00494236">
        <w:trPr>
          <w:trHeight w:val="312"/>
        </w:trPr>
        <w:tc>
          <w:tcPr>
            <w:tcW w:w="724" w:type="dxa"/>
            <w:tcBorders>
              <w:top w:val="nil"/>
              <w:left w:val="single" w:sz="4" w:space="0" w:color="auto"/>
              <w:bottom w:val="single" w:sz="4" w:space="0" w:color="auto"/>
              <w:right w:val="single" w:sz="4" w:space="0" w:color="auto"/>
            </w:tcBorders>
            <w:vAlign w:val="center"/>
            <w:hideMark/>
          </w:tcPr>
          <w:p w:rsidR="00494236" w:rsidRPr="00494236" w:rsidRDefault="00494236" w:rsidP="00803EFB">
            <w:pPr>
              <w:widowControl w:val="0"/>
              <w:jc w:val="center"/>
              <w:rPr>
                <w:sz w:val="28"/>
                <w:szCs w:val="28"/>
              </w:rPr>
            </w:pPr>
            <w:r w:rsidRPr="00494236">
              <w:rPr>
                <w:sz w:val="28"/>
                <w:szCs w:val="28"/>
              </w:rPr>
              <w:t>A</w:t>
            </w:r>
          </w:p>
        </w:tc>
        <w:tc>
          <w:tcPr>
            <w:tcW w:w="4820" w:type="dxa"/>
            <w:tcBorders>
              <w:top w:val="nil"/>
              <w:left w:val="nil"/>
              <w:bottom w:val="single" w:sz="4" w:space="0" w:color="auto"/>
              <w:right w:val="single" w:sz="4" w:space="0" w:color="auto"/>
            </w:tcBorders>
            <w:vAlign w:val="center"/>
            <w:hideMark/>
          </w:tcPr>
          <w:p w:rsidR="00494236" w:rsidRPr="00494236" w:rsidRDefault="00494236" w:rsidP="00803EFB">
            <w:pPr>
              <w:widowControl w:val="0"/>
              <w:jc w:val="center"/>
              <w:rPr>
                <w:sz w:val="28"/>
                <w:szCs w:val="28"/>
              </w:rPr>
            </w:pPr>
            <w:r w:rsidRPr="00494236">
              <w:rPr>
                <w:sz w:val="28"/>
                <w:szCs w:val="28"/>
              </w:rPr>
              <w:t>B</w:t>
            </w:r>
          </w:p>
        </w:tc>
        <w:tc>
          <w:tcPr>
            <w:tcW w:w="4252" w:type="dxa"/>
            <w:tcBorders>
              <w:top w:val="nil"/>
              <w:left w:val="nil"/>
              <w:bottom w:val="single" w:sz="4" w:space="0" w:color="auto"/>
              <w:right w:val="single" w:sz="4" w:space="0" w:color="auto"/>
            </w:tcBorders>
            <w:vAlign w:val="center"/>
            <w:hideMark/>
          </w:tcPr>
          <w:p w:rsidR="00494236" w:rsidRPr="00494236" w:rsidRDefault="00494236" w:rsidP="00803EFB">
            <w:pPr>
              <w:widowControl w:val="0"/>
              <w:jc w:val="center"/>
              <w:rPr>
                <w:sz w:val="28"/>
                <w:szCs w:val="28"/>
              </w:rPr>
            </w:pPr>
            <w:r w:rsidRPr="00494236">
              <w:rPr>
                <w:sz w:val="28"/>
                <w:szCs w:val="28"/>
              </w:rPr>
              <w:t>1</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sz w:val="28"/>
                <w:szCs w:val="28"/>
              </w:rPr>
            </w:pPr>
            <w:r w:rsidRPr="00494236">
              <w:rPr>
                <w:sz w:val="28"/>
                <w:szCs w:val="28"/>
              </w:rPr>
              <w:t>1</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rPr>
                <w:sz w:val="28"/>
                <w:szCs w:val="28"/>
              </w:rPr>
            </w:pPr>
            <w:r w:rsidRPr="00494236">
              <w:rPr>
                <w:sz w:val="28"/>
                <w:szCs w:val="28"/>
              </w:rPr>
              <w:t>Phiếu số 7/CT-TB</w:t>
            </w:r>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jc w:val="right"/>
              <w:rPr>
                <w:sz w:val="28"/>
                <w:szCs w:val="28"/>
              </w:rPr>
            </w:pPr>
            <w:r w:rsidRPr="00494236">
              <w:rPr>
                <w:sz w:val="28"/>
                <w:szCs w:val="28"/>
              </w:rPr>
              <w:t>58.205</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sz w:val="28"/>
                <w:szCs w:val="28"/>
              </w:rPr>
            </w:pPr>
            <w:r w:rsidRPr="00494236">
              <w:rPr>
                <w:sz w:val="28"/>
                <w:szCs w:val="28"/>
              </w:rPr>
              <w:t>2</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rPr>
                <w:sz w:val="28"/>
                <w:szCs w:val="28"/>
              </w:rPr>
            </w:pPr>
            <w:r w:rsidRPr="00494236">
              <w:rPr>
                <w:sz w:val="28"/>
                <w:szCs w:val="28"/>
              </w:rPr>
              <w:t>Phiếu số 7.1/CT-CN</w:t>
            </w:r>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jc w:val="right"/>
              <w:rPr>
                <w:sz w:val="28"/>
                <w:szCs w:val="28"/>
              </w:rPr>
            </w:pPr>
            <w:r w:rsidRPr="00494236">
              <w:rPr>
                <w:sz w:val="28"/>
                <w:szCs w:val="28"/>
              </w:rPr>
              <w:t>10.096</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sz w:val="28"/>
                <w:szCs w:val="28"/>
              </w:rPr>
            </w:pPr>
            <w:r w:rsidRPr="00494236">
              <w:rPr>
                <w:sz w:val="28"/>
                <w:szCs w:val="28"/>
              </w:rPr>
              <w:t>3</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rPr>
                <w:sz w:val="28"/>
                <w:szCs w:val="28"/>
              </w:rPr>
            </w:pPr>
            <w:r w:rsidRPr="00494236">
              <w:rPr>
                <w:sz w:val="28"/>
                <w:szCs w:val="28"/>
              </w:rPr>
              <w:t>Phiếu số 7.2/CT-VT</w:t>
            </w:r>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jc w:val="right"/>
              <w:rPr>
                <w:sz w:val="28"/>
                <w:szCs w:val="28"/>
              </w:rPr>
            </w:pPr>
            <w:r w:rsidRPr="00494236">
              <w:rPr>
                <w:sz w:val="28"/>
                <w:szCs w:val="28"/>
              </w:rPr>
              <w:t>2.823</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sz w:val="28"/>
                <w:szCs w:val="28"/>
              </w:rPr>
            </w:pPr>
            <w:r w:rsidRPr="00494236">
              <w:rPr>
                <w:sz w:val="28"/>
                <w:szCs w:val="28"/>
              </w:rPr>
              <w:t>4</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rPr>
                <w:sz w:val="28"/>
                <w:szCs w:val="28"/>
              </w:rPr>
            </w:pPr>
            <w:r w:rsidRPr="00494236">
              <w:rPr>
                <w:sz w:val="28"/>
                <w:szCs w:val="28"/>
              </w:rPr>
              <w:t>Phiếu số 7.3/CT-LT</w:t>
            </w:r>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jc w:val="right"/>
              <w:rPr>
                <w:sz w:val="28"/>
                <w:szCs w:val="28"/>
              </w:rPr>
            </w:pPr>
            <w:r w:rsidRPr="00494236">
              <w:rPr>
                <w:sz w:val="28"/>
                <w:szCs w:val="28"/>
              </w:rPr>
              <w:t>1.361</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sz w:val="28"/>
                <w:szCs w:val="28"/>
              </w:rPr>
            </w:pPr>
            <w:r w:rsidRPr="00494236">
              <w:rPr>
                <w:sz w:val="28"/>
                <w:szCs w:val="28"/>
              </w:rPr>
              <w:t>5</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rPr>
                <w:sz w:val="28"/>
                <w:szCs w:val="28"/>
              </w:rPr>
            </w:pPr>
            <w:r w:rsidRPr="00494236">
              <w:rPr>
                <w:sz w:val="28"/>
                <w:szCs w:val="28"/>
              </w:rPr>
              <w:t>Phiếu số 7.4/CT-TM</w:t>
            </w:r>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jc w:val="right"/>
              <w:rPr>
                <w:sz w:val="28"/>
                <w:szCs w:val="28"/>
              </w:rPr>
            </w:pPr>
            <w:r w:rsidRPr="00494236">
              <w:rPr>
                <w:sz w:val="28"/>
                <w:szCs w:val="28"/>
              </w:rPr>
              <w:t>26.614</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sz w:val="28"/>
                <w:szCs w:val="28"/>
              </w:rPr>
            </w:pPr>
            <w:r w:rsidRPr="00494236">
              <w:rPr>
                <w:sz w:val="28"/>
                <w:szCs w:val="28"/>
              </w:rPr>
              <w:t>6</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rPr>
                <w:sz w:val="28"/>
                <w:szCs w:val="28"/>
              </w:rPr>
            </w:pPr>
            <w:r w:rsidRPr="00494236">
              <w:rPr>
                <w:sz w:val="28"/>
                <w:szCs w:val="28"/>
              </w:rPr>
              <w:t>Phiếu số 7.5/CT-MAU</w:t>
            </w:r>
            <w:bookmarkStart w:id="1" w:name="_GoBack"/>
            <w:bookmarkEnd w:id="1"/>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jc w:val="right"/>
              <w:rPr>
                <w:sz w:val="28"/>
                <w:szCs w:val="28"/>
              </w:rPr>
            </w:pPr>
            <w:r w:rsidRPr="00494236">
              <w:rPr>
                <w:sz w:val="28"/>
                <w:szCs w:val="28"/>
              </w:rPr>
              <w:t>2.794</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sz w:val="28"/>
                <w:szCs w:val="28"/>
              </w:rPr>
            </w:pPr>
            <w:r w:rsidRPr="00494236">
              <w:rPr>
                <w:sz w:val="28"/>
                <w:szCs w:val="28"/>
              </w:rPr>
              <w:t>7</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rPr>
                <w:sz w:val="28"/>
                <w:szCs w:val="28"/>
              </w:rPr>
            </w:pPr>
            <w:r w:rsidRPr="00494236">
              <w:rPr>
                <w:sz w:val="28"/>
                <w:szCs w:val="28"/>
              </w:rPr>
              <w:t>Phiếu số 7.6/CT-VT-MAU</w:t>
            </w:r>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jc w:val="right"/>
              <w:rPr>
                <w:sz w:val="28"/>
                <w:szCs w:val="28"/>
              </w:rPr>
            </w:pPr>
            <w:r w:rsidRPr="00494236">
              <w:rPr>
                <w:sz w:val="28"/>
                <w:szCs w:val="28"/>
              </w:rPr>
              <w:t>182</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tcPr>
          <w:p w:rsidR="00494236" w:rsidRPr="00494236" w:rsidRDefault="00494236" w:rsidP="00803EFB">
            <w:pPr>
              <w:widowControl w:val="0"/>
              <w:jc w:val="center"/>
              <w:rPr>
                <w:sz w:val="28"/>
                <w:szCs w:val="28"/>
              </w:rPr>
            </w:pPr>
            <w:r w:rsidRPr="00494236">
              <w:rPr>
                <w:sz w:val="28"/>
                <w:szCs w:val="28"/>
              </w:rPr>
              <w:t>8</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widowControl w:val="0"/>
              <w:rPr>
                <w:sz w:val="28"/>
                <w:szCs w:val="28"/>
              </w:rPr>
            </w:pPr>
            <w:r w:rsidRPr="00494236">
              <w:rPr>
                <w:sz w:val="28"/>
                <w:szCs w:val="28"/>
              </w:rPr>
              <w:t>Phiếu số 7.7/CT-LT-MAU</w:t>
            </w:r>
          </w:p>
        </w:tc>
        <w:tc>
          <w:tcPr>
            <w:tcW w:w="4252" w:type="dxa"/>
            <w:tcBorders>
              <w:top w:val="nil"/>
              <w:left w:val="nil"/>
              <w:bottom w:val="single" w:sz="4" w:space="0" w:color="auto"/>
              <w:right w:val="single" w:sz="4" w:space="0" w:color="auto"/>
            </w:tcBorders>
            <w:noWrap/>
            <w:vAlign w:val="center"/>
          </w:tcPr>
          <w:p w:rsidR="00494236" w:rsidRPr="00494236" w:rsidRDefault="00494236" w:rsidP="00803EFB">
            <w:pPr>
              <w:widowControl w:val="0"/>
              <w:jc w:val="right"/>
              <w:rPr>
                <w:sz w:val="28"/>
                <w:szCs w:val="28"/>
              </w:rPr>
            </w:pPr>
            <w:r w:rsidRPr="00494236">
              <w:rPr>
                <w:sz w:val="28"/>
                <w:szCs w:val="28"/>
              </w:rPr>
              <w:t>68</w:t>
            </w:r>
          </w:p>
        </w:tc>
      </w:tr>
      <w:tr w:rsidR="00494236" w:rsidRPr="00494236" w:rsidTr="00494236">
        <w:trPr>
          <w:trHeight w:val="360"/>
        </w:trPr>
        <w:tc>
          <w:tcPr>
            <w:tcW w:w="724" w:type="dxa"/>
            <w:tcBorders>
              <w:top w:val="nil"/>
              <w:left w:val="single" w:sz="4" w:space="0" w:color="auto"/>
              <w:bottom w:val="single" w:sz="4" w:space="0" w:color="auto"/>
              <w:right w:val="single" w:sz="4" w:space="0" w:color="auto"/>
            </w:tcBorders>
            <w:noWrap/>
            <w:vAlign w:val="center"/>
            <w:hideMark/>
          </w:tcPr>
          <w:p w:rsidR="00494236" w:rsidRPr="00494236" w:rsidRDefault="00494236" w:rsidP="00803EFB">
            <w:pPr>
              <w:widowControl w:val="0"/>
              <w:jc w:val="center"/>
              <w:rPr>
                <w:b/>
                <w:bCs/>
                <w:sz w:val="28"/>
                <w:szCs w:val="28"/>
              </w:rPr>
            </w:pPr>
            <w:r w:rsidRPr="00494236">
              <w:rPr>
                <w:b/>
                <w:bCs/>
                <w:sz w:val="28"/>
                <w:szCs w:val="28"/>
              </w:rPr>
              <w:t> </w:t>
            </w:r>
          </w:p>
        </w:tc>
        <w:tc>
          <w:tcPr>
            <w:tcW w:w="4820" w:type="dxa"/>
            <w:tcBorders>
              <w:top w:val="nil"/>
              <w:left w:val="nil"/>
              <w:bottom w:val="single" w:sz="4" w:space="0" w:color="auto"/>
              <w:right w:val="single" w:sz="4" w:space="0" w:color="auto"/>
            </w:tcBorders>
            <w:noWrap/>
            <w:vAlign w:val="center"/>
          </w:tcPr>
          <w:p w:rsidR="00494236" w:rsidRPr="00494236" w:rsidRDefault="00494236" w:rsidP="00803EFB">
            <w:pPr>
              <w:widowControl w:val="0"/>
              <w:rPr>
                <w:b/>
                <w:bCs/>
                <w:sz w:val="28"/>
                <w:szCs w:val="28"/>
                <w:lang w:val="vi-VN"/>
              </w:rPr>
            </w:pPr>
            <w:r w:rsidRPr="00494236">
              <w:rPr>
                <w:b/>
                <w:bCs/>
                <w:sz w:val="28"/>
                <w:szCs w:val="28"/>
                <w:lang w:val="vi-VN"/>
              </w:rPr>
              <w:t>CỘNG</w:t>
            </w:r>
          </w:p>
        </w:tc>
        <w:tc>
          <w:tcPr>
            <w:tcW w:w="4252" w:type="dxa"/>
            <w:tcBorders>
              <w:top w:val="nil"/>
              <w:left w:val="nil"/>
              <w:bottom w:val="single" w:sz="4" w:space="0" w:color="auto"/>
              <w:right w:val="single" w:sz="4" w:space="0" w:color="auto"/>
            </w:tcBorders>
            <w:noWrap/>
            <w:vAlign w:val="bottom"/>
          </w:tcPr>
          <w:p w:rsidR="00494236" w:rsidRPr="00494236" w:rsidRDefault="00494236" w:rsidP="00803EFB">
            <w:pPr>
              <w:widowControl w:val="0"/>
              <w:jc w:val="right"/>
              <w:rPr>
                <w:b/>
                <w:bCs/>
                <w:sz w:val="28"/>
                <w:szCs w:val="28"/>
              </w:rPr>
            </w:pPr>
          </w:p>
        </w:tc>
      </w:tr>
    </w:tbl>
    <w:p w:rsidR="00494236" w:rsidRPr="00FF4EFB" w:rsidRDefault="00494236" w:rsidP="00494236">
      <w:pPr>
        <w:widowControl w:val="0"/>
        <w:spacing w:before="60" w:after="60"/>
        <w:ind w:firstLine="709"/>
        <w:outlineLvl w:val="2"/>
        <w:rPr>
          <w:bCs/>
          <w:sz w:val="28"/>
          <w:szCs w:val="28"/>
        </w:rPr>
      </w:pPr>
      <w:r w:rsidRPr="00FF4EFB">
        <w:rPr>
          <w:bCs/>
          <w:sz w:val="28"/>
          <w:szCs w:val="28"/>
        </w:rPr>
        <w:t xml:space="preserve">Thời gian, cách thức nghiệm </w:t>
      </w:r>
      <w:proofErr w:type="gramStart"/>
      <w:r w:rsidRPr="00FF4EFB">
        <w:rPr>
          <w:bCs/>
          <w:sz w:val="28"/>
          <w:szCs w:val="28"/>
        </w:rPr>
        <w:t>thu</w:t>
      </w:r>
      <w:proofErr w:type="gramEnd"/>
      <w:r w:rsidRPr="00FF4EFB">
        <w:rPr>
          <w:bCs/>
          <w:sz w:val="28"/>
          <w:szCs w:val="28"/>
        </w:rPr>
        <w:t xml:space="preserve">, thanh toán phí chi trả do hai bên thỏa thuận khi thương thảo hợp đồng khung.  </w:t>
      </w:r>
    </w:p>
    <w:p w:rsidR="00494236" w:rsidRPr="00FF4EFB" w:rsidRDefault="00494236" w:rsidP="00494236">
      <w:pPr>
        <w:widowControl w:val="0"/>
        <w:spacing w:before="60" w:after="60"/>
        <w:ind w:firstLine="709"/>
        <w:outlineLvl w:val="2"/>
        <w:rPr>
          <w:b/>
          <w:sz w:val="28"/>
          <w:szCs w:val="28"/>
          <w:lang w:val="nl-NL"/>
        </w:rPr>
      </w:pPr>
      <w:r w:rsidRPr="00FF4EFB">
        <w:rPr>
          <w:b/>
          <w:sz w:val="28"/>
          <w:szCs w:val="28"/>
          <w:lang w:val="nl-NL"/>
        </w:rPr>
        <w:t>2. Yêu cầu kỹ thuật của gói thầu:</w:t>
      </w:r>
    </w:p>
    <w:p w:rsidR="00494236" w:rsidRPr="00FF4EFB" w:rsidRDefault="00494236" w:rsidP="00494236">
      <w:pPr>
        <w:spacing w:before="120" w:after="120"/>
        <w:ind w:firstLine="709"/>
        <w:rPr>
          <w:szCs w:val="24"/>
          <w:lang w:val="nl-NL"/>
        </w:rPr>
      </w:pPr>
      <w:r w:rsidRPr="00FF4EFB">
        <w:rPr>
          <w:bCs/>
          <w:noProof/>
          <w:sz w:val="28"/>
          <w:szCs w:val="28"/>
          <w:lang w:val="nl-NL"/>
        </w:rPr>
        <w:t xml:space="preserve">Nhà thầu nghiên cứu, đáp ứng theo hướng dẫn của Quyết định số </w:t>
      </w:r>
      <w:r w:rsidRPr="00FF4EFB">
        <w:rPr>
          <w:bCs/>
          <w:noProof/>
          <w:sz w:val="28"/>
          <w:szCs w:val="28"/>
          <w:lang w:val="nl-NL"/>
        </w:rPr>
        <w:br/>
        <w:t>3100/QĐ-BTC ngày 04 tháng 9 năm 2025 của Bộ tài chính ban hành phương án Tổng điều tra kinh tế năm 2026 về các nội dung, yêu cầu liên quan đến điều tra cơ sở sản xuất kinh doanh cá thể. Trích yếu một số nội dung như sau:</w:t>
      </w:r>
    </w:p>
    <w:p w:rsidR="00494236" w:rsidRPr="00FF4EFB" w:rsidRDefault="00494236" w:rsidP="00494236">
      <w:pPr>
        <w:spacing w:before="120" w:after="120"/>
        <w:ind w:firstLine="709"/>
        <w:rPr>
          <w:b/>
          <w:noProof/>
          <w:sz w:val="28"/>
          <w:szCs w:val="28"/>
          <w:lang w:val="vi-VN"/>
        </w:rPr>
      </w:pPr>
      <w:bookmarkStart w:id="2" w:name="bookmark44"/>
      <w:bookmarkStart w:id="3" w:name="bookmark45"/>
      <w:bookmarkStart w:id="4" w:name="bookmark47"/>
      <w:r w:rsidRPr="00FF4EFB">
        <w:rPr>
          <w:b/>
          <w:noProof/>
          <w:sz w:val="28"/>
          <w:szCs w:val="28"/>
          <w:lang w:val="vi-VN"/>
        </w:rPr>
        <w:t>I. MỤC ĐÍCH, YÊU CẦU TỔNG ĐIỀU TRA</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lastRenderedPageBreak/>
        <w:t>1. Mục đích</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Tổng điều tra kinh tế năm 2026 (viết tắt là TĐTKT 2026) thu thập thông tin về các cơ sở kinh tế nhằm đáp ứng các mục đích chính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Một là, đánh giá sự phát triển về số lượng, quy mô và lao động của các cơ sở kinh tế; kết quả sản xuất kinh doanh (viết tắt là SXKD); mức độ ứng dụng công nghệ thông tin, chuyển đổi số; cơ cấu, phân bố của các cơ sở và lao động theo địa phương, theo ngành kinh tế, theo loại hình kinh tế và theo hình thức sở hữu nhằm đáp ứng yêu cầu quản lý, điều hành của Đảng, Nhà nước, các bộ, ngành và địa phương.</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Hai là, phục vụ biên soạn các chỉ tiêu thống kê liên quan thuộc Hệ thống chỉ tiêu thống kê quốc gia; nhất là chỉ tiêu tổng sản phẩm trong nước (GDP), tổng sản phẩm trên địa bàn tỉnh, thành phố trực thuộc trung ương (GRDP) và các chỉ tiêu thuộc Hệ thống chỉ tiêu thống kê khác có liên quan.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Ba là, cập nhật thông tin và xây dựng cơ sở dữ liệu phục vụ chuyển đổi năm gốc so sánh phục vụ biên soạn các chỉ tiêu thống kê kinh tế - xã hội; làm dàn mẫu tổng thể về cơ sở kinh tế cho các cuộc điều tra chọn mẫu trong giai đoạn tiếp theo của ngành Thống kê, các bộ, ngành và địa phương.</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2. Yêu cầu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Công tác tổ chức, thu thập thông tin, xử lý số liệu, tổng hợp, công bố, lưu trữ dữ liệu và bảo mật thông tin phải thực hiện nghiêm túc, theo đúng quy định Luật Thống kê và của Phương án TĐTKT 2026.</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Thu thập, tổng hợp và công bố các số liệu có độ tin cậy cao, đầy đủ các nội dung điều tra theo Quyết định số 2837/QĐ-BTC ngày 18/8/2025 của Bộ trưởng Bộ Tài chính, bảo đảm tính kế thừa và so sánh với các kỳ tổng điều tra kinh tế trước đây, đáp ứng yêu cầu so sánh quốc tế.</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Bảo đảm tính khả thi về nội dung điều tra, đáp ứng yêu cầu biên soạn các chỉ tiêu thuộc Hệ thống chỉ tiêu thống kê quốc gia theo Luật Thống kê và một số Hệ thống chỉ tiêu thống kê liên quan.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Bảo đảm thông tin điều tra đầy đủ, kịp thời, không trùng lặp, phù hợp với điều kiện thực tế, có thể kết nối với các cơ sở dữ liệu của các bộ, ngành và có tính khả thi theo hướng ứng dụng triệt để công nghệ thông tin trong tất cả các công đoạn của TĐTKT 2026.</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Việc quản lý và sử dụng kinh phí của cuộc TĐTKT 2026 bảo đảm đúng chế độ hiện hành, sử dụng tiết kiệm, hiệu quả.</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II. PHẠM VI, ĐỐI TƯỢNG, ĐƠN VỊ ĐIỀU TRA</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1. Phạm vi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lastRenderedPageBreak/>
        <w:t>TĐTKT 2026 được thực hiện trên phạm vi cả nước đối với tất cả các đơn vị điều tra thuộc các loại hình kinh tế (trừ ngành O “Hoạt động của Đảng Cộng sản, tổ chức chính trị - xã hội, quản lý nhà nước, an ninh quốc phòng; bảo đảm xã hội bắt buộc” và ngành U “Hoạt động của các tổ chức và cơ quan quốc tế”) theo Hệ thống ngành kinh tế Việt Nam (VSIC 2018), cụ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A: Nông nghiệp, lâm nghiệp và thủy sản (chỉ điều tra các doanh nghiệp và các cơ sở trực thuộc doanh nghiệp);</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B: Khai khoáng;</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C: Công nghiệp chế biến, chế tạo;</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D: Sản xuất và phân phối điện, khí đốt, nước nóng, hơi nước và điều hòa không khí;</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E: Cung cấp nước; hoạt động quản lý và xử lý rác thải, nước thải;</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F: Xây dựng;</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-Ngành G: Bán buôn và bán lẻ; sửa chữa ô tô, mô tô, xe máy và xe có động cơ khác;</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H: Vận tải kho bãi;</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I: Dịch vụ lưu trú và ăn uống;</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J: Thông tin và truyền thông;</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K: Hoạt động tài chính, ngân hàng và bảo hiểm;</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L: Hoạt động kinh doanh bất động sản;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M: Hoạt động chuyên môn, khoa học và công nghệ;</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N: Hoạt động hành chính và dịch vụ hỗ trợ;</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P: Giáo dục và đào tạo;</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Q: Y tế và hoạt động trợ giúp xã hội;</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R: Nghệ thuật, vui chơi và giải trí;</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S: Hoạt động dịch vụ khác;</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Ngành T: Hoạt động làm thuê các công việc trong các hộ gia đình, sản xuất sản phẩm vật chất và dịch vụ tự tiêu dùng của hộ gia đình.</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2. Đối tượng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xml:space="preserve">Đối tượng điều tra là đơn vị cơ sở hay còn được gọi là đơn vị ngành kinh tế theo địa bàn thuộc: Tập đoàn, Tổng công ty, doanh nghiệp, hợp tác xã, liên hiệp hợp tác xã, quỹ tín dụng nhân dân; đơn vị sự nghiệp ngoài công lập; hội, hiệp hội; cơ sở SXKD trực thuộc cơ quan hành chính, đơn vị sự nghiệp công lập; cơ sở SXKD cá thể phi </w:t>
      </w:r>
      <w:r w:rsidRPr="00FF4EFB">
        <w:rPr>
          <w:bCs/>
          <w:noProof/>
          <w:sz w:val="28"/>
          <w:szCs w:val="28"/>
          <w:lang w:val="vi-VN"/>
        </w:rPr>
        <w:lastRenderedPageBreak/>
        <w:t>nông, lâm nghiệp và thủy sản; tổ hợp tác; chi nhánh, văn phòng đại diện của doanh nghiệp, tổ chức phi chính phủ nước ngoài được cấp giấy phép hoạt động tại Việt Nam; cơ sở tôn giáo, tín ngưỡng. Đơn vị cơ sở thỏa mãn các điều kiện sau đây:</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(1) Có địa điểm xác định trên lãnh thổ Việt Nam để trực tiếp thực hiện hoặc quản lý, điều hành các hoạt động kinh tế;</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(2) Có chủ thể sở hữu và người đứng đầu chịu trách nhiệm quản lý, điều hành hoạt động, có lao động được trả lương/lao động thường xuyên;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(3) Có thời gian hoạt động liên tục hoặc định kỳ theo mùa vụ hoặc theo tập quán kinh doanh;</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 Chỉ đóng tại 1 địa bàn xã, phường, đặc khu trực thuộc cấp tỉnh (sau đây gọi chung là xã) và chỉ tiến hành 1 hoạt động kinh tế thuộc ngành cấp 3.</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Một đơn vị cơ sở đóng trên cùng một địa điểm nhưng thuộc địa bàn quản lý của từ 2 xã trở lên, quy ước theo diện tích lớn nhất của đơn vị cơ sở thuộc địa bàn xã nào thì đơn vị cơ sở được tính vào xã đó. Trường hợp, chưa xác định được theo diện tích, tiếp tục căn cứ vào địa điểm thực hiện công tác quản lý (họp, phổ biến nghiệp vụ,...) để sắp xếp đơn vị cơ sở vào địa bàn xã phù hợp.</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Đối tượng điều tra không bao gồm: (i) Cơ quan hành chính, Đảng, đoàn thể, đơn vị sự nghiệp công lập; (ii) cơ sở hoạt động thuộc lĩnh vực ngoại giao (đoàn ngoại giao, Đại sứ quán, Lãnh sự quán của nước ngoài); (iii) các tổ chức và cơ quan quốc tế; (iv) cơ sở sản xuất nông nghiệp, lâm nghiệp và thủy sản của hộ.</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3. Đơn vị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Đơn vị điều tra được phân loại theo số lượng cơ sở và theo loại hình tổ chức.</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a) Phân loại đơn vị điều tra theo số lượng cơ sở</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Đơn vị điều tra đơn cơ sở là đơn vị điều tra chỉ có một đơn vị cơ sở đóng trên cùng địa bàn xã với văn phòng quản lý. Trong trường hợp này, văn phòng quản lý đóng trên cùng địa bàn xã để phục vụ trực tiếp cho đơn vị cơ sở tạo ra sản phẩm đầu ra của đơn vị điều tra. Do đó, văn phòng quản lý không được xem xét như một đơn vị cơ sở riêng biệt và xem như đơn vị điều tra chỉ có một đơn vị cơ sở duy nhất. Đơn vị điều tra đơn cơ sở được xếp vào ngành hoạt động của đơn vị cơ sở duy nhất của nó.</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Đơn vị điều tra đa cơ sở là đơn vị điều tra có từ hai đơn vị cơ sở đóng trên cùng địa bàn xã với văn phòng quản lý hoặc có ít nhất một đơn vị cơ sở đóng tại địa bàn xã khác với văn phòng quản lý. Ở đây, văn phòng quản lý được xác định là một đơn vị cơ sở và xếp vào ngành hoạt động của trụ sở văn phòng (trừ văn phòng quản lý của đơn vị hoạt động trong lĩnh vực tài chính, ngân hàng và bảo hiểm được xếp vào cùng ngành tài chính, ngân hàng và bảo hiểm). Các đơn vị cơ sở khác được xếp vào ngành hoạt động dựa trên sản phẩm chính mà đơn vị cơ sở đó sản xuất 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lastRenderedPageBreak/>
        <w:t>Đối với cơ sở SXKD cá thể phi nông, lâm nghiệp và thủy sản (viết tắt là NLTS), thường không có văn phòng quản lý. Do đó, đơn vị điều tra đa cơ sở SXKD cá thể phi NLTS là cơ sở có từ hai hoạt động SXKD trở lên.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b) Phân loại đơn vị điều tra theo loại hình tổ chức</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(3) Cơ sở SXKD cá thể do một người, một nhóm người hoặc một gia đình thực hiện hoạt động SXKD (không bao gồm hộ thực hiện duy nhất một hoạt động sản xuất nông nghiệp, lâm nghiệp, thủy sản) chưa đăng ký hoạt động theo loại hình doanh nghiệp, đơn vị sự nghiệp, tổ hợp tác. Cơ sở SXKD cá thể thỏa mãn các tiêu chí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Là nơi trực tiếp diễn ra hoạt động SXKD, cung cấp dịch vụ trong tất cả các ngành kinh tế quốc dân (trừ ngành nông nghiệp, lâm nghiệp và thủy sản).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Thuộc sở hữu của một người, một nhóm người hoặc một gia đình, chưa đăng ký hoạt động theo loại hình doanh nghiệp, đơn vị sự nghiệp, tổ hợp tác.</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Có địa điểm xác định trên lãnh thổ Việt Nam.</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Thời gian hoạt động thường xuyên, liên tục hoặc định kỳ theo mùa vụ, tập quán kinh doanh (tổng thời gian hoạt động ít nhất là 03 tháng/năm hoặc doanh thu đạt từ 100 triệu đồng trở lên/năm).</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Phân loại cơ sở SXKD cá thể theo số lượng cơ sở:</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Cơ sở SXKD cá thể đơn cơ sở chỉ có một đơn vị cơ sở đóng trên địa bàn một xã.</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Cơ sở SXKD cá thể đa cơ sở có từ hai đơn vị cơ sở trở lên.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Lưu ý: Cơ sở SXKD cá thể ngành xây dựng là đội/tổ/nhóm cá thể (gọi chung là đội xây dựng cá thể) do một người đứng ra làm đội trưởng (hay còn gọi là chủ/cai thầu xây dựng) được xác định theo tên và địa chỉ thường trú của chủ cơ sở (đội trưởng), số lượng đơn vị cơ sở tính theo số lượng đội trường; không xác định số lượng cơ sở theo số lượng công trình mà đội trưởng đang tiến hành xây dựng (trường hợp đội trường xây dựng nhận nhiều công trình xây dựng tại cùng một thời điểm vẫn chỉ tính là một cơ sở).</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III. LOẠI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TĐTKT 2026 thực hiện điều tra toàn bộ kết hợp với điều tra chọn mẫu.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1. Điều tra toàn bộ: Thực hiện đối với tất cả các đơn vị điều tra nhằm thu thập thông tin cơ bản về hoạt động SXKD của đơn vị.</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2. Điều tra chọn mẫu: Thực hiện đối với doanh nghiệp và cơ sở SXKD cá thể được chọn mẫu nhằm thu thập các thông tin phục vụ đánh giá chuyên sâu, chuyên đề. Mẫu được thiết kế bảo đảm đại diện đến cấp tỉnh theo ngành kinh tế. Số lượng, phương pháp và quy trình chọn mẫu được quy định riêng cho từng loại đơn vị điều tra.</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lastRenderedPageBreak/>
        <w:t>IV. THỜI ĐIỂM, THỜI KỲ, THỜI GIAN VÀ PHƯƠNG PHÁP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1. Thời điểm, thời kỳ số liệu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Thời điểm số liệu: Là thông tin của chỉ tiêu thống kê hiện có tại ngày 01/01/2025, ngày 31/12/2025 hoặc tùy theo từng chỉ tiêu và đơn vị điều tra được quy định cụ thể trong phiếu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Thời kỳ số liệu: Là thông tin của chỉ tiêu thống kê phát sinh trong năm 2025 hoặc theo một khoảng thời gian nhất định được quy định cụ thể cho từng chỉ tiêu và trong phiếu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2. Thời gian thu thập thông tin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d) Cơ sở SXKD cá thể; tổ hợp tác; cơ sở tôn giáo, tín ngưỡng: Từ ngày 05/01/2026 đến hết ngày 31/3/2026.</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3. Phương pháp thu thập thông tin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TĐTKT 2026 áp dụng cả 02 phương pháp thu thập thông tin trực tiếp và gián tiếp.</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b) Thu thập thông tin trực tiếp</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Áp dụng đối với các đơn vị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Cơ sở SXKD cá thể; tổ hợp tác; cơ sở tôn giáo, tín ngưỡng. Điều tra viên thống kê (ĐTV) đến từng đơn vị điều tra gặp người cung cấp thông tin để phỏng vấn và ghi thông tin vào phiếu điều tra điện tử (viết gọn là phiếu CAPI).</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V. NỘI DUNG, PHIẾU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1. Nội dung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Nội dung điều tra bao gồm các nhóm thông tin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Thông tin nhận dạng và phân loại đơn vị điều tra gồm: Thông tin định danh, ngành hoạt động SXKD, loại hình kinh tế, khu vực thể chế.</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Điều kiện SXKD của đơn vị điều tra: Thông tin về lao động, tài sản, nguồn vốn của đơn vị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Kết quả hoạt động SXKD của đơn vị điều tra: Thông tin về sản phẩm, doanh thu, chi phí SXKD, lợi nhuận, thuế và các khoản nộp ngân sách, tiêu dùng năng lượng và thông tin phục vụ biên soạn các chỉ tiêu thống kê chuyên ngành.</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Ứng dụng khoa học công nghệ của đơn vị điều tra: Ứng dụng công nghệ hiện đại, nghiên cứu khoa học và đổi mới sáng tạo; ứng dụng công nghệ thông tin trong SXKD; kinh tế số, thương mại điện tử.</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Thông tin chuyên đề chuyên sâu.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lastRenderedPageBreak/>
        <w:t>2. Phiếu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e) Cơ sở SXKD cá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(40) Phiếu 6/CT-BK: Phiếu thu thập thông tin lập bảng kê cơ sở sản xuất kinh doanh cá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(41) Phiếu 7/CT-TB: Phiếu thu thập thông tin đối với toàn bộ cơ sở sản xuất kinh doanh cá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(42) Phiếu 7.1/CT-CN: Phiếu thu thập thông tin về hoạt động công nghiệp của cơ sở sản xuất kinh doanh cá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(43) Phiếu 7.2/CT-VT: Phiếu thu thập thông tin về hoạt động vận tải của cơ sở sản xuất kinh doanh cá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(44) Phiếu 7.3/CT-LT: Phiếu thu thập thông tin về hoạt động lưu trú của cơ sở sản xuất kinh doanh cá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(45) Phiếu 7.4/CT-TM: Phiếu thu thập thông tin về hoạt động bán buôn, bán lẻ; sửa chữa ô tô, mô tô, xe máy và xe có động cơ khác; các hoạt động khác của cơ sở sản xuất kinh doanh cá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(46) Phiếu 7.5/CT-MAU: Phiếu thu thập thông tin đối với cơ sở sản xuất kinh doanh cá thể được chọn mẫu.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(47) Phiếu 7.6/CT-VT-MAU: Phiếu thu thập thông tin về hoạt động vận tải của cơ sở sản xuất kinh doanh cá thể được chọn mẫu.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(48) Phiếu 7.7/CT-LT-MAU: Phiếu thu thập thông tin về hoạt động lưu trú của cơ sở sản xuất kinh doanh cá thể được chọn mẫu.</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VI. PHÂN LOẠI THỐNG KÊ SỬ DỤNG TRONG TỔNG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1. Danh mục các đơn vị hành chính Việt Nam ban hành theo Quyết định số 19/2025/QĐ-TTg ngày 30/6/2025 của Thủ tướng Chính phủ, cập nhật đến thời điểm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2. Hệ thống ngành kinh tế Việt Nam năm 2018 ban hành theo Quyết định số 27/2018/QĐ-TTg ngày 06/7/2018 của Thủ tướng Chính phủ, cập nhật khi có quyết định mới.</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3. Hệ thống ngành sản phẩm Việt Nam ban hành theo Quyết định số 43/2018/QĐ-TTg ngày 01/11/2018 của Thủ tướng Chính phủ, cập nhật khi có quyết định mới.</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4. Danh mục dịch vụ xuất khẩu, nhập khẩu Việt Nam ban hành theo Quyết định số 01/2021/QĐ-TTg ngày 05/01/2021 của Thủ tướng Chính phủ.</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5. Phân loại thống kê theo loại hình kinh tế ban hành theo Thông tư số 07/2025/TT-BKHĐT ngày 13/02/2025 của Bộ Kế hoạch và Đầu tư.</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lastRenderedPageBreak/>
        <w:t>6. Danh mục giáo dục, đào tạo của hệ thống giáo dục quốc dân ban hành theo Quyết định số 01/2017/QĐ-TTg ngày 17/01/2017 của Thủ tướng Chính phủ; Thông tư số 09/2022/TT-BGDĐT ngày 06/6/2022 của Bộ trưởng Bộ Giáo dục và Đào tạo; Thông tư số 26/2020/TT-BLĐTBXH ngày 30/12/2020 của Bộ Lao động - Thương binh và Xã hội.</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7. Danh mục các thành phần dân tộc Việt Nam ban hành theo Quyết định số 121-TCTK/PPCĐ ngày 02/3/1979 của Tổng cục trưởng Tổng cục Thống kê.</w:t>
      </w:r>
    </w:p>
    <w:p w:rsidR="00494236" w:rsidRPr="00FF4EFB" w:rsidRDefault="00494236" w:rsidP="00494236">
      <w:pPr>
        <w:spacing w:before="120" w:after="120"/>
        <w:ind w:firstLine="709"/>
        <w:rPr>
          <w:b/>
          <w:noProof/>
          <w:sz w:val="28"/>
          <w:szCs w:val="28"/>
          <w:lang w:val="vi-VN"/>
        </w:rPr>
      </w:pPr>
      <w:r w:rsidRPr="00FF4EFB">
        <w:rPr>
          <w:bCs/>
          <w:noProof/>
          <w:sz w:val="28"/>
          <w:szCs w:val="28"/>
          <w:lang w:val="vi-VN"/>
        </w:rPr>
        <w:t>8. Danh mục các tổ chức tôn giáo, tổ chức được cấp chứng nhận đăng ký hoạt động tôn giáo tính đến tháng 12/2025.</w:t>
      </w:r>
    </w:p>
    <w:p w:rsidR="00494236" w:rsidRPr="00FF4EFB" w:rsidRDefault="00494236" w:rsidP="00494236">
      <w:pPr>
        <w:spacing w:before="120" w:after="120"/>
        <w:ind w:firstLine="709"/>
        <w:rPr>
          <w:b/>
          <w:noProof/>
          <w:sz w:val="28"/>
          <w:szCs w:val="28"/>
          <w:lang w:val="vi-VN"/>
        </w:rPr>
      </w:pPr>
      <w:r w:rsidRPr="00FF4EFB">
        <w:rPr>
          <w:b/>
          <w:noProof/>
          <w:sz w:val="28"/>
          <w:szCs w:val="28"/>
          <w:lang w:val="vi-VN"/>
        </w:rPr>
        <w:t>VII. QUY TRÌNH XỬ LÝ VÀ BIỂU ĐẦU RA CỦA TỔNG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1. Quy trình xử lý</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Dữ liệu TĐTKT 2026 được xử lý theo một quy trình thống nhất, cụ thể:</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a) Dữ liệu thu thập từ phiếu Webform</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Dữ liệu điều tra được lưu trữ tại máy chủ của hệ thống công nghệ thông tin TĐTKT 2026 trong suốt quá trình thu thập thông tin.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ĐTV thực hiện rà soát thông tin và yêu cầu đơn vị điều tra hoàn thiện hoặc giải thích đối với các thông tin chưa rõ ràng hoặc chưa nhất quán. ĐTV xác nhận hoàn thành phiếu và duyệt số liệu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Giám sát viên (GSV) các cấp thực hiện nhiệm vụ theo trình tự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Rà soát thông tin, kiểm tra, phát hiện lỗi phiếu điều tra và yêu cầu giải trình số liệu;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Thông báo lỗi tới GSV cấp dưới trực tiếp để yêu cầu ĐTV phối hợp với đơn vị điều tra xác minh, giải trình và hoàn thiện thông tin;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Sau khi thông tin được hoàn thiện, GSV các cấp thực hiện duyệt số liệu trong phạm vi được giao trên hệ thống công nghệ thông tin TĐTKT 2026.</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b) Dữ liệu thu thập từ Excel form</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Dữ liệu Excel form sau khi DTV thu thập, cơ quan thống kê trung ương tiến hành thực hiện rà soát thông tin, yêu cầu đơn vị điều tra hoàn thiện hoặc giải thích đối với các thông tin chưa rõ ràng hoặc chưa nhất quán. Sau đó cập nhật dữ liệu vào hệ thống và mã hoá các chỉ tiêu về danh mục hành chính, mã ngành sản phẩm,...</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c) Dữ liệu thu thập từ phiếu CAPI</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Sau khi hoàn thành phiếu, dữ liệu được đồng bộ từ thiết bị của ĐTV về máy chủ của hệ thống công nghệ thông tin TĐTKT 2026. GSV các cấp thực hiện nhiệm vụ theo trình tự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lastRenderedPageBreak/>
        <w:t>- Rà soát thông tin, kiểm tra logic phiếu điều tra và phát hiện lỗi, đưa ra các yêu cầu giải trình số liệu;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Thông báo lỗi và yêu cầu giải trình cho GSV cấp dưới trực tiếp để ĐTV xác minh, giải trình và hoàn thiện thông tin;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Sau khi thông tin được hoàn thiện, GSV các cấp thực hiện duyệt số liệu trong phạm vi được giao trên hệ thống công nghệ thông tin TĐTKT 2026.</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d) Dữ liệu thu thập từ phiếu giấy</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Xử lý dữ liệu thu thập bằng phiếu điều tra giấy theo quy trình như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Kiểm tra thông tin của phiếu giấy: Kiểm tra thông tin của phiếu điều tra, đưa ra các yêu cầu giải trình;</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Thông báo lỗi và yêu cầu giải trình để ĐTV phối hợp với đơn vị điều tra xác minh, hoàn thiện thông tin;</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Nhập tin số liệu: Nhập tin thủ công hoặc dùng các công nghệ nhận dạng ký tự thông minh;</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Kiểm tra, làm sạch và hoàn thiện dữ liệu;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Thực hiện ẩn mã định danh.</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đ) Kiểm tra, xử lý và tích hợp dữ liệu từ nguồn dữ liệu hành chính với dữ liệu điều tra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Công tác kiểm tra, xử lý và chuyển đổi dữ liệu báo cáo tài chính của doanh nghiệp (BCTC) tích hợp vào dữ liệu TĐTKT 2026 được thực hiện theo quy trình như sau: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Nghiên cứu cấu trúc, nội dung các trường dữ liệu BCTC và cấu trúc dữ liệu của TĐTKT 2026 để thực hiện ánh xạ dữ liệu;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Xây dựng các bằng danh mục, ánh xạ để chuyển đổi dữ liệu BCTC sang định dạng cơ sở dữ liệu của TĐTKT 2026;</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Xây dựng dữ liệu đặc tả của dữ liệu BCTC và dữ liệu của TĐTKT 2026; xây dựng phần mềm chuyển đổi dữ liệu từ dữ liệu BCTC vào cơ sở dữ liệu của TĐTKT 2026 phục vụ đối chiếu, so sánh và tổng hợp kết quả số liệu;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Căn cứ các nguồn dữ liệu BCTC và dữ liệu của TĐTKT 2026 thực hiện kiểm tra, xác minh số liệu thực tế tại trung ương và các tỉnh, thành phố trực thuộc trung ương;</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 Tổng hợp số liệu từ dữ liệu BCTC vào kết quả TĐTKT 2026 phục vụ biên soạn kết quả đầu ra của TĐTKT 2026;</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lastRenderedPageBreak/>
        <w:t>- Tích hợp BCTC vào dữ liệu TĐTKT 2026, chuẩn hóa dữ liệu qua các bước kiểm tra logic theo không gian, thời gian và giữa các nguồn dữ liệu để phục vụ việc tính toán, tổng hợp, hiệu chỉnh và gán dữ liệu.</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2. Biểu đầu ra</w:t>
      </w:r>
    </w:p>
    <w:p w:rsidR="00494236" w:rsidRPr="00FF4EFB" w:rsidRDefault="00494236" w:rsidP="00494236">
      <w:pPr>
        <w:spacing w:before="120" w:after="120"/>
        <w:ind w:firstLine="709"/>
        <w:rPr>
          <w:bCs/>
          <w:noProof/>
          <w:sz w:val="28"/>
          <w:szCs w:val="28"/>
          <w:lang w:val="vi-VN"/>
        </w:rPr>
      </w:pPr>
      <w:r w:rsidRPr="00FF4EFB">
        <w:rPr>
          <w:bCs/>
          <w:noProof/>
          <w:sz w:val="28"/>
          <w:szCs w:val="28"/>
          <w:lang w:val="vi-VN"/>
        </w:rPr>
        <w:t>Kết quả của TĐTKT 2026 được tổng hợp phục vụ biên soạn các chỉ tiêu theo hệ thống biểu đầu ra được thiết kế bảo đảm tổng hợp các chỉ tiêu thống kê theo yêu cầu, mục đích điều tra.</w:t>
      </w:r>
    </w:p>
    <w:p w:rsidR="00494236" w:rsidRPr="00FF4EFB" w:rsidRDefault="00494236" w:rsidP="00494236">
      <w:pPr>
        <w:widowControl w:val="0"/>
        <w:spacing w:before="60" w:after="60"/>
        <w:ind w:firstLine="709"/>
        <w:outlineLvl w:val="2"/>
        <w:rPr>
          <w:b/>
          <w:sz w:val="28"/>
          <w:szCs w:val="28"/>
          <w:lang w:val="vi-VN"/>
        </w:rPr>
      </w:pPr>
      <w:r w:rsidRPr="00FF4EFB">
        <w:rPr>
          <w:b/>
          <w:sz w:val="28"/>
          <w:szCs w:val="28"/>
          <w:lang w:val="vi-VN"/>
        </w:rPr>
        <w:t>3. Giải pháp và phương pháp luận:</w:t>
      </w:r>
      <w:bookmarkEnd w:id="2"/>
      <w:bookmarkEnd w:id="3"/>
      <w:bookmarkEnd w:id="4"/>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Nhà thầu chuẩn bị đề xuất giải pháp, phương pháp luận tổng quát thực hiện dịch vụ theo các nội dung quy định tại Chương V, gồm các phần như sau:</w:t>
      </w:r>
    </w:p>
    <w:p w:rsidR="00494236" w:rsidRPr="00FF4EFB" w:rsidRDefault="00494236" w:rsidP="00494236">
      <w:pPr>
        <w:widowControl w:val="0"/>
        <w:spacing w:before="60" w:after="60"/>
        <w:ind w:firstLine="709"/>
        <w:rPr>
          <w:iCs/>
          <w:spacing w:val="-4"/>
          <w:sz w:val="28"/>
          <w:szCs w:val="28"/>
          <w:lang w:val="de-DE"/>
        </w:rPr>
      </w:pPr>
      <w:bookmarkStart w:id="5" w:name="bookmark48"/>
      <w:bookmarkEnd w:id="5"/>
      <w:r w:rsidRPr="00FF4EFB">
        <w:rPr>
          <w:iCs/>
          <w:spacing w:val="-4"/>
          <w:sz w:val="28"/>
          <w:szCs w:val="28"/>
          <w:lang w:val="de-DE"/>
        </w:rPr>
        <w:t>3.1. Giải pháp và phương pháp luận.</w:t>
      </w:r>
    </w:p>
    <w:p w:rsidR="00494236" w:rsidRPr="00FF4EFB" w:rsidRDefault="00494236" w:rsidP="00494236">
      <w:pPr>
        <w:widowControl w:val="0"/>
        <w:spacing w:before="60" w:after="60"/>
        <w:ind w:firstLine="709"/>
        <w:rPr>
          <w:iCs/>
          <w:spacing w:val="-4"/>
          <w:sz w:val="28"/>
          <w:szCs w:val="28"/>
          <w:lang w:val="de-DE"/>
        </w:rPr>
      </w:pPr>
      <w:bookmarkStart w:id="6" w:name="bookmark49"/>
      <w:bookmarkEnd w:id="6"/>
      <w:r w:rsidRPr="00FF4EFB">
        <w:rPr>
          <w:iCs/>
          <w:spacing w:val="-4"/>
          <w:sz w:val="28"/>
          <w:szCs w:val="28"/>
          <w:lang w:val="de-DE"/>
        </w:rPr>
        <w:t>3.2. Kế hoạch công tác.</w:t>
      </w:r>
    </w:p>
    <w:p w:rsidR="00494236" w:rsidRPr="00FF4EFB" w:rsidRDefault="00494236" w:rsidP="00494236">
      <w:pPr>
        <w:widowControl w:val="0"/>
        <w:spacing w:before="60" w:after="60"/>
        <w:ind w:firstLine="709"/>
        <w:outlineLvl w:val="2"/>
        <w:rPr>
          <w:b/>
          <w:sz w:val="28"/>
          <w:szCs w:val="28"/>
          <w:lang w:val="de-DE"/>
        </w:rPr>
      </w:pPr>
      <w:bookmarkStart w:id="7" w:name="bookmark52"/>
      <w:bookmarkStart w:id="8" w:name="bookmark50"/>
      <w:bookmarkStart w:id="9" w:name="bookmark51"/>
      <w:bookmarkStart w:id="10" w:name="bookmark53"/>
      <w:bookmarkEnd w:id="7"/>
      <w:r w:rsidRPr="00FF4EFB">
        <w:rPr>
          <w:b/>
          <w:sz w:val="28"/>
          <w:szCs w:val="28"/>
          <w:lang w:val="de-DE"/>
        </w:rPr>
        <w:t>4. Quy định về kiểm tra, nghiệm thu sản phẩm:</w:t>
      </w:r>
      <w:bookmarkEnd w:id="8"/>
      <w:bookmarkEnd w:id="9"/>
      <w:bookmarkEnd w:id="10"/>
    </w:p>
    <w:p w:rsidR="00494236" w:rsidRPr="00FF4EFB" w:rsidRDefault="00494236" w:rsidP="00494236">
      <w:pPr>
        <w:widowControl w:val="0"/>
        <w:spacing w:before="60" w:after="60"/>
        <w:ind w:firstLine="709"/>
        <w:rPr>
          <w:iCs/>
          <w:spacing w:val="-4"/>
          <w:sz w:val="28"/>
          <w:szCs w:val="28"/>
          <w:lang w:val="de-DE"/>
        </w:rPr>
      </w:pPr>
      <w:r w:rsidRPr="00FF4EFB">
        <w:rPr>
          <w:iCs/>
          <w:spacing w:val="-4"/>
          <w:sz w:val="28"/>
          <w:szCs w:val="28"/>
          <w:lang w:val="de-DE"/>
        </w:rPr>
        <w:t xml:space="preserve">Về quy trình kiểm tra, nghiệm thu sản phẩm, trình tự giao nộp sản phẩm ... để phục vụ công tác thanh, quyết toán hợp đồng được thực hiện trên cơ sở quy định của pháp luật hiện hành có liên quan, hướng dẫn của cơ quan quản lý Tổng </w:t>
      </w:r>
      <w:r w:rsidRPr="00FF4EFB">
        <w:rPr>
          <w:iCs/>
          <w:spacing w:val="-4"/>
          <w:sz w:val="28"/>
          <w:szCs w:val="28"/>
          <w:lang w:val="vi-VN"/>
        </w:rPr>
        <w:t>điều tra kinh tế năm 2026</w:t>
      </w:r>
      <w:r w:rsidRPr="00FF4EFB">
        <w:rPr>
          <w:iCs/>
          <w:spacing w:val="-4"/>
          <w:sz w:val="28"/>
          <w:szCs w:val="28"/>
          <w:lang w:val="de-DE"/>
        </w:rPr>
        <w:t xml:space="preserve"> và nội dung công việc của gói thầu.</w:t>
      </w:r>
    </w:p>
    <w:p w:rsidR="00494236" w:rsidRPr="00FF4EFB" w:rsidRDefault="00494236" w:rsidP="00494236">
      <w:pPr>
        <w:widowControl w:val="0"/>
        <w:spacing w:before="60" w:after="60"/>
        <w:ind w:firstLine="709"/>
        <w:rPr>
          <w:iCs/>
          <w:spacing w:val="-4"/>
          <w:sz w:val="28"/>
          <w:szCs w:val="28"/>
          <w:lang w:val="de-DE"/>
        </w:rPr>
      </w:pPr>
    </w:p>
    <w:bookmarkEnd w:id="0"/>
    <w:p w:rsidR="00A27C89" w:rsidRDefault="00494236"/>
    <w:sectPr w:rsidR="00A27C89" w:rsidSect="00494236">
      <w:pgSz w:w="12240" w:h="15840"/>
      <w:pgMar w:top="1135"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30"/>
    <w:rsid w:val="00476D59"/>
    <w:rsid w:val="00494236"/>
    <w:rsid w:val="00AD30BD"/>
    <w:rsid w:val="00CF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3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1"/>
    <w:basedOn w:val="Normal"/>
    <w:qFormat/>
    <w:rsid w:val="00494236"/>
    <w:pPr>
      <w:widowControl w:val="0"/>
      <w:spacing w:before="120" w:after="120" w:line="264" w:lineRule="auto"/>
      <w:jc w:val="center"/>
    </w:pPr>
    <w:rPr>
      <w:b/>
      <w:bCs/>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3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1"/>
    <w:basedOn w:val="Normal"/>
    <w:qFormat/>
    <w:rsid w:val="00494236"/>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2837</Words>
  <Characters>16172</Characters>
  <Application>Microsoft Office Word</Application>
  <DocSecurity>0</DocSecurity>
  <Lines>134</Lines>
  <Paragraphs>37</Paragraphs>
  <ScaleCrop>false</ScaleCrop>
  <Company>Microsoft</Company>
  <LinksUpToDate>false</LinksUpToDate>
  <CharactersWithSpaces>18972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2025-12-16T08:08:00Z</dcterms:created>
  <dcterms:modified xsi:type="dcterms:W3CDTF">2025-12-16T08:08:00Z</dcterms:modified>
</cp:coreProperties>
</file>