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52FBD34A"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Pr="002967C0">
        <w:rPr>
          <w:rFonts w:asciiTheme="majorHAnsi" w:hAnsiTheme="majorHAnsi" w:cstheme="majorHAnsi"/>
          <w:color w:val="000000" w:themeColor="text1"/>
          <w:sz w:val="28"/>
          <w:szCs w:val="28"/>
          <w:lang w:val="vi-VN"/>
        </w:rPr>
        <w:t>Gói thầu số 0</w:t>
      </w:r>
      <w:r w:rsidR="006E71F7" w:rsidRPr="006E71F7">
        <w:rPr>
          <w:rFonts w:asciiTheme="majorHAnsi" w:hAnsiTheme="majorHAnsi" w:cstheme="majorHAnsi"/>
          <w:color w:val="000000" w:themeColor="text1"/>
          <w:sz w:val="28"/>
          <w:szCs w:val="28"/>
          <w:lang w:val="vi-VN"/>
        </w:rPr>
        <w:t>5</w:t>
      </w:r>
      <w:r w:rsidRPr="002967C0">
        <w:rPr>
          <w:rFonts w:asciiTheme="majorHAnsi" w:hAnsiTheme="majorHAnsi" w:cstheme="majorHAnsi"/>
          <w:color w:val="000000" w:themeColor="text1"/>
          <w:sz w:val="28"/>
          <w:szCs w:val="28"/>
          <w:lang w:val="vi-VN"/>
        </w:rPr>
        <w:t>: Thi công xây dựng công trình</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7CBD2DEB"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6C62AB" w:rsidRPr="006C62AB">
        <w:rPr>
          <w:rFonts w:asciiTheme="majorHAnsi" w:hAnsiTheme="majorHAnsi" w:cstheme="majorHAnsi"/>
          <w:color w:val="000000" w:themeColor="text1"/>
          <w:sz w:val="28"/>
          <w:szCs w:val="28"/>
          <w:lang w:val="vi-VN"/>
        </w:rPr>
        <w:t>Cải tạo, sửa chữa đường GTNT tuyến khu 10 từ đường tỉnh 314B (Thị trấn Thanh Ba cũ) đi khu 8 (xã Ninh Dân cũ)</w:t>
      </w:r>
      <w:r w:rsidRPr="00EC166B">
        <w:rPr>
          <w:rFonts w:asciiTheme="majorHAnsi" w:hAnsiTheme="majorHAnsi" w:cstheme="majorHAnsi"/>
          <w:color w:val="000000" w:themeColor="text1"/>
          <w:sz w:val="28"/>
          <w:szCs w:val="28"/>
          <w:lang w:val="vi-VN"/>
        </w:rPr>
        <w:t>.</w:t>
      </w:r>
    </w:p>
    <w:p w14:paraId="61C8C8EF" w14:textId="3C86293D"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EE3F59" w:rsidRPr="00EE3F59">
        <w:rPr>
          <w:rFonts w:asciiTheme="majorHAnsi" w:hAnsiTheme="majorHAnsi" w:cstheme="majorHAnsi"/>
          <w:color w:val="000000" w:themeColor="text1"/>
          <w:sz w:val="28"/>
          <w:szCs w:val="28"/>
          <w:lang w:val="vi-VN"/>
        </w:rPr>
        <w:t>Công ty cổ phần xây dựng Đại Bảo Phát</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6773E343"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EE3F59" w:rsidRPr="00EE3F59">
        <w:rPr>
          <w:rFonts w:asciiTheme="majorHAnsi" w:hAnsiTheme="majorHAnsi" w:cstheme="majorHAnsi"/>
          <w:bCs/>
          <w:color w:val="000000" w:themeColor="text1"/>
          <w:sz w:val="28"/>
          <w:szCs w:val="28"/>
          <w:lang w:val="vi-VN"/>
        </w:rPr>
        <w:t>Ngân sách xã và nguồn huy động hợp pháp khác</w:t>
      </w:r>
      <w:r w:rsidRPr="002967C0">
        <w:rPr>
          <w:rFonts w:asciiTheme="majorHAnsi" w:hAnsiTheme="majorHAnsi" w:cstheme="majorHAnsi"/>
          <w:bCs/>
          <w:color w:val="000000" w:themeColor="text1"/>
          <w:sz w:val="28"/>
          <w:szCs w:val="28"/>
          <w:lang w:val="vi-VN"/>
        </w:rPr>
        <w:t>.</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142ACAB7" w14:textId="350D0F4D"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lang w:val="vi-VN"/>
        </w:rPr>
      </w:pPr>
      <w:bookmarkStart w:id="0" w:name="_Hlk216784833"/>
      <w:r w:rsidRPr="00C77CAB">
        <w:rPr>
          <w:rFonts w:asciiTheme="majorHAnsi" w:hAnsiTheme="majorHAnsi" w:cstheme="majorHAnsi"/>
          <w:color w:val="000000" w:themeColor="text1"/>
          <w:sz w:val="28"/>
          <w:szCs w:val="28"/>
          <w:lang w:val="vi-VN"/>
        </w:rPr>
        <w:t>1.6</w:t>
      </w:r>
      <w:r w:rsidRPr="005E0664">
        <w:rPr>
          <w:rFonts w:asciiTheme="majorHAnsi" w:hAnsiTheme="majorHAnsi" w:cstheme="majorHAnsi"/>
          <w:color w:val="000000" w:themeColor="text1"/>
          <w:sz w:val="28"/>
          <w:szCs w:val="28"/>
          <w:lang w:val="vi-VN"/>
        </w:rPr>
        <w:t>.1. Giải pháp thiết kế</w:t>
      </w:r>
    </w:p>
    <w:p w14:paraId="74DED37F" w14:textId="48AF9390" w:rsidR="00BB10D6" w:rsidRPr="005E0664"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5E0664">
        <w:rPr>
          <w:rFonts w:asciiTheme="majorHAnsi" w:hAnsiTheme="majorHAnsi" w:cstheme="majorHAnsi"/>
          <w:color w:val="000000" w:themeColor="text1"/>
          <w:sz w:val="28"/>
          <w:szCs w:val="28"/>
          <w:lang w:val="vi-VN"/>
        </w:rPr>
        <w:t>- Công trình Cải tạo, sửa chữa đường GTNT tuyến khu 10 từ đường tỉnh 314B (thị trấn Thanh Ba cũ) đi khu 8 (xã Ninh Dân cũ) có quy mô như sau:</w:t>
      </w:r>
    </w:p>
    <w:p w14:paraId="519E0DCB" w14:textId="77777777" w:rsidR="009511EC"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5E0664">
        <w:rPr>
          <w:rFonts w:asciiTheme="majorHAnsi" w:hAnsiTheme="majorHAnsi" w:cstheme="majorHAnsi"/>
          <w:color w:val="000000" w:themeColor="text1"/>
          <w:sz w:val="28"/>
          <w:szCs w:val="28"/>
          <w:lang w:val="vi-VN"/>
        </w:rPr>
        <w:t xml:space="preserve">- Tổng chiều dài các tuyến đường L = 1.444,11m, trong đó: Tuyến 1 dài L= 793,76 m; Tuyến 2 dài L= 650,35 m. </w:t>
      </w:r>
    </w:p>
    <w:p w14:paraId="76E59C4C" w14:textId="46569945" w:rsidR="009511EC" w:rsidRPr="00C77CAB" w:rsidRDefault="009511EC"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1.6</w:t>
      </w:r>
      <w:r w:rsidR="005E0664" w:rsidRPr="005E0664">
        <w:rPr>
          <w:rFonts w:asciiTheme="majorHAnsi" w:hAnsiTheme="majorHAnsi" w:cstheme="majorHAnsi"/>
          <w:color w:val="000000" w:themeColor="text1"/>
          <w:sz w:val="28"/>
          <w:szCs w:val="28"/>
          <w:lang w:val="vi-VN"/>
        </w:rPr>
        <w:t xml:space="preserve">.2. </w:t>
      </w:r>
      <w:r w:rsidR="005E0664" w:rsidRPr="00C77CAB">
        <w:rPr>
          <w:rFonts w:asciiTheme="majorHAnsi" w:hAnsiTheme="majorHAnsi" w:cstheme="majorHAnsi"/>
          <w:color w:val="000000" w:themeColor="text1"/>
          <w:sz w:val="28"/>
          <w:szCs w:val="28"/>
          <w:lang w:val="vi-VN"/>
        </w:rPr>
        <w:t xml:space="preserve">Trắc dọc, trắc ngang: </w:t>
      </w:r>
    </w:p>
    <w:p w14:paraId="6ACCA799" w14:textId="5988F9D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Tuyến chính (Tuyến 1):</w:t>
      </w:r>
    </w:p>
    <w:p w14:paraId="48467C50"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dọc lớn nhất tuyến imax = 6,50 %; chiều dài đoạn dốc L=16,95m; độ dốc dọc nhỏ nhất imin = 0,07% chiều dài đoạn dốc L=104,90m ;</w:t>
      </w:r>
    </w:p>
    <w:p w14:paraId="531BD9E9"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Chiều rộng nền đường Bnền = 6,0m (Vị trí thiết kế rãnh 2 bên đường chiều rộng nền đường Bnền = 5,0m; Vị trí thiết kế rãnh 1 bên đường chiều rộng nền đường Bnền = 5,5m), chiều rộng mặt đường Bmặt = 3,5m, chiều rộng lề đường Blề = 2x1,25m (gia cố lề Blgc = 2x0,75m, kết cấu lề gia cố như kết cấu mặt đường.</w:t>
      </w:r>
    </w:p>
    <w:p w14:paraId="6E83991B"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ngang mặt đường là imặt = 2% ; ilề = 4% ; tại các đường cong bố trí siêu cao, mở rộng, độ dốc siêu cao, mở rộng áp dụng theo Tiêu chuẩn quốc gia 10380:2014 về Đường giao thông nông thôn - Yêu cầu thiết kế.</w:t>
      </w:r>
    </w:p>
    <w:p w14:paraId="49959C5D"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mái ta luy đào 1 : 1.00; ta luy đắp là 1/1,5.</w:t>
      </w:r>
    </w:p>
    <w:p w14:paraId="0B9C89DC"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chặt đắp nền K &gt; 0,95.</w:t>
      </w:r>
    </w:p>
    <w:p w14:paraId="0F6169E2"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Tuyến 2:</w:t>
      </w:r>
    </w:p>
    <w:p w14:paraId="2727B5FB"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dọc lớn nhất tuyến imax = 10,83 %; chiều dài đoạn dốc L=34,97m; độ dốc dọc nhỏ nhất imin = 0,63% chiều dài đoạn dốc L=30,50m ;</w:t>
      </w:r>
    </w:p>
    <w:p w14:paraId="397D1E79"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xml:space="preserve">- Chiều rộng nền đường Bnền = 6,0m (Vị trí thiết kế rãnh 2 bên đường chiều rộng nền đường Bnền = 5,0m; Vị trí thiết kế rãnh 1 bên đường chiều rộng nền đường Bnền = 5,5m), chiều rộng mặt đường Bmặt = 3,5m, chiều rộng lề đường Blề = </w:t>
      </w:r>
      <w:r w:rsidRPr="00C77CAB">
        <w:rPr>
          <w:rFonts w:asciiTheme="majorHAnsi" w:hAnsiTheme="majorHAnsi" w:cstheme="majorHAnsi"/>
          <w:color w:val="000000" w:themeColor="text1"/>
          <w:sz w:val="28"/>
          <w:szCs w:val="28"/>
          <w:lang w:val="vi-VN"/>
        </w:rPr>
        <w:lastRenderedPageBreak/>
        <w:t>2x1,25m (gia cố lề Blgc = 2x0,75m, kết cấu lề gia cố như kết cấu mặt đường)</w:t>
      </w:r>
    </w:p>
    <w:p w14:paraId="1006DBF4"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Vị trí qua khu dân cư không thiết kế lề đất.</w:t>
      </w:r>
    </w:p>
    <w:p w14:paraId="7230EADE"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ngang mặt đường là imặt = 2% ; ilề = 4% ; tại các đường cong bố trí siêu cao, mở rộng, độ dốc siêu cao, mở rộng áp dụng theo Tiêu chuẩn quốc gia 10380:2014 về Đường giao thông nông thôn - Yêu cầu thiết kế.</w:t>
      </w:r>
    </w:p>
    <w:p w14:paraId="59AF2E93"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dốc mái ta luy đào 1 : 1.00; ta luy đắp là 1/1,5.</w:t>
      </w:r>
    </w:p>
    <w:p w14:paraId="309A94D8"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Độ chặt đắp nền K &gt; 0,95.</w:t>
      </w:r>
    </w:p>
    <w:p w14:paraId="354CFB56" w14:textId="57F3B3F3" w:rsidR="005E0664" w:rsidRPr="00C77CAB" w:rsidRDefault="00152978"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1.6</w:t>
      </w:r>
      <w:r w:rsidR="005E0664" w:rsidRPr="00C77CAB">
        <w:rPr>
          <w:rFonts w:asciiTheme="majorHAnsi" w:hAnsiTheme="majorHAnsi" w:cstheme="majorHAnsi"/>
          <w:color w:val="000000" w:themeColor="text1"/>
          <w:sz w:val="28"/>
          <w:szCs w:val="28"/>
          <w:lang w:val="vi-VN"/>
        </w:rPr>
        <w:t>.3. Mặt đường: Tuyến 1:</w:t>
      </w:r>
    </w:p>
    <w:p w14:paraId="6552D60D"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phần can cạp, mở rộng: Mặt đường bê tông nhựa chặt C12.5 dày 7cm, tưới nhựa thấm bám MC70 tiêu chuẩn 1kg/1m2, cấp phối đá dăm loại I dày 15cm, cấp phối đá dăm loại II dày 25cm, xáo xới, lu lèn lại, đắp đất K98 dày 50cm;</w:t>
      </w:r>
    </w:p>
    <w:p w14:paraId="31BDA929"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phần tăng cường trên mặt đường cũ: Mặt đường bê tông nhựa chặt C12.5 dày 7cm, tưới nhựa thấm bám MC70 tiêu chuẩn 1kg/1m2, bù vênh bằng cấp phối đá dăm loại I, tưới lớp nhựa dính bám CRS-1 tiêu chuẩn 0.5kg/m2, mặt đường bê tông xi măng cũ;</w:t>
      </w:r>
    </w:p>
    <w:p w14:paraId="540F57F8"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tại nhưng vị trí đào xử lý: Mặt đường bê tông nhựa chặt C12.5 dày 7cm, tưới nhựa thấm bám MC70 tiêu chuẩn 1kg/1m2, cấp phối đá dăm loại I dày 15cm, bê tông xi măng mác 250 dày 20cm.</w:t>
      </w:r>
    </w:p>
    <w:p w14:paraId="6BAEA945"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tại những vị trí hiện trạng là nền đất: Mặt đường bê tông nhựa chặt C12.5 dày 7cm, tưới nhựa thấm bám MC70 tiêu chuẩn 1kg/1m2, cấp phối đá dăm loại I dày 15cm, cấp phối đá dăm loại II dày 25cm, xáo xới, lu lèn lại, đắp đất K98 dày 50cm.</w:t>
      </w:r>
    </w:p>
    <w:p w14:paraId="26A0B6A7"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Tuyến 2:</w:t>
      </w:r>
    </w:p>
    <w:p w14:paraId="7E8BDE6F"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phần can cạp, mở rộng: Mặt đường bê tông nhựa chặt C12.5 dày 7cm, tưới nhựa thấm bám MC70 tiêu chuẩn 1kg/1m2, cấp phối đá dăm loại I dày 15cm, cấp phối đá dăm loại II dày 25cm, xáo xới, lu lèn lại, đắp đất K98 dày 50cm;</w:t>
      </w:r>
    </w:p>
    <w:p w14:paraId="56E14A40"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phần tăng cường trên mặt đường cũ: Mặt đường bê tông nhựa chặt C12.5 dày 7cm, tưới nhựa thấm bám MC70 tiêu chuẩn 1kg/1m2, bù vênh bằng cấp phối đá dăm loại I, tưới lớp nhựa dính bám CRS-1 tiêu chuẩn 0,5kg/m2, mặt đường bê tông xi măng cũ;</w:t>
      </w:r>
    </w:p>
    <w:p w14:paraId="1BEA51E5"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Kết cấu mặt đường tại nhưng vị trí đào xử lý: Mặt đường bê tông nhựa chặt C12.5 dày 7cm, tưới nhựa thấm bám MC70 tiêu chuẩn 1kg/1m2, cấp phối đá dăm loại I dày 15cm, bê tông xi măng mác 250 dày 20cm.</w:t>
      </w:r>
    </w:p>
    <w:p w14:paraId="07546D1A"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xml:space="preserve">+ Kết cấu mặt đường tại những vị trí hiện trạng là nền đất: Mặt đường bê tông nhựa chặt C12.5 dày 7cm, tưới nhựa thấm bám MC70 tiêu chuẩn 1kg/1m2, cấp phối </w:t>
      </w:r>
      <w:r w:rsidRPr="00C77CAB">
        <w:rPr>
          <w:rFonts w:asciiTheme="majorHAnsi" w:hAnsiTheme="majorHAnsi" w:cstheme="majorHAnsi"/>
          <w:color w:val="000000" w:themeColor="text1"/>
          <w:sz w:val="28"/>
          <w:szCs w:val="28"/>
          <w:lang w:val="vi-VN"/>
        </w:rPr>
        <w:lastRenderedPageBreak/>
        <w:t>đá dăm loại I dày 15cm, cấp phối đá dăm loại II dày 25cm, xáo xới, lu lèn lại, đắp đất K98 dày 50cm.</w:t>
      </w:r>
    </w:p>
    <w:p w14:paraId="4CEA26AE" w14:textId="69BD5FEC" w:rsidR="005E0664" w:rsidRPr="00C77CAB" w:rsidRDefault="00152978"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1.6</w:t>
      </w:r>
      <w:r w:rsidR="005E0664" w:rsidRPr="00C77CAB">
        <w:rPr>
          <w:rFonts w:asciiTheme="majorHAnsi" w:hAnsiTheme="majorHAnsi" w:cstheme="majorHAnsi"/>
          <w:color w:val="000000" w:themeColor="text1"/>
          <w:sz w:val="28"/>
          <w:szCs w:val="28"/>
          <w:lang w:val="vi-VN"/>
        </w:rPr>
        <w:t>.4. Công trình thoát nước:</w:t>
      </w:r>
    </w:p>
    <w:p w14:paraId="4DDACFCE"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Tuyến chính:</w:t>
      </w:r>
    </w:p>
    <w:p w14:paraId="5E62EF92"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Thiết kế 01 cống bản B50 tại cọc TD11 lý trình Km0+296.57;</w:t>
      </w:r>
    </w:p>
    <w:p w14:paraId="148D96CC"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Thiết kế 02 cống tròn D75 tại các vị trí cọc 18 lý trình Km0+411.43 và cọc H5=22 lý trình Km0+500.00;</w:t>
      </w:r>
    </w:p>
    <w:p w14:paraId="16DED306"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Tuyến số 2:</w:t>
      </w:r>
    </w:p>
    <w:p w14:paraId="7D524885"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Thiết kế 02 cống tròn D75 tại các vị trí cọc TC4 lý trình Km0+116.71 và cọc TD8 lý trình Km0+334.00;</w:t>
      </w:r>
    </w:p>
    <w:p w14:paraId="58B5111F"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Thiết kế 01 cống tròn D100 tại cọc 26 lý trình Km0+630.45;</w:t>
      </w:r>
    </w:p>
    <w:p w14:paraId="3DA50246" w14:textId="757A6D2B" w:rsidR="00EE3F59" w:rsidRPr="00C77CAB" w:rsidRDefault="00152978"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1.6</w:t>
      </w:r>
      <w:r w:rsidR="005E0664" w:rsidRPr="00C77CAB">
        <w:rPr>
          <w:rFonts w:asciiTheme="majorHAnsi" w:hAnsiTheme="majorHAnsi" w:cstheme="majorHAnsi"/>
          <w:color w:val="000000" w:themeColor="text1"/>
          <w:sz w:val="28"/>
          <w:szCs w:val="28"/>
          <w:lang w:val="vi-VN"/>
        </w:rPr>
        <w:t>.5. Thoát nước dọc tuyến đường:</w:t>
      </w:r>
    </w:p>
    <w:p w14:paraId="0BBA682D"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Thiết kế rãnh B40 BTCT M200 kết hợp đậy tấm bản BTCT M250 tại những vị trí qua khu dân cư (Chi tiết rãnh và vị trí xem bản vẽ thiết kế thi công) ;</w:t>
      </w:r>
    </w:p>
    <w:p w14:paraId="093B2B5E" w14:textId="77777777" w:rsidR="005E0664" w:rsidRPr="00C77CAB"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C77CAB">
        <w:rPr>
          <w:rFonts w:asciiTheme="majorHAnsi" w:hAnsiTheme="majorHAnsi" w:cstheme="majorHAnsi"/>
          <w:color w:val="000000" w:themeColor="text1"/>
          <w:sz w:val="28"/>
          <w:szCs w:val="28"/>
          <w:lang w:val="vi-VN"/>
        </w:rPr>
        <w:t>- Vị trí tuyến không qua khu dân cư thoát theo địa hình tự nhiên từ nơi cao về nơi thấp hơn;</w:t>
      </w:r>
    </w:p>
    <w:p w14:paraId="3DFB5E49" w14:textId="2BE3FB6B" w:rsidR="005E0664" w:rsidRPr="005E0664" w:rsidRDefault="00152978" w:rsidP="00C77CAB">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5E0664" w:rsidRPr="005E0664">
        <w:rPr>
          <w:rFonts w:asciiTheme="majorHAnsi" w:hAnsiTheme="majorHAnsi" w:cstheme="majorHAnsi"/>
          <w:color w:val="000000" w:themeColor="text1"/>
          <w:sz w:val="28"/>
          <w:szCs w:val="28"/>
        </w:rPr>
        <w:t>.6. Hệ thống an toàn giao thông:</w:t>
      </w:r>
    </w:p>
    <w:p w14:paraId="6F5CE5A4" w14:textId="7777777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rPr>
      </w:pPr>
      <w:r w:rsidRPr="005E0664">
        <w:rPr>
          <w:rFonts w:asciiTheme="majorHAnsi" w:hAnsiTheme="majorHAnsi" w:cstheme="majorHAnsi"/>
          <w:color w:val="000000" w:themeColor="text1"/>
          <w:sz w:val="28"/>
          <w:szCs w:val="28"/>
        </w:rPr>
        <w:t>- Các thiết bị ATGT được thiết kế theo các quy định trong Quy chuẩn kỹ thuật quốc gia về báo hiệu đường bộ QCVN 41: 2024/BGTVT. Kết quả thiết kế các công trình ATGT thể hiện ở bảng tổng hợp khối lượng trong phần phụ lục.</w:t>
      </w:r>
    </w:p>
    <w:p w14:paraId="59E2BD96" w14:textId="7777777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rPr>
      </w:pPr>
      <w:r w:rsidRPr="005E0664">
        <w:rPr>
          <w:rFonts w:asciiTheme="majorHAnsi" w:hAnsiTheme="majorHAnsi" w:cstheme="majorHAnsi"/>
          <w:color w:val="000000" w:themeColor="text1"/>
          <w:sz w:val="28"/>
          <w:szCs w:val="28"/>
        </w:rPr>
        <w:t>- Vạch sơn đường dùng loại vạch sơn đường nhiệt dẻo theo TCVN 8791:2018.</w:t>
      </w:r>
    </w:p>
    <w:p w14:paraId="6A900AD1" w14:textId="7777777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rPr>
      </w:pPr>
      <w:r w:rsidRPr="005E0664">
        <w:rPr>
          <w:rFonts w:asciiTheme="majorHAnsi" w:hAnsiTheme="majorHAnsi" w:cstheme="majorHAnsi"/>
          <w:color w:val="000000" w:themeColor="text1"/>
          <w:sz w:val="28"/>
          <w:szCs w:val="28"/>
        </w:rPr>
        <w:t>- Biển báo hiệu được thiết kế theo các quy định trong Quy chuẩn kỹ thuật quốc gia về báo hiệu đường bộ QCVN 41: 2024/BGTVT, biển báo được đặt ở vị trí để người sử dụng dễ nhìn thấy và có đủ thời gian chuẩn bị đề phòng, thay đổi tốc độ hoặc thay đổi hướng nhưng không được làm cản trở sự đi lại của xe cộ và người sử dụng đường.</w:t>
      </w:r>
    </w:p>
    <w:p w14:paraId="32FBE046" w14:textId="461284EE" w:rsidR="005E0664" w:rsidRPr="005E0664" w:rsidRDefault="00152978" w:rsidP="00C77CAB">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5E0664" w:rsidRPr="005E0664">
        <w:rPr>
          <w:rFonts w:asciiTheme="majorHAnsi" w:hAnsiTheme="majorHAnsi" w:cstheme="majorHAnsi"/>
          <w:color w:val="000000" w:themeColor="text1"/>
          <w:sz w:val="28"/>
          <w:szCs w:val="28"/>
        </w:rPr>
        <w:t>.7. Di chuyển đường dây điện:</w:t>
      </w:r>
    </w:p>
    <w:p w14:paraId="03D7A9EF" w14:textId="7777777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rPr>
      </w:pPr>
      <w:r w:rsidRPr="005E0664">
        <w:rPr>
          <w:rFonts w:asciiTheme="majorHAnsi" w:hAnsiTheme="majorHAnsi" w:cstheme="majorHAnsi"/>
          <w:color w:val="000000" w:themeColor="text1"/>
          <w:sz w:val="28"/>
          <w:szCs w:val="28"/>
        </w:rPr>
        <w:t>- Theo phương án thiết kế đường giao thông có 35 cột điện hạ thế hiện trạng nằm trên mặt đường cần di chuyển vào các vị trí phù hợp để hoàn trả hệ thống điện 0,4kV.</w:t>
      </w:r>
    </w:p>
    <w:p w14:paraId="039EFAC3" w14:textId="77777777" w:rsidR="005E0664" w:rsidRPr="005E0664" w:rsidRDefault="005E0664" w:rsidP="00C77CAB">
      <w:pPr>
        <w:widowControl w:val="0"/>
        <w:spacing w:line="276" w:lineRule="auto"/>
        <w:ind w:firstLine="709"/>
        <w:rPr>
          <w:rFonts w:asciiTheme="majorHAnsi" w:hAnsiTheme="majorHAnsi" w:cstheme="majorHAnsi"/>
          <w:color w:val="000000" w:themeColor="text1"/>
          <w:sz w:val="28"/>
          <w:szCs w:val="28"/>
        </w:rPr>
      </w:pPr>
      <w:r w:rsidRPr="005E0664">
        <w:rPr>
          <w:rFonts w:asciiTheme="majorHAnsi" w:hAnsiTheme="majorHAnsi" w:cstheme="majorHAnsi"/>
          <w:color w:val="000000" w:themeColor="text1"/>
          <w:sz w:val="28"/>
          <w:szCs w:val="28"/>
        </w:rPr>
        <w:t>- Cột điện di chuyển sử dụng cột bê tông ly tâm I-8,5, trên cột sử dụng kẹp hãm, móc treo, đai thép… để lắp lại các đường dây điện hiện trạng, trên cột lắp đặt lại tủ công tơ và đường dây điện vào nhà dân.</w:t>
      </w:r>
    </w:p>
    <w:p w14:paraId="2075F663" w14:textId="0506C284" w:rsidR="00EE3F59" w:rsidRPr="005E0664" w:rsidRDefault="005E0664" w:rsidP="00C77CAB">
      <w:pPr>
        <w:widowControl w:val="0"/>
        <w:spacing w:line="276" w:lineRule="auto"/>
        <w:ind w:firstLine="709"/>
        <w:rPr>
          <w:rFonts w:asciiTheme="majorHAnsi" w:hAnsiTheme="majorHAnsi" w:cstheme="majorHAnsi"/>
          <w:color w:val="000000" w:themeColor="text1"/>
          <w:sz w:val="28"/>
          <w:szCs w:val="28"/>
          <w:lang w:val="vi-VN"/>
        </w:rPr>
      </w:pPr>
      <w:r w:rsidRPr="005E0664">
        <w:rPr>
          <w:rFonts w:asciiTheme="majorHAnsi" w:hAnsiTheme="majorHAnsi" w:cstheme="majorHAnsi"/>
          <w:color w:val="000000" w:themeColor="text1"/>
          <w:sz w:val="28"/>
          <w:szCs w:val="28"/>
        </w:rPr>
        <w:t>- Móng cột : bê tông lót móng M150, bê tông móng M200, cột đơn sử dụng móng M1, cột đôi sử dụng móng MĐ1.</w:t>
      </w:r>
      <w:bookmarkEnd w:id="0"/>
    </w:p>
    <w:p w14:paraId="18115A9D" w14:textId="0DFC6014"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EE3F59" w:rsidRPr="009511EC">
        <w:rPr>
          <w:rFonts w:asciiTheme="majorHAnsi" w:hAnsiTheme="majorHAnsi" w:cstheme="majorHAnsi"/>
          <w:b/>
          <w:sz w:val="28"/>
          <w:szCs w:val="28"/>
          <w:lang w:val="vi-VN"/>
        </w:rPr>
        <w:t>35</w:t>
      </w:r>
      <w:r w:rsidR="009E1F10" w:rsidRPr="00EC166B">
        <w:rPr>
          <w:rFonts w:asciiTheme="majorHAnsi" w:hAnsiTheme="majorHAnsi" w:cstheme="majorHAnsi"/>
          <w:b/>
          <w:sz w:val="28"/>
          <w:szCs w:val="28"/>
          <w:lang w:val="vi-VN"/>
        </w:rPr>
        <w:t xml:space="preserve">0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lastRenderedPageBreak/>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Quy trình đầm nén đất, đá dăm trong phòng </w:t>
            </w:r>
            <w:r w:rsidRPr="00EC166B">
              <w:rPr>
                <w:rFonts w:asciiTheme="majorHAnsi" w:hAnsiTheme="majorHAnsi" w:cstheme="majorHAnsi"/>
                <w:color w:val="000000"/>
                <w:w w:val="105"/>
                <w:sz w:val="28"/>
                <w:szCs w:val="28"/>
              </w:rPr>
              <w:lastRenderedPageBreak/>
              <w:t>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lastRenderedPageBreak/>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C123B4"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C123B4"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V/v tăng cường quản lý chấn chỉnh công tác tuân thủ pháp luật về an toàn, vệ sinh </w:t>
            </w:r>
            <w:r w:rsidRPr="00EC166B">
              <w:rPr>
                <w:rFonts w:asciiTheme="majorHAnsi" w:hAnsiTheme="majorHAnsi" w:cstheme="majorHAnsi"/>
                <w:color w:val="000000"/>
                <w:sz w:val="28"/>
                <w:szCs w:val="28"/>
              </w:rPr>
              <w:lastRenderedPageBreak/>
              <w:t>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 xml:space="preserve">Văn bản số 110/UBND-KGVX </w:t>
            </w:r>
            <w:r w:rsidRPr="00EC166B">
              <w:rPr>
                <w:rFonts w:asciiTheme="majorHAnsi" w:hAnsiTheme="majorHAnsi" w:cstheme="majorHAnsi"/>
                <w:color w:val="000000"/>
                <w:sz w:val="28"/>
                <w:szCs w:val="28"/>
              </w:rPr>
              <w:lastRenderedPageBreak/>
              <w:t>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5B0B0C">
        <w:trPr>
          <w:trHeight w:val="630"/>
        </w:trPr>
        <w:tc>
          <w:tcPr>
            <w:tcW w:w="708"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32"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42"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5B0B0C">
        <w:trPr>
          <w:trHeight w:val="630"/>
        </w:trPr>
        <w:tc>
          <w:tcPr>
            <w:tcW w:w="708"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32"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42"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5B0B0C">
        <w:trPr>
          <w:trHeight w:val="315"/>
        </w:trPr>
        <w:tc>
          <w:tcPr>
            <w:tcW w:w="708"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2</w:t>
            </w:r>
          </w:p>
        </w:tc>
        <w:tc>
          <w:tcPr>
            <w:tcW w:w="2032"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42"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5B0B0C">
        <w:trPr>
          <w:trHeight w:val="315"/>
        </w:trPr>
        <w:tc>
          <w:tcPr>
            <w:tcW w:w="708"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32"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42"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5B0B0C">
        <w:trPr>
          <w:trHeight w:val="315"/>
        </w:trPr>
        <w:tc>
          <w:tcPr>
            <w:tcW w:w="708"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32"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42"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5B0B0C">
        <w:trPr>
          <w:trHeight w:val="315"/>
        </w:trPr>
        <w:tc>
          <w:tcPr>
            <w:tcW w:w="708"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32"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42"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7BA17426" w14:textId="77777777" w:rsidTr="00793AB3">
        <w:trPr>
          <w:trHeight w:val="433"/>
        </w:trPr>
        <w:tc>
          <w:tcPr>
            <w:tcW w:w="708" w:type="dxa"/>
            <w:shd w:val="clear" w:color="auto" w:fill="auto"/>
            <w:vAlign w:val="center"/>
          </w:tcPr>
          <w:p w14:paraId="7AFF8A2C" w14:textId="7BF1CF2F" w:rsidR="00FF623B" w:rsidRPr="00EC166B" w:rsidRDefault="00FF623B" w:rsidP="009E1F10">
            <w:pPr>
              <w:spacing w:line="276" w:lineRule="auto"/>
              <w:jc w:val="center"/>
              <w:rPr>
                <w:rFonts w:asciiTheme="majorHAnsi" w:hAnsiTheme="majorHAnsi" w:cstheme="majorHAnsi"/>
                <w:color w:val="000000"/>
                <w:sz w:val="28"/>
                <w:szCs w:val="28"/>
              </w:rPr>
            </w:pPr>
            <w:r>
              <w:rPr>
                <w:rFonts w:asciiTheme="majorHAnsi" w:hAnsiTheme="majorHAnsi" w:cstheme="majorHAnsi"/>
                <w:color w:val="000000"/>
                <w:sz w:val="28"/>
                <w:szCs w:val="28"/>
              </w:rPr>
              <w:t>6</w:t>
            </w:r>
          </w:p>
        </w:tc>
        <w:tc>
          <w:tcPr>
            <w:tcW w:w="2032" w:type="dxa"/>
            <w:shd w:val="clear" w:color="auto" w:fill="auto"/>
            <w:vAlign w:val="center"/>
          </w:tcPr>
          <w:p w14:paraId="3864B2B2" w14:textId="00A05710" w:rsidR="00FF623B" w:rsidRPr="00EC166B" w:rsidRDefault="00FF623B" w:rsidP="009E1F10">
            <w:pPr>
              <w:spacing w:line="276" w:lineRule="auto"/>
              <w:jc w:val="left"/>
              <w:rPr>
                <w:rFonts w:asciiTheme="majorHAnsi" w:hAnsiTheme="majorHAnsi" w:cstheme="majorHAnsi"/>
                <w:color w:val="000000"/>
                <w:sz w:val="28"/>
                <w:szCs w:val="28"/>
              </w:rPr>
            </w:pPr>
            <w:r>
              <w:rPr>
                <w:rFonts w:asciiTheme="majorHAnsi" w:hAnsiTheme="majorHAnsi" w:cstheme="majorHAnsi"/>
                <w:color w:val="000000"/>
                <w:sz w:val="28"/>
                <w:szCs w:val="28"/>
              </w:rPr>
              <w:t>BTN</w:t>
            </w:r>
          </w:p>
        </w:tc>
        <w:tc>
          <w:tcPr>
            <w:tcW w:w="3942" w:type="dxa"/>
            <w:shd w:val="clear" w:color="auto" w:fill="auto"/>
            <w:vAlign w:val="center"/>
          </w:tcPr>
          <w:p w14:paraId="0A28221F" w14:textId="5B74B746" w:rsidR="00FF623B" w:rsidRPr="00EC166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40B1AF5E"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93AB3">
        <w:trPr>
          <w:trHeight w:val="553"/>
        </w:trPr>
        <w:tc>
          <w:tcPr>
            <w:tcW w:w="708"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32"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42"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lastRenderedPageBreak/>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 xml:space="preserve">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w:t>
      </w:r>
      <w:r w:rsidRPr="00EC166B">
        <w:rPr>
          <w:rFonts w:asciiTheme="majorHAnsi" w:hAnsiTheme="majorHAnsi" w:cstheme="majorHAnsi"/>
          <w:color w:val="000000"/>
          <w:sz w:val="28"/>
          <w:szCs w:val="28"/>
          <w:lang w:val="pt-BR"/>
        </w:rPr>
        <w:lastRenderedPageBreak/>
        <w:t>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w:t>
      </w:r>
      <w:r w:rsidRPr="00EC166B">
        <w:rPr>
          <w:rFonts w:asciiTheme="majorHAnsi" w:hAnsiTheme="majorHAnsi" w:cstheme="majorHAnsi"/>
          <w:color w:val="000000"/>
          <w:sz w:val="28"/>
          <w:szCs w:val="28"/>
          <w:lang w:val="pt-BR"/>
        </w:rPr>
        <w:lastRenderedPageBreak/>
        <w:t>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Nhà thầu chịu trách nhiệm lập hồ sơ hoàn công ngay sau từng giai đoạn thi công các hạng mục và khi công trình hoàn thành làm cơ sở nghiệm thu kỹ thuật, bàn </w:t>
      </w:r>
      <w:r w:rsidRPr="00EC166B">
        <w:rPr>
          <w:rFonts w:asciiTheme="majorHAnsi" w:hAnsiTheme="majorHAnsi" w:cstheme="majorHAnsi"/>
          <w:color w:val="000000"/>
          <w:sz w:val="28"/>
          <w:szCs w:val="28"/>
          <w:lang w:val="vi-VN"/>
        </w:rPr>
        <w:lastRenderedPageBreak/>
        <w:t>giao sử dụng và thanh quyết toán. Sau khi công trình hoàn thành nhà thầu phải có 07 bộ hồ sơ hoàn công công trình theo quy định.</w:t>
      </w:r>
    </w:p>
    <w:p w14:paraId="10605502" w14:textId="6169F084"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7D0F0CED" w14:textId="723536C8" w:rsidR="00C123B4" w:rsidRPr="00C123B4" w:rsidRDefault="00C123B4"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Giá dự thầu phần thuế tài nguyên môi trường</w:t>
      </w:r>
      <w:r w:rsidRPr="00C123B4">
        <w:rPr>
          <w:rFonts w:asciiTheme="majorHAnsi" w:hAnsiTheme="majorHAnsi" w:cstheme="majorHAnsi"/>
          <w:color w:val="000000"/>
          <w:sz w:val="28"/>
          <w:szCs w:val="28"/>
          <w:lang w:val="vi-VN"/>
        </w:rPr>
        <w:t>, phí bảo vệ môi trường đất tận dụng đắp</w:t>
      </w:r>
      <w:r w:rsidRPr="00EC166B">
        <w:rPr>
          <w:rFonts w:asciiTheme="majorHAnsi" w:hAnsiTheme="majorHAnsi" w:cstheme="majorHAnsi"/>
          <w:color w:val="000000"/>
          <w:sz w:val="28"/>
          <w:szCs w:val="28"/>
          <w:lang w:val="vi-VN"/>
        </w:rPr>
        <w:t xml:space="preserve"> là </w:t>
      </w:r>
      <w:r w:rsidRPr="00C123B4">
        <w:rPr>
          <w:rFonts w:asciiTheme="majorHAnsi" w:hAnsiTheme="majorHAnsi" w:cstheme="majorHAnsi"/>
          <w:color w:val="000000"/>
          <w:sz w:val="28"/>
          <w:szCs w:val="28"/>
          <w:lang w:val="vi-VN"/>
        </w:rPr>
        <w:t>1.320đ</w:t>
      </w:r>
      <w:r w:rsidRPr="00EC166B">
        <w:rPr>
          <w:rFonts w:asciiTheme="majorHAnsi" w:hAnsiTheme="majorHAnsi" w:cstheme="majorHAnsi"/>
          <w:color w:val="000000"/>
          <w:sz w:val="28"/>
          <w:szCs w:val="28"/>
          <w:lang w:val="vi-VN"/>
        </w:rPr>
        <w:t xml:space="preserve">/m3, </w:t>
      </w:r>
      <w:r w:rsidRPr="00C123B4">
        <w:rPr>
          <w:rFonts w:asciiTheme="majorHAnsi" w:hAnsiTheme="majorHAnsi" w:cstheme="majorHAnsi"/>
          <w:color w:val="000000"/>
          <w:sz w:val="28"/>
          <w:szCs w:val="28"/>
          <w:lang w:val="vi-VN"/>
        </w:rPr>
        <w:t>đất đổ thải</w:t>
      </w:r>
      <w:r w:rsidRPr="00EC166B">
        <w:rPr>
          <w:rFonts w:asciiTheme="majorHAnsi" w:hAnsiTheme="majorHAnsi" w:cstheme="majorHAnsi"/>
          <w:color w:val="000000"/>
          <w:sz w:val="28"/>
          <w:szCs w:val="28"/>
          <w:lang w:val="vi-VN"/>
        </w:rPr>
        <w:t xml:space="preserve"> là </w:t>
      </w:r>
      <w:r w:rsidRPr="00C123B4">
        <w:rPr>
          <w:rFonts w:asciiTheme="majorHAnsi" w:hAnsiTheme="majorHAnsi" w:cstheme="majorHAnsi"/>
          <w:color w:val="000000"/>
          <w:sz w:val="28"/>
          <w:szCs w:val="28"/>
          <w:lang w:val="vi-VN"/>
        </w:rPr>
        <w:t>220đ</w:t>
      </w:r>
      <w:r w:rsidRPr="00EC166B">
        <w:rPr>
          <w:rFonts w:asciiTheme="majorHAnsi" w:hAnsiTheme="majorHAnsi" w:cstheme="majorHAnsi"/>
          <w:color w:val="000000"/>
          <w:sz w:val="28"/>
          <w:szCs w:val="28"/>
          <w:lang w:val="vi-VN"/>
        </w:rPr>
        <w:t>/m3</w:t>
      </w:r>
      <w:r w:rsidRPr="002967C0">
        <w:rPr>
          <w:rFonts w:asciiTheme="majorHAnsi" w:hAnsiTheme="majorHAnsi" w:cstheme="majorHAnsi"/>
          <w:color w:val="000000"/>
          <w:sz w:val="28"/>
          <w:szCs w:val="28"/>
          <w:lang w:val="vi-VN"/>
        </w:rPr>
        <w:t>. Giá</w:t>
      </w:r>
      <w:r w:rsidRPr="00EC166B">
        <w:rPr>
          <w:rFonts w:asciiTheme="majorHAnsi" w:hAnsiTheme="majorHAnsi" w:cstheme="majorHAnsi"/>
          <w:color w:val="000000"/>
          <w:sz w:val="28"/>
          <w:szCs w:val="28"/>
          <w:lang w:val="vi-VN"/>
        </w:rPr>
        <w:t xml:space="preserve"> trị phần thuế phí tài nguyên</w:t>
      </w:r>
      <w:r w:rsidRPr="00C123B4">
        <w:rPr>
          <w:rFonts w:asciiTheme="majorHAnsi" w:hAnsiTheme="majorHAnsi" w:cstheme="majorHAnsi"/>
          <w:color w:val="000000"/>
          <w:sz w:val="28"/>
          <w:szCs w:val="28"/>
          <w:lang w:val="vi-VN"/>
        </w:rPr>
        <w:t xml:space="preserve"> </w:t>
      </w:r>
      <w:r w:rsidRPr="00EC166B">
        <w:rPr>
          <w:rFonts w:asciiTheme="majorHAnsi" w:hAnsiTheme="majorHAnsi" w:cstheme="majorHAnsi"/>
          <w:color w:val="000000"/>
          <w:sz w:val="28"/>
          <w:szCs w:val="28"/>
          <w:lang w:val="vi-VN"/>
        </w:rPr>
        <w:t>của nhà thầu được thanh toán theo quy định hiện hành, trên cơ sở khối lượng thực tế được nghiệm thu.</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5FAFA86"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436342">
              <w:rPr>
                <w:rFonts w:asciiTheme="majorHAnsi" w:hAnsiTheme="majorHAnsi" w:cstheme="majorHAnsi"/>
                <w:color w:val="000000"/>
                <w:sz w:val="28"/>
                <w:szCs w:val="28"/>
                <w:lang w:val="en-GB"/>
              </w:rPr>
              <w:t>863</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6B6E1192" w:rsidR="009E1F10" w:rsidRPr="00EC166B" w:rsidRDefault="00436342"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13</w:t>
            </w:r>
            <w:r w:rsidR="00F4734B">
              <w:rPr>
                <w:rFonts w:asciiTheme="majorHAnsi" w:hAnsiTheme="majorHAnsi" w:cstheme="majorHAnsi"/>
                <w:color w:val="000000"/>
                <w:sz w:val="28"/>
                <w:szCs w:val="28"/>
                <w:lang w:val="en-GB"/>
              </w:rPr>
              <w:t>/11/202</w:t>
            </w:r>
            <w:r w:rsidR="00BF30D9">
              <w:rPr>
                <w:rFonts w:asciiTheme="majorHAnsi" w:hAnsiTheme="majorHAnsi" w:cstheme="majorHAnsi"/>
                <w:color w:val="000000"/>
                <w:sz w:val="28"/>
                <w:szCs w:val="28"/>
                <w:lang w:val="en-GB"/>
              </w:rPr>
              <w:t>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52978"/>
    <w:rsid w:val="001706DE"/>
    <w:rsid w:val="001A791B"/>
    <w:rsid w:val="00201CA5"/>
    <w:rsid w:val="0028505B"/>
    <w:rsid w:val="002967C0"/>
    <w:rsid w:val="00357A23"/>
    <w:rsid w:val="003B1D05"/>
    <w:rsid w:val="003F6B61"/>
    <w:rsid w:val="00436342"/>
    <w:rsid w:val="004818C0"/>
    <w:rsid w:val="0050610D"/>
    <w:rsid w:val="00573CDE"/>
    <w:rsid w:val="005B0B0C"/>
    <w:rsid w:val="005E0664"/>
    <w:rsid w:val="005F5645"/>
    <w:rsid w:val="0062051E"/>
    <w:rsid w:val="006C62AB"/>
    <w:rsid w:val="006E71F7"/>
    <w:rsid w:val="007261CF"/>
    <w:rsid w:val="00793AB3"/>
    <w:rsid w:val="00862411"/>
    <w:rsid w:val="008904CB"/>
    <w:rsid w:val="009511EC"/>
    <w:rsid w:val="009E1F10"/>
    <w:rsid w:val="00A15E96"/>
    <w:rsid w:val="00A97629"/>
    <w:rsid w:val="00AA0C75"/>
    <w:rsid w:val="00AF3297"/>
    <w:rsid w:val="00B47DF7"/>
    <w:rsid w:val="00BB10D6"/>
    <w:rsid w:val="00BF30D9"/>
    <w:rsid w:val="00C123B4"/>
    <w:rsid w:val="00C77CAB"/>
    <w:rsid w:val="00C8057D"/>
    <w:rsid w:val="00C95787"/>
    <w:rsid w:val="00CF295B"/>
    <w:rsid w:val="00D172F1"/>
    <w:rsid w:val="00E33888"/>
    <w:rsid w:val="00E67E75"/>
    <w:rsid w:val="00E77F43"/>
    <w:rsid w:val="00EC166B"/>
    <w:rsid w:val="00EE3F59"/>
    <w:rsid w:val="00F4734B"/>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45</cp:revision>
  <cp:lastPrinted>2024-11-29T09:36:00Z</cp:lastPrinted>
  <dcterms:created xsi:type="dcterms:W3CDTF">2024-11-29T09:12:00Z</dcterms:created>
  <dcterms:modified xsi:type="dcterms:W3CDTF">2025-12-17T01:04:00Z</dcterms:modified>
</cp:coreProperties>
</file>