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86503" w14:textId="77777777" w:rsidR="00E54ED0" w:rsidRPr="00BA5304" w:rsidRDefault="00E54ED0" w:rsidP="00E54ED0">
      <w:pPr>
        <w:spacing w:before="120" w:after="120"/>
        <w:ind w:firstLine="709"/>
        <w:rPr>
          <w:rFonts w:eastAsia="MS Mincho"/>
          <w:b/>
          <w:szCs w:val="24"/>
          <w:lang w:val="vi-VN" w:eastAsia="vi-VN"/>
        </w:rPr>
      </w:pPr>
      <w:r w:rsidRPr="00BA5304">
        <w:rPr>
          <w:b/>
          <w:bCs/>
          <w:sz w:val="28"/>
          <w:szCs w:val="28"/>
          <w:lang w:val="vi-VN"/>
        </w:rPr>
        <w:t xml:space="preserve">Mục </w:t>
      </w:r>
      <w:r w:rsidRPr="00BA5304">
        <w:rPr>
          <w:b/>
          <w:bCs/>
          <w:sz w:val="28"/>
          <w:szCs w:val="28"/>
          <w:lang w:val="pl-PL"/>
        </w:rPr>
        <w:t>3</w:t>
      </w:r>
      <w:r w:rsidRPr="00BA5304">
        <w:rPr>
          <w:b/>
          <w:bCs/>
          <w:sz w:val="28"/>
          <w:szCs w:val="28"/>
          <w:lang w:val="vi-VN"/>
        </w:rPr>
        <w:t>. Tiêu chuẩn đánh giá về kỹ thuật</w:t>
      </w:r>
      <w:r w:rsidRPr="00BA5304">
        <w:rPr>
          <w:rFonts w:eastAsia="MS Mincho"/>
          <w:b/>
          <w:szCs w:val="24"/>
          <w:lang w:val="vi-VN" w:eastAsia="vi-VN"/>
        </w:rPr>
        <w:t xml:space="preserve"> </w:t>
      </w:r>
    </w:p>
    <w:p w14:paraId="5F97FDDA" w14:textId="77777777" w:rsidR="00E54ED0" w:rsidRPr="00BA5304" w:rsidRDefault="00E54ED0" w:rsidP="00E54ED0">
      <w:pPr>
        <w:spacing w:before="120" w:after="120"/>
        <w:ind w:firstLine="709"/>
        <w:rPr>
          <w:sz w:val="28"/>
          <w:szCs w:val="28"/>
          <w:lang w:val="es-ES"/>
        </w:rPr>
      </w:pPr>
      <w:r w:rsidRPr="00BA5304">
        <w:rPr>
          <w:b/>
          <w:iCs/>
          <w:sz w:val="28"/>
          <w:szCs w:val="28"/>
          <w:lang w:val="es-ES"/>
        </w:rPr>
        <w:t>3.2. Đánh giá theo phương pháp</w:t>
      </w:r>
      <w:r w:rsidRPr="00BA5304" w:rsidDel="00BE4476">
        <w:rPr>
          <w:b/>
          <w:iCs/>
          <w:sz w:val="28"/>
          <w:szCs w:val="28"/>
          <w:lang w:val="es-ES"/>
        </w:rPr>
        <w:t xml:space="preserve"> </w:t>
      </w:r>
      <w:r w:rsidRPr="00BA5304">
        <w:rPr>
          <w:b/>
          <w:iCs/>
          <w:sz w:val="28"/>
          <w:szCs w:val="28"/>
          <w:lang w:val="es-ES"/>
        </w:rPr>
        <w:t>đạt/không đạt</w:t>
      </w:r>
      <w:r w:rsidRPr="00BA5304">
        <w:rPr>
          <w:b/>
          <w:sz w:val="28"/>
          <w:szCs w:val="28"/>
          <w:lang w:val="es-ES"/>
        </w:rPr>
        <w:t>:</w:t>
      </w:r>
    </w:p>
    <w:p w14:paraId="46EF38DA" w14:textId="77777777" w:rsidR="00E54ED0" w:rsidRPr="00BA5304" w:rsidRDefault="00E54ED0" w:rsidP="00E54ED0">
      <w:pPr>
        <w:spacing w:before="120" w:after="120"/>
        <w:ind w:firstLine="709"/>
        <w:rPr>
          <w:spacing w:val="-4"/>
          <w:sz w:val="28"/>
          <w:szCs w:val="28"/>
          <w:lang w:val="es-ES"/>
        </w:rPr>
      </w:pPr>
      <w:r w:rsidRPr="00BA5304">
        <w:rPr>
          <w:spacing w:val="-4"/>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6264D10B" w14:textId="77777777" w:rsidR="00E54ED0" w:rsidRPr="00BA5304" w:rsidRDefault="00E54ED0" w:rsidP="00E54ED0">
      <w:pPr>
        <w:spacing w:before="120" w:after="120"/>
        <w:ind w:firstLine="709"/>
        <w:rPr>
          <w:sz w:val="28"/>
          <w:szCs w:val="28"/>
          <w:lang w:val="es-ES"/>
        </w:rPr>
      </w:pPr>
      <w:r w:rsidRPr="00BA5304">
        <w:rPr>
          <w:sz w:val="28"/>
          <w:szCs w:val="28"/>
          <w:lang w:val="es-ES"/>
        </w:rPr>
        <w:t xml:space="preserve">E-HSDT được đánh giá là đáp ứng yêu cầu về kỹ thuật khi có tất cả các tiêu chí tổng quát đều được đánh giá là đạt. </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5557"/>
        <w:gridCol w:w="1848"/>
        <w:gridCol w:w="7"/>
      </w:tblGrid>
      <w:tr w:rsidR="00BA5304" w:rsidRPr="00BA5304" w14:paraId="62B4C701" w14:textId="77777777" w:rsidTr="00EF472E">
        <w:trPr>
          <w:trHeight w:val="20"/>
          <w:jc w:val="center"/>
        </w:trPr>
        <w:tc>
          <w:tcPr>
            <w:tcW w:w="2376" w:type="dxa"/>
            <w:tcBorders>
              <w:top w:val="single" w:sz="4" w:space="0" w:color="auto"/>
              <w:left w:val="single" w:sz="4" w:space="0" w:color="auto"/>
              <w:bottom w:val="single" w:sz="4" w:space="0" w:color="auto"/>
              <w:right w:val="single" w:sz="4" w:space="0" w:color="auto"/>
            </w:tcBorders>
            <w:vAlign w:val="center"/>
          </w:tcPr>
          <w:p w14:paraId="38EA8F6F" w14:textId="77777777" w:rsidR="00E54ED0" w:rsidRPr="00BA5304" w:rsidRDefault="00E54ED0" w:rsidP="00CE0C46">
            <w:pPr>
              <w:widowControl w:val="0"/>
              <w:spacing w:before="40" w:after="40"/>
              <w:ind w:left="113" w:right="113"/>
              <w:jc w:val="center"/>
              <w:rPr>
                <w:rFonts w:eastAsia="Calibri"/>
                <w:b/>
                <w:noProof/>
                <w:sz w:val="26"/>
                <w:szCs w:val="26"/>
              </w:rPr>
            </w:pPr>
            <w:r w:rsidRPr="00BA5304">
              <w:rPr>
                <w:rFonts w:eastAsia="Calibri"/>
                <w:b/>
                <w:noProof/>
                <w:sz w:val="26"/>
                <w:szCs w:val="26"/>
              </w:rPr>
              <w:t>NỘI DUNG YÊU CẦU</w:t>
            </w:r>
          </w:p>
        </w:tc>
        <w:tc>
          <w:tcPr>
            <w:tcW w:w="7412" w:type="dxa"/>
            <w:gridSpan w:val="3"/>
            <w:tcBorders>
              <w:top w:val="single" w:sz="4" w:space="0" w:color="auto"/>
              <w:left w:val="single" w:sz="4" w:space="0" w:color="auto"/>
              <w:bottom w:val="single" w:sz="4" w:space="0" w:color="auto"/>
              <w:right w:val="single" w:sz="4" w:space="0" w:color="auto"/>
            </w:tcBorders>
            <w:vAlign w:val="center"/>
          </w:tcPr>
          <w:p w14:paraId="198D7456" w14:textId="77777777" w:rsidR="00E54ED0" w:rsidRPr="00BA5304" w:rsidRDefault="00E54ED0" w:rsidP="00CE0C46">
            <w:pPr>
              <w:widowControl w:val="0"/>
              <w:spacing w:before="40" w:after="40"/>
              <w:ind w:left="113" w:right="113"/>
              <w:jc w:val="center"/>
              <w:rPr>
                <w:rFonts w:eastAsia="Calibri"/>
                <w:b/>
                <w:noProof/>
                <w:sz w:val="26"/>
                <w:szCs w:val="26"/>
              </w:rPr>
            </w:pPr>
            <w:r w:rsidRPr="00BA5304">
              <w:rPr>
                <w:rFonts w:eastAsia="Calibri"/>
                <w:b/>
                <w:noProof/>
                <w:sz w:val="26"/>
                <w:szCs w:val="26"/>
              </w:rPr>
              <w:t xml:space="preserve">MỨC ĐỘ ĐÁP ỨNG </w:t>
            </w:r>
          </w:p>
        </w:tc>
      </w:tr>
      <w:tr w:rsidR="00BA5304" w:rsidRPr="00BA5304" w14:paraId="4FF8D569" w14:textId="77777777" w:rsidTr="00EF472E">
        <w:trPr>
          <w:trHeight w:val="20"/>
          <w:jc w:val="center"/>
        </w:trPr>
        <w:tc>
          <w:tcPr>
            <w:tcW w:w="9788" w:type="dxa"/>
            <w:gridSpan w:val="4"/>
            <w:tcBorders>
              <w:top w:val="single" w:sz="4" w:space="0" w:color="auto"/>
              <w:left w:val="single" w:sz="4" w:space="0" w:color="auto"/>
              <w:bottom w:val="single" w:sz="4" w:space="0" w:color="auto"/>
              <w:right w:val="single" w:sz="4" w:space="0" w:color="auto"/>
            </w:tcBorders>
            <w:vAlign w:val="center"/>
          </w:tcPr>
          <w:p w14:paraId="4C43614E" w14:textId="77777777" w:rsidR="00E54ED0" w:rsidRPr="00BA5304" w:rsidRDefault="00E54ED0" w:rsidP="00CE0C46">
            <w:pPr>
              <w:widowControl w:val="0"/>
              <w:spacing w:before="40" w:after="40"/>
              <w:ind w:left="113" w:right="113"/>
              <w:rPr>
                <w:rFonts w:eastAsia="Calibri"/>
                <w:b/>
                <w:noProof/>
                <w:sz w:val="26"/>
                <w:szCs w:val="26"/>
              </w:rPr>
            </w:pPr>
            <w:r w:rsidRPr="00BA5304">
              <w:rPr>
                <w:rFonts w:eastAsia="Calibri"/>
                <w:b/>
                <w:noProof/>
                <w:sz w:val="26"/>
                <w:szCs w:val="26"/>
              </w:rPr>
              <w:t>1. Tính hiệu quả của việc cung cấp dịch vụ</w:t>
            </w:r>
          </w:p>
        </w:tc>
      </w:tr>
      <w:tr w:rsidR="00BA5304" w:rsidRPr="00BA5304" w14:paraId="4CBD88DB" w14:textId="77777777" w:rsidTr="00EF472E">
        <w:trPr>
          <w:gridAfter w:val="1"/>
          <w:wAfter w:w="7" w:type="dxa"/>
          <w:trHeight w:val="20"/>
          <w:jc w:val="center"/>
        </w:trPr>
        <w:tc>
          <w:tcPr>
            <w:tcW w:w="2376" w:type="dxa"/>
            <w:vMerge w:val="restart"/>
            <w:tcBorders>
              <w:top w:val="single" w:sz="4" w:space="0" w:color="auto"/>
              <w:left w:val="single" w:sz="4" w:space="0" w:color="auto"/>
              <w:right w:val="single" w:sz="4" w:space="0" w:color="auto"/>
            </w:tcBorders>
            <w:vAlign w:val="center"/>
          </w:tcPr>
          <w:p w14:paraId="18200273"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1.1 Đảm bảo tính hiệu quả trong công tác huy động nhân sự, máy móc thực hiện dự án.</w:t>
            </w:r>
          </w:p>
        </w:tc>
        <w:tc>
          <w:tcPr>
            <w:tcW w:w="5557" w:type="dxa"/>
            <w:tcBorders>
              <w:top w:val="single" w:sz="4" w:space="0" w:color="auto"/>
              <w:left w:val="single" w:sz="4" w:space="0" w:color="auto"/>
              <w:bottom w:val="single" w:sz="4" w:space="0" w:color="auto"/>
              <w:right w:val="single" w:sz="4" w:space="0" w:color="auto"/>
            </w:tcBorders>
            <w:vAlign w:val="center"/>
          </w:tcPr>
          <w:p w14:paraId="1F0ABF6F"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Nhà thầu có trụ sở hoặc chi nhánh hoặc văn phòng đại diện tại địa điểm thực hiện dự án.</w:t>
            </w:r>
          </w:p>
          <w:p w14:paraId="7A5ECE00"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Hoặc, nhà thầu có cam kết: Nếu như hồ sơ dự thầu được lựa chọn sẽ có trụ sở hoặc chi nhánh hoặc văn phòng đại diện tại địa điểm thực hiện dự án.</w:t>
            </w:r>
          </w:p>
          <w:p w14:paraId="2211DD8C" w14:textId="79EEFCF7" w:rsidR="00E54ED0" w:rsidRPr="00BA5304" w:rsidRDefault="00E54ED0" w:rsidP="009B5FC2">
            <w:pPr>
              <w:widowControl w:val="0"/>
              <w:spacing w:before="40" w:after="40"/>
              <w:ind w:left="113" w:right="113"/>
              <w:rPr>
                <w:rFonts w:eastAsia="Calibri"/>
                <w:i/>
                <w:iCs/>
                <w:noProof/>
                <w:sz w:val="26"/>
                <w:szCs w:val="26"/>
              </w:rPr>
            </w:pPr>
            <w:r w:rsidRPr="00BA5304">
              <w:rPr>
                <w:rFonts w:eastAsia="Calibri"/>
                <w:i/>
                <w:iCs/>
                <w:noProof/>
                <w:sz w:val="26"/>
                <w:szCs w:val="26"/>
              </w:rPr>
              <w:t xml:space="preserve">(Địa điểm thực hiện dự án: </w:t>
            </w:r>
            <w:r w:rsidR="00C53CDF" w:rsidRPr="00BA5304">
              <w:rPr>
                <w:rFonts w:eastAsia="Calibri"/>
                <w:i/>
                <w:iCs/>
                <w:noProof/>
                <w:sz w:val="26"/>
                <w:szCs w:val="26"/>
              </w:rPr>
              <w:t>Phường Đoàn Kết</w:t>
            </w:r>
            <w:r w:rsidRPr="00BA5304">
              <w:rPr>
                <w:rFonts w:eastAsia="Calibri"/>
                <w:i/>
                <w:iCs/>
                <w:noProof/>
                <w:sz w:val="26"/>
                <w:szCs w:val="26"/>
              </w:rPr>
              <w:t>, tỉnh Lai Châu)</w:t>
            </w:r>
          </w:p>
        </w:tc>
        <w:tc>
          <w:tcPr>
            <w:tcW w:w="1848" w:type="dxa"/>
            <w:tcBorders>
              <w:top w:val="single" w:sz="4" w:space="0" w:color="auto"/>
              <w:left w:val="single" w:sz="4" w:space="0" w:color="auto"/>
              <w:bottom w:val="single" w:sz="4" w:space="0" w:color="auto"/>
              <w:right w:val="single" w:sz="4" w:space="0" w:color="auto"/>
            </w:tcBorders>
            <w:vAlign w:val="center"/>
          </w:tcPr>
          <w:p w14:paraId="226D0DF7"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Đạt</w:t>
            </w:r>
          </w:p>
        </w:tc>
      </w:tr>
      <w:tr w:rsidR="00BA5304" w:rsidRPr="00BA5304" w14:paraId="1CF70572" w14:textId="77777777" w:rsidTr="00EF472E">
        <w:trPr>
          <w:gridAfter w:val="1"/>
          <w:wAfter w:w="7" w:type="dxa"/>
          <w:trHeight w:val="20"/>
          <w:jc w:val="center"/>
        </w:trPr>
        <w:tc>
          <w:tcPr>
            <w:tcW w:w="2376" w:type="dxa"/>
            <w:vMerge/>
            <w:tcBorders>
              <w:left w:val="single" w:sz="4" w:space="0" w:color="auto"/>
              <w:bottom w:val="single" w:sz="4" w:space="0" w:color="auto"/>
              <w:right w:val="single" w:sz="4" w:space="0" w:color="auto"/>
            </w:tcBorders>
            <w:vAlign w:val="center"/>
          </w:tcPr>
          <w:p w14:paraId="1E382861" w14:textId="77777777" w:rsidR="00E54ED0" w:rsidRPr="00BA5304" w:rsidRDefault="00E54ED0" w:rsidP="00CE0C46">
            <w:pPr>
              <w:widowControl w:val="0"/>
              <w:spacing w:before="40" w:after="40"/>
              <w:ind w:left="113" w:right="113"/>
              <w:jc w:val="center"/>
              <w:rPr>
                <w:rFonts w:eastAsia="Calibri"/>
                <w:b/>
                <w:noProof/>
                <w:sz w:val="26"/>
                <w:szCs w:val="26"/>
              </w:rPr>
            </w:pPr>
          </w:p>
        </w:tc>
        <w:tc>
          <w:tcPr>
            <w:tcW w:w="5557" w:type="dxa"/>
            <w:tcBorders>
              <w:top w:val="single" w:sz="4" w:space="0" w:color="auto"/>
              <w:left w:val="single" w:sz="4" w:space="0" w:color="auto"/>
              <w:bottom w:val="single" w:sz="4" w:space="0" w:color="auto"/>
              <w:right w:val="single" w:sz="4" w:space="0" w:color="auto"/>
            </w:tcBorders>
            <w:vAlign w:val="center"/>
          </w:tcPr>
          <w:p w14:paraId="6B71DD83"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Nhà thầu không đáp ứng yêu cầu trên</w:t>
            </w:r>
          </w:p>
        </w:tc>
        <w:tc>
          <w:tcPr>
            <w:tcW w:w="1848" w:type="dxa"/>
            <w:tcBorders>
              <w:top w:val="single" w:sz="4" w:space="0" w:color="auto"/>
              <w:left w:val="single" w:sz="4" w:space="0" w:color="auto"/>
              <w:bottom w:val="single" w:sz="4" w:space="0" w:color="auto"/>
              <w:right w:val="single" w:sz="4" w:space="0" w:color="auto"/>
            </w:tcBorders>
            <w:vAlign w:val="center"/>
          </w:tcPr>
          <w:p w14:paraId="0A4BE759"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Không đạt</w:t>
            </w:r>
          </w:p>
        </w:tc>
      </w:tr>
      <w:tr w:rsidR="00BA5304" w:rsidRPr="00BA5304" w14:paraId="15D61851" w14:textId="77777777" w:rsidTr="00EF472E">
        <w:trPr>
          <w:gridAfter w:val="1"/>
          <w:wAfter w:w="7" w:type="dxa"/>
          <w:trHeight w:val="20"/>
          <w:jc w:val="center"/>
        </w:trPr>
        <w:tc>
          <w:tcPr>
            <w:tcW w:w="2376" w:type="dxa"/>
            <w:vMerge w:val="restart"/>
            <w:tcBorders>
              <w:left w:val="single" w:sz="4" w:space="0" w:color="auto"/>
              <w:right w:val="single" w:sz="4" w:space="0" w:color="auto"/>
            </w:tcBorders>
            <w:vAlign w:val="center"/>
          </w:tcPr>
          <w:p w14:paraId="4B989E29"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1.2 Cam kết thực hiện gói thấu</w:t>
            </w:r>
          </w:p>
        </w:tc>
        <w:tc>
          <w:tcPr>
            <w:tcW w:w="5557" w:type="dxa"/>
            <w:tcBorders>
              <w:top w:val="single" w:sz="4" w:space="0" w:color="auto"/>
              <w:left w:val="single" w:sz="4" w:space="0" w:color="auto"/>
              <w:bottom w:val="single" w:sz="4" w:space="0" w:color="auto"/>
              <w:right w:val="single" w:sz="4" w:space="0" w:color="auto"/>
            </w:tcBorders>
            <w:vAlign w:val="center"/>
          </w:tcPr>
          <w:p w14:paraId="38F86A21"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Nhà thầu có cam kết, nếu trúng thầu sẽ:</w:t>
            </w:r>
          </w:p>
          <w:p w14:paraId="2D0C48A9"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 Luôn sẵn sàng về mặt nhân sự, máy móc, thiết bị trong thời gian thực hiện hợp đồng, các máy móc và nhân sự không huy động trùng với các dự án khác.</w:t>
            </w:r>
          </w:p>
          <w:p w14:paraId="4624A1DF" w14:textId="44C75056" w:rsidR="00E54ED0" w:rsidRPr="00BA5304" w:rsidRDefault="00E54ED0" w:rsidP="000C70B7">
            <w:pPr>
              <w:widowControl w:val="0"/>
              <w:spacing w:before="40" w:after="40"/>
              <w:ind w:left="113" w:right="113"/>
              <w:rPr>
                <w:rFonts w:eastAsia="Calibri"/>
                <w:noProof/>
                <w:sz w:val="26"/>
                <w:szCs w:val="26"/>
              </w:rPr>
            </w:pPr>
            <w:r w:rsidRPr="00BA5304">
              <w:rPr>
                <w:rFonts w:eastAsia="Calibri"/>
                <w:noProof/>
                <w:sz w:val="26"/>
                <w:szCs w:val="26"/>
              </w:rPr>
              <w:t>- Chủ động về tài chính trong quá trình thực hiện hợp đồng.</w:t>
            </w:r>
          </w:p>
        </w:tc>
        <w:tc>
          <w:tcPr>
            <w:tcW w:w="1848" w:type="dxa"/>
            <w:tcBorders>
              <w:top w:val="single" w:sz="4" w:space="0" w:color="auto"/>
              <w:left w:val="single" w:sz="4" w:space="0" w:color="auto"/>
              <w:bottom w:val="single" w:sz="4" w:space="0" w:color="auto"/>
              <w:right w:val="single" w:sz="4" w:space="0" w:color="auto"/>
            </w:tcBorders>
            <w:vAlign w:val="center"/>
          </w:tcPr>
          <w:p w14:paraId="0662C2C1"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Đạt</w:t>
            </w:r>
          </w:p>
        </w:tc>
      </w:tr>
      <w:tr w:rsidR="00BA5304" w:rsidRPr="00BA5304" w14:paraId="4E1CA6B4" w14:textId="77777777" w:rsidTr="00EF472E">
        <w:trPr>
          <w:gridAfter w:val="1"/>
          <w:wAfter w:w="7" w:type="dxa"/>
          <w:trHeight w:val="20"/>
          <w:jc w:val="center"/>
        </w:trPr>
        <w:tc>
          <w:tcPr>
            <w:tcW w:w="2376" w:type="dxa"/>
            <w:vMerge/>
            <w:tcBorders>
              <w:left w:val="single" w:sz="4" w:space="0" w:color="auto"/>
              <w:bottom w:val="single" w:sz="4" w:space="0" w:color="auto"/>
              <w:right w:val="single" w:sz="4" w:space="0" w:color="auto"/>
            </w:tcBorders>
            <w:vAlign w:val="center"/>
          </w:tcPr>
          <w:p w14:paraId="516FA9BA" w14:textId="77777777" w:rsidR="00E54ED0" w:rsidRPr="00BA5304" w:rsidRDefault="00E54ED0" w:rsidP="00CE0C46">
            <w:pPr>
              <w:widowControl w:val="0"/>
              <w:spacing w:before="40" w:after="40"/>
              <w:ind w:left="113" w:right="113"/>
              <w:rPr>
                <w:rFonts w:eastAsia="Calibri"/>
                <w:noProof/>
                <w:sz w:val="26"/>
                <w:szCs w:val="26"/>
              </w:rPr>
            </w:pPr>
          </w:p>
        </w:tc>
        <w:tc>
          <w:tcPr>
            <w:tcW w:w="5557" w:type="dxa"/>
            <w:tcBorders>
              <w:top w:val="single" w:sz="4" w:space="0" w:color="auto"/>
              <w:left w:val="single" w:sz="4" w:space="0" w:color="auto"/>
              <w:bottom w:val="single" w:sz="4" w:space="0" w:color="auto"/>
              <w:right w:val="single" w:sz="4" w:space="0" w:color="auto"/>
            </w:tcBorders>
            <w:vAlign w:val="center"/>
          </w:tcPr>
          <w:p w14:paraId="43CF174B"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Nhà thầu không có cam kết hoặc cam kết không đạt yêu cầu</w:t>
            </w:r>
          </w:p>
        </w:tc>
        <w:tc>
          <w:tcPr>
            <w:tcW w:w="1848" w:type="dxa"/>
            <w:tcBorders>
              <w:top w:val="single" w:sz="4" w:space="0" w:color="auto"/>
              <w:left w:val="single" w:sz="4" w:space="0" w:color="auto"/>
              <w:bottom w:val="single" w:sz="4" w:space="0" w:color="auto"/>
              <w:right w:val="single" w:sz="4" w:space="0" w:color="auto"/>
            </w:tcBorders>
            <w:vAlign w:val="center"/>
          </w:tcPr>
          <w:p w14:paraId="7ABD6019"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Không đạt</w:t>
            </w:r>
          </w:p>
        </w:tc>
      </w:tr>
      <w:tr w:rsidR="00BA5304" w:rsidRPr="00BA5304" w14:paraId="359E351C" w14:textId="77777777" w:rsidTr="00EF472E">
        <w:trPr>
          <w:trHeight w:val="20"/>
          <w:jc w:val="center"/>
        </w:trPr>
        <w:tc>
          <w:tcPr>
            <w:tcW w:w="9788" w:type="dxa"/>
            <w:gridSpan w:val="4"/>
            <w:vAlign w:val="center"/>
          </w:tcPr>
          <w:p w14:paraId="3C34188A" w14:textId="77777777" w:rsidR="00E54ED0" w:rsidRPr="00BA5304" w:rsidRDefault="00E54ED0" w:rsidP="00CE0C46">
            <w:pPr>
              <w:widowControl w:val="0"/>
              <w:spacing w:before="40" w:after="40"/>
              <w:ind w:left="113" w:right="113"/>
              <w:outlineLvl w:val="2"/>
              <w:rPr>
                <w:rFonts w:eastAsia="Calibri"/>
                <w:b/>
                <w:noProof/>
                <w:sz w:val="26"/>
                <w:szCs w:val="26"/>
              </w:rPr>
            </w:pPr>
            <w:r w:rsidRPr="00BA5304">
              <w:rPr>
                <w:rFonts w:eastAsia="Calibri"/>
                <w:b/>
                <w:noProof/>
                <w:sz w:val="26"/>
                <w:szCs w:val="26"/>
              </w:rPr>
              <w:t>2. Mức độ hiểu biết về tính chất và mục đích công việc</w:t>
            </w:r>
          </w:p>
        </w:tc>
      </w:tr>
      <w:tr w:rsidR="00BA5304" w:rsidRPr="00BA5304" w14:paraId="24C9BB7B" w14:textId="77777777" w:rsidTr="00EF472E">
        <w:trPr>
          <w:gridAfter w:val="1"/>
          <w:wAfter w:w="7" w:type="dxa"/>
          <w:trHeight w:val="20"/>
          <w:jc w:val="center"/>
        </w:trPr>
        <w:tc>
          <w:tcPr>
            <w:tcW w:w="2376" w:type="dxa"/>
            <w:vMerge w:val="restart"/>
            <w:vAlign w:val="center"/>
          </w:tcPr>
          <w:p w14:paraId="116837E2"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bCs/>
                <w:noProof/>
                <w:sz w:val="26"/>
                <w:szCs w:val="26"/>
              </w:rPr>
              <w:t>2.1 Am hiểu về quy mô và tính chất gói thầu</w:t>
            </w:r>
          </w:p>
        </w:tc>
        <w:tc>
          <w:tcPr>
            <w:tcW w:w="5557" w:type="dxa"/>
            <w:vAlign w:val="center"/>
          </w:tcPr>
          <w:p w14:paraId="6634A23B"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bCs/>
                <w:noProof/>
                <w:sz w:val="26"/>
                <w:szCs w:val="26"/>
              </w:rPr>
              <w:t>Có am hiểu về quy mô và tính chất gói thầu</w:t>
            </w:r>
          </w:p>
        </w:tc>
        <w:tc>
          <w:tcPr>
            <w:tcW w:w="1848" w:type="dxa"/>
            <w:vAlign w:val="center"/>
          </w:tcPr>
          <w:p w14:paraId="0C409611"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Đạt</w:t>
            </w:r>
          </w:p>
        </w:tc>
      </w:tr>
      <w:tr w:rsidR="00BA5304" w:rsidRPr="00BA5304" w14:paraId="447DEF69" w14:textId="77777777" w:rsidTr="00EF472E">
        <w:trPr>
          <w:gridAfter w:val="1"/>
          <w:wAfter w:w="7" w:type="dxa"/>
          <w:trHeight w:val="20"/>
          <w:jc w:val="center"/>
        </w:trPr>
        <w:tc>
          <w:tcPr>
            <w:tcW w:w="2376" w:type="dxa"/>
            <w:vMerge/>
            <w:vAlign w:val="center"/>
          </w:tcPr>
          <w:p w14:paraId="6A2A2517" w14:textId="77777777" w:rsidR="00E54ED0" w:rsidRPr="00BA5304" w:rsidRDefault="00E54ED0" w:rsidP="00CE0C46">
            <w:pPr>
              <w:widowControl w:val="0"/>
              <w:spacing w:before="40" w:after="40"/>
              <w:ind w:left="113" w:right="113"/>
              <w:rPr>
                <w:rFonts w:eastAsia="Calibri"/>
                <w:bCs/>
                <w:noProof/>
                <w:sz w:val="26"/>
                <w:szCs w:val="26"/>
              </w:rPr>
            </w:pPr>
          </w:p>
        </w:tc>
        <w:tc>
          <w:tcPr>
            <w:tcW w:w="5557" w:type="dxa"/>
            <w:vAlign w:val="center"/>
          </w:tcPr>
          <w:p w14:paraId="6DDDC12A"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bCs/>
                <w:noProof/>
                <w:sz w:val="26"/>
                <w:szCs w:val="26"/>
              </w:rPr>
              <w:t>Không có thuyết minh về mức độ am hiểu hoặc thuyết minh không phù hợp quy mô và tính chất gói thầu.</w:t>
            </w:r>
          </w:p>
        </w:tc>
        <w:tc>
          <w:tcPr>
            <w:tcW w:w="1848" w:type="dxa"/>
            <w:vAlign w:val="center"/>
          </w:tcPr>
          <w:p w14:paraId="6F4851FB"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Không đạt</w:t>
            </w:r>
          </w:p>
        </w:tc>
      </w:tr>
      <w:tr w:rsidR="00BA5304" w:rsidRPr="00BA5304" w14:paraId="386611E3" w14:textId="77777777" w:rsidTr="00EF472E">
        <w:trPr>
          <w:gridAfter w:val="1"/>
          <w:wAfter w:w="7" w:type="dxa"/>
          <w:trHeight w:val="20"/>
          <w:jc w:val="center"/>
        </w:trPr>
        <w:tc>
          <w:tcPr>
            <w:tcW w:w="2376" w:type="dxa"/>
            <w:vMerge w:val="restart"/>
            <w:vAlign w:val="center"/>
          </w:tcPr>
          <w:p w14:paraId="2E567845" w14:textId="432BCDF1" w:rsidR="00E54ED0" w:rsidRPr="00BA5304" w:rsidRDefault="00E54ED0" w:rsidP="00CE0C46">
            <w:pPr>
              <w:widowControl w:val="0"/>
              <w:spacing w:before="40" w:after="40"/>
              <w:ind w:left="113" w:right="113"/>
              <w:outlineLvl w:val="0"/>
              <w:rPr>
                <w:rFonts w:eastAsia="Calibri"/>
                <w:bCs/>
                <w:noProof/>
                <w:sz w:val="26"/>
                <w:szCs w:val="26"/>
              </w:rPr>
            </w:pPr>
            <w:bookmarkStart w:id="0" w:name="_Toc532486627"/>
            <w:r w:rsidRPr="00BA5304">
              <w:rPr>
                <w:rFonts w:eastAsia="Calibri"/>
                <w:bCs/>
                <w:noProof/>
                <w:sz w:val="26"/>
                <w:szCs w:val="26"/>
              </w:rPr>
              <w:t>2.2 Đề xuất các giải pháp công việc</w:t>
            </w:r>
            <w:bookmarkEnd w:id="0"/>
            <w:r w:rsidRPr="00BA5304">
              <w:rPr>
                <w:rFonts w:eastAsia="Calibri"/>
                <w:bCs/>
                <w:noProof/>
                <w:sz w:val="26"/>
                <w:szCs w:val="26"/>
              </w:rPr>
              <w:t xml:space="preserve"> </w:t>
            </w:r>
            <w:r w:rsidRPr="00BA5304">
              <w:rPr>
                <w:rFonts w:eastAsia="Calibri"/>
                <w:bCs/>
                <w:i/>
                <w:iCs/>
                <w:noProof/>
                <w:sz w:val="26"/>
                <w:szCs w:val="26"/>
              </w:rPr>
              <w:t>(Quét dọn vệ sinh, thu gom, vận chuyển,</w:t>
            </w:r>
            <w:r w:rsidR="00BA5304">
              <w:rPr>
                <w:rFonts w:eastAsia="Calibri"/>
                <w:bCs/>
                <w:i/>
                <w:iCs/>
                <w:noProof/>
                <w:sz w:val="26"/>
                <w:szCs w:val="26"/>
              </w:rPr>
              <w:t xml:space="preserve"> tưới nước</w:t>
            </w:r>
            <w:r w:rsidR="00D656A8">
              <w:rPr>
                <w:rFonts w:eastAsia="Calibri"/>
                <w:bCs/>
                <w:i/>
                <w:iCs/>
                <w:noProof/>
                <w:sz w:val="26"/>
                <w:szCs w:val="26"/>
              </w:rPr>
              <w:t xml:space="preserve"> </w:t>
            </w:r>
            <w:r w:rsidRPr="00BA5304">
              <w:rPr>
                <w:rFonts w:eastAsia="Calibri"/>
                <w:bCs/>
                <w:i/>
                <w:iCs/>
                <w:noProof/>
                <w:sz w:val="26"/>
                <w:szCs w:val="26"/>
              </w:rPr>
              <w:t>… )</w:t>
            </w:r>
          </w:p>
        </w:tc>
        <w:tc>
          <w:tcPr>
            <w:tcW w:w="5557" w:type="dxa"/>
            <w:vAlign w:val="center"/>
          </w:tcPr>
          <w:p w14:paraId="4650C2D6" w14:textId="44F3119B" w:rsidR="00B021BD" w:rsidRPr="00BA5304" w:rsidRDefault="00E54ED0" w:rsidP="00CB282E">
            <w:pPr>
              <w:widowControl w:val="0"/>
              <w:spacing w:before="40" w:after="40"/>
              <w:ind w:left="113" w:right="113"/>
              <w:rPr>
                <w:rFonts w:eastAsia="Calibri"/>
                <w:bCs/>
                <w:noProof/>
                <w:sz w:val="26"/>
                <w:szCs w:val="26"/>
              </w:rPr>
            </w:pPr>
            <w:r w:rsidRPr="00BA5304">
              <w:rPr>
                <w:rFonts w:eastAsia="Calibri"/>
                <w:bCs/>
                <w:noProof/>
                <w:sz w:val="26"/>
                <w:szCs w:val="26"/>
              </w:rPr>
              <w:t xml:space="preserve">Có giải pháp kỹ thuật đầy đủ, hợp lý, phù hợp với điều kiện thi công tại địa phương </w:t>
            </w:r>
            <w:r w:rsidRPr="00BA5304">
              <w:rPr>
                <w:rFonts w:eastAsia="Calibri"/>
                <w:bCs/>
                <w:i/>
                <w:iCs/>
                <w:noProof/>
                <w:sz w:val="26"/>
                <w:szCs w:val="26"/>
              </w:rPr>
              <w:t>(giờ, địa điểm thu gom rác,</w:t>
            </w:r>
            <w:r w:rsidR="00D656A8">
              <w:rPr>
                <w:rFonts w:eastAsia="Calibri"/>
                <w:bCs/>
                <w:i/>
                <w:iCs/>
                <w:noProof/>
                <w:sz w:val="26"/>
                <w:szCs w:val="26"/>
              </w:rPr>
              <w:t xml:space="preserve"> tưới nước </w:t>
            </w:r>
            <w:r w:rsidRPr="00BA5304">
              <w:rPr>
                <w:rFonts w:eastAsia="Calibri"/>
                <w:bCs/>
                <w:i/>
                <w:iCs/>
                <w:noProof/>
                <w:sz w:val="26"/>
                <w:szCs w:val="26"/>
              </w:rPr>
              <w:t>...)</w:t>
            </w:r>
          </w:p>
        </w:tc>
        <w:tc>
          <w:tcPr>
            <w:tcW w:w="1848" w:type="dxa"/>
            <w:vAlign w:val="center"/>
          </w:tcPr>
          <w:p w14:paraId="234F686E"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Đạt</w:t>
            </w:r>
          </w:p>
        </w:tc>
      </w:tr>
      <w:tr w:rsidR="00BA5304" w:rsidRPr="00BA5304" w14:paraId="7BEA5A63" w14:textId="77777777" w:rsidTr="00EF472E">
        <w:trPr>
          <w:gridAfter w:val="1"/>
          <w:wAfter w:w="7" w:type="dxa"/>
          <w:trHeight w:val="20"/>
          <w:jc w:val="center"/>
        </w:trPr>
        <w:tc>
          <w:tcPr>
            <w:tcW w:w="2376" w:type="dxa"/>
            <w:vMerge/>
            <w:vAlign w:val="center"/>
          </w:tcPr>
          <w:p w14:paraId="3EC907B5" w14:textId="77777777" w:rsidR="00E54ED0" w:rsidRPr="00BA5304" w:rsidRDefault="00E54ED0" w:rsidP="00CE0C46">
            <w:pPr>
              <w:widowControl w:val="0"/>
              <w:spacing w:before="40" w:after="40"/>
              <w:ind w:left="113" w:right="113"/>
              <w:outlineLvl w:val="0"/>
              <w:rPr>
                <w:rFonts w:eastAsia="Calibri"/>
                <w:b/>
                <w:bCs/>
                <w:noProof/>
                <w:sz w:val="26"/>
                <w:szCs w:val="26"/>
              </w:rPr>
            </w:pPr>
          </w:p>
        </w:tc>
        <w:tc>
          <w:tcPr>
            <w:tcW w:w="5557" w:type="dxa"/>
            <w:vAlign w:val="center"/>
          </w:tcPr>
          <w:p w14:paraId="41398737"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bCs/>
                <w:noProof/>
                <w:sz w:val="26"/>
                <w:szCs w:val="26"/>
              </w:rPr>
              <w:t>Không có đề xuất giải pháp hoặc giải pháp kỹ thuật không đầy đủ, không hợp lý, không phù hợp với điều kiện tại địa phương</w:t>
            </w:r>
          </w:p>
        </w:tc>
        <w:tc>
          <w:tcPr>
            <w:tcW w:w="1848" w:type="dxa"/>
            <w:vAlign w:val="center"/>
          </w:tcPr>
          <w:p w14:paraId="5705285D"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Không đạt</w:t>
            </w:r>
          </w:p>
        </w:tc>
      </w:tr>
      <w:tr w:rsidR="00BA5304" w:rsidRPr="00BA5304" w14:paraId="0BA028C9" w14:textId="77777777" w:rsidTr="00EF472E">
        <w:trPr>
          <w:trHeight w:val="20"/>
          <w:jc w:val="center"/>
        </w:trPr>
        <w:tc>
          <w:tcPr>
            <w:tcW w:w="9788" w:type="dxa"/>
            <w:gridSpan w:val="4"/>
            <w:vAlign w:val="center"/>
          </w:tcPr>
          <w:p w14:paraId="689A89AA" w14:textId="77777777" w:rsidR="00E54ED0" w:rsidRPr="00BA5304" w:rsidRDefault="00E54ED0" w:rsidP="00CE0C46">
            <w:pPr>
              <w:widowControl w:val="0"/>
              <w:spacing w:before="40" w:after="40"/>
              <w:ind w:left="113" w:right="113"/>
              <w:outlineLvl w:val="2"/>
              <w:rPr>
                <w:rFonts w:eastAsia="Calibri"/>
                <w:b/>
                <w:noProof/>
                <w:sz w:val="26"/>
                <w:szCs w:val="26"/>
                <w:lang w:val="fr-FR"/>
              </w:rPr>
            </w:pPr>
            <w:r w:rsidRPr="00BA5304">
              <w:rPr>
                <w:rFonts w:eastAsia="Calibri"/>
                <w:b/>
                <w:bCs/>
                <w:noProof/>
                <w:sz w:val="26"/>
                <w:szCs w:val="26"/>
              </w:rPr>
              <w:t>3. Biện pháp tổ chức cung cấp dịch vụ</w:t>
            </w:r>
          </w:p>
        </w:tc>
      </w:tr>
      <w:tr w:rsidR="00BA5304" w:rsidRPr="00BA5304" w14:paraId="5743AA4F" w14:textId="77777777" w:rsidTr="00EF472E">
        <w:trPr>
          <w:gridAfter w:val="1"/>
          <w:wAfter w:w="7" w:type="dxa"/>
          <w:trHeight w:val="20"/>
          <w:jc w:val="center"/>
        </w:trPr>
        <w:tc>
          <w:tcPr>
            <w:tcW w:w="2376" w:type="dxa"/>
            <w:vMerge w:val="restart"/>
            <w:vAlign w:val="center"/>
          </w:tcPr>
          <w:p w14:paraId="1A495B52" w14:textId="77777777" w:rsidR="00E54ED0" w:rsidRPr="00BA5304" w:rsidRDefault="00E54ED0" w:rsidP="00CE0C46">
            <w:pPr>
              <w:widowControl w:val="0"/>
              <w:spacing w:before="40" w:after="40"/>
              <w:ind w:left="113" w:right="113"/>
              <w:outlineLvl w:val="0"/>
              <w:rPr>
                <w:rFonts w:eastAsia="Calibri"/>
                <w:noProof/>
                <w:sz w:val="26"/>
                <w:szCs w:val="26"/>
              </w:rPr>
            </w:pPr>
            <w:bookmarkStart w:id="1" w:name="_Toc532486628"/>
            <w:r w:rsidRPr="00BA5304">
              <w:rPr>
                <w:rFonts w:eastAsia="Calibri"/>
                <w:noProof/>
                <w:sz w:val="26"/>
                <w:szCs w:val="26"/>
              </w:rPr>
              <w:t>3.1 Bộ máy tổ chức thực hiện công việc</w:t>
            </w:r>
            <w:bookmarkEnd w:id="1"/>
          </w:p>
        </w:tc>
        <w:tc>
          <w:tcPr>
            <w:tcW w:w="5557" w:type="dxa"/>
            <w:vAlign w:val="center"/>
          </w:tcPr>
          <w:p w14:paraId="0B412A64"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Có sơ đồ và thuyết minh bộ máy tổ chức của nhà thầu cho công việc hợp lý với nhân sự, máy móc đề xuất.</w:t>
            </w:r>
          </w:p>
        </w:tc>
        <w:tc>
          <w:tcPr>
            <w:tcW w:w="1848" w:type="dxa"/>
            <w:vAlign w:val="center"/>
          </w:tcPr>
          <w:p w14:paraId="5E03EA62"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750E38FA" w14:textId="77777777" w:rsidTr="00EF472E">
        <w:trPr>
          <w:gridAfter w:val="1"/>
          <w:wAfter w:w="7" w:type="dxa"/>
          <w:trHeight w:val="20"/>
          <w:jc w:val="center"/>
        </w:trPr>
        <w:tc>
          <w:tcPr>
            <w:tcW w:w="2376" w:type="dxa"/>
            <w:vMerge/>
            <w:vAlign w:val="center"/>
          </w:tcPr>
          <w:p w14:paraId="59E98A70"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6F70E08C"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Không có sơ đồ hoặc thuyết minh hoặc sơ đồ và thuyết minh không phù hợp với nhân sự đề xuất.</w:t>
            </w:r>
          </w:p>
        </w:tc>
        <w:tc>
          <w:tcPr>
            <w:tcW w:w="1848" w:type="dxa"/>
            <w:vAlign w:val="center"/>
          </w:tcPr>
          <w:p w14:paraId="58635059"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25D1B612" w14:textId="77777777" w:rsidTr="00EF472E">
        <w:trPr>
          <w:trHeight w:val="20"/>
          <w:jc w:val="center"/>
        </w:trPr>
        <w:tc>
          <w:tcPr>
            <w:tcW w:w="9788" w:type="dxa"/>
            <w:gridSpan w:val="4"/>
            <w:vAlign w:val="center"/>
          </w:tcPr>
          <w:p w14:paraId="3DACB612" w14:textId="77777777" w:rsidR="00E54ED0" w:rsidRPr="00BA5304" w:rsidRDefault="00E54ED0" w:rsidP="00CE0C46">
            <w:pPr>
              <w:widowControl w:val="0"/>
              <w:spacing w:before="40" w:after="40"/>
              <w:ind w:left="113" w:right="113"/>
              <w:outlineLvl w:val="2"/>
              <w:rPr>
                <w:rFonts w:eastAsia="Calibri"/>
                <w:b/>
                <w:noProof/>
                <w:sz w:val="26"/>
                <w:szCs w:val="26"/>
                <w:lang w:val="fr-FR"/>
              </w:rPr>
            </w:pPr>
            <w:r w:rsidRPr="00BA5304">
              <w:rPr>
                <w:rFonts w:eastAsia="Calibri"/>
                <w:b/>
                <w:noProof/>
                <w:sz w:val="26"/>
                <w:szCs w:val="26"/>
              </w:rPr>
              <w:t>4. Hệ thống đảm bảo chất lượng và phương pháp thực hiện</w:t>
            </w:r>
          </w:p>
        </w:tc>
      </w:tr>
      <w:tr w:rsidR="00BA5304" w:rsidRPr="00BA5304" w14:paraId="7AB38C52" w14:textId="77777777" w:rsidTr="00EF472E">
        <w:trPr>
          <w:gridAfter w:val="1"/>
          <w:wAfter w:w="7" w:type="dxa"/>
          <w:trHeight w:val="20"/>
          <w:jc w:val="center"/>
        </w:trPr>
        <w:tc>
          <w:tcPr>
            <w:tcW w:w="2376" w:type="dxa"/>
            <w:vMerge w:val="restart"/>
            <w:vAlign w:val="center"/>
          </w:tcPr>
          <w:p w14:paraId="794288BB" w14:textId="77777777" w:rsidR="00E54ED0" w:rsidRPr="00BA5304" w:rsidRDefault="00E54ED0" w:rsidP="00CE0C46">
            <w:pPr>
              <w:widowControl w:val="0"/>
              <w:spacing w:before="40" w:after="40"/>
              <w:ind w:left="113" w:right="113"/>
              <w:outlineLvl w:val="0"/>
              <w:rPr>
                <w:rFonts w:eastAsia="Calibri"/>
                <w:noProof/>
                <w:sz w:val="26"/>
                <w:szCs w:val="26"/>
              </w:rPr>
            </w:pPr>
            <w:bookmarkStart w:id="2" w:name="_Toc532486629"/>
            <w:r w:rsidRPr="00BA5304">
              <w:rPr>
                <w:rFonts w:eastAsia="Calibri"/>
                <w:noProof/>
                <w:sz w:val="26"/>
                <w:szCs w:val="26"/>
              </w:rPr>
              <w:t>4.1 Hệ thống đảm bảo chất lượng</w:t>
            </w:r>
            <w:bookmarkEnd w:id="2"/>
          </w:p>
        </w:tc>
        <w:tc>
          <w:tcPr>
            <w:tcW w:w="5557" w:type="dxa"/>
            <w:vAlign w:val="center"/>
          </w:tcPr>
          <w:p w14:paraId="088476FB"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Có thuyết minh hệ thống đảm bảo chất lượng công việc hợp lý với quy mô, tính chất gói thầu</w:t>
            </w:r>
          </w:p>
        </w:tc>
        <w:tc>
          <w:tcPr>
            <w:tcW w:w="1848" w:type="dxa"/>
            <w:vAlign w:val="center"/>
          </w:tcPr>
          <w:p w14:paraId="5CD53733"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28AA78B0" w14:textId="77777777" w:rsidTr="00EF472E">
        <w:trPr>
          <w:gridAfter w:val="1"/>
          <w:wAfter w:w="7" w:type="dxa"/>
          <w:trHeight w:val="20"/>
          <w:jc w:val="center"/>
        </w:trPr>
        <w:tc>
          <w:tcPr>
            <w:tcW w:w="2376" w:type="dxa"/>
            <w:vMerge/>
            <w:vAlign w:val="center"/>
          </w:tcPr>
          <w:p w14:paraId="551B1C1A"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0C11E418"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Không có sơ đồ hoặc thuyết minh hoặc không hợp lý với quy mô, tính chất gói thầu</w:t>
            </w:r>
          </w:p>
        </w:tc>
        <w:tc>
          <w:tcPr>
            <w:tcW w:w="1848" w:type="dxa"/>
            <w:vAlign w:val="center"/>
          </w:tcPr>
          <w:p w14:paraId="25682D9C"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29E3438C" w14:textId="77777777" w:rsidTr="00EF472E">
        <w:trPr>
          <w:gridAfter w:val="1"/>
          <w:wAfter w:w="7" w:type="dxa"/>
          <w:trHeight w:val="20"/>
          <w:jc w:val="center"/>
        </w:trPr>
        <w:tc>
          <w:tcPr>
            <w:tcW w:w="2376" w:type="dxa"/>
            <w:vMerge w:val="restart"/>
            <w:vAlign w:val="center"/>
          </w:tcPr>
          <w:p w14:paraId="2EE4C890" w14:textId="77777777" w:rsidR="00E54ED0" w:rsidRPr="00BA5304" w:rsidRDefault="00E54ED0" w:rsidP="00CE0C46">
            <w:pPr>
              <w:widowControl w:val="0"/>
              <w:spacing w:before="40" w:after="40"/>
              <w:ind w:left="113" w:right="113"/>
              <w:outlineLvl w:val="0"/>
              <w:rPr>
                <w:rFonts w:eastAsia="Calibri"/>
                <w:noProof/>
                <w:sz w:val="26"/>
                <w:szCs w:val="26"/>
              </w:rPr>
            </w:pPr>
            <w:bookmarkStart w:id="3" w:name="_Toc532486630"/>
            <w:r w:rsidRPr="00BA5304">
              <w:rPr>
                <w:rFonts w:eastAsia="Calibri"/>
                <w:noProof/>
                <w:sz w:val="26"/>
                <w:szCs w:val="26"/>
              </w:rPr>
              <w:t>4.2 Phương pháp thực hiện</w:t>
            </w:r>
            <w:bookmarkEnd w:id="3"/>
          </w:p>
        </w:tc>
        <w:tc>
          <w:tcPr>
            <w:tcW w:w="5557" w:type="dxa"/>
            <w:vAlign w:val="center"/>
          </w:tcPr>
          <w:p w14:paraId="19EF00E0"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Có thuyết minh phương pháp thực hiện gói thầu phù hợp với quy mô, tính chất gói thầu.</w:t>
            </w:r>
          </w:p>
        </w:tc>
        <w:tc>
          <w:tcPr>
            <w:tcW w:w="1848" w:type="dxa"/>
            <w:vAlign w:val="center"/>
          </w:tcPr>
          <w:p w14:paraId="01014C93"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20A23468" w14:textId="77777777" w:rsidTr="00EF472E">
        <w:trPr>
          <w:gridAfter w:val="1"/>
          <w:wAfter w:w="7" w:type="dxa"/>
          <w:trHeight w:val="20"/>
          <w:jc w:val="center"/>
        </w:trPr>
        <w:tc>
          <w:tcPr>
            <w:tcW w:w="2376" w:type="dxa"/>
            <w:vMerge/>
            <w:vAlign w:val="center"/>
          </w:tcPr>
          <w:p w14:paraId="0EA328C8"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2460343F"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Không có thuyết minh hoặc không phù hợp với quy mô, tính chất gói thầu.</w:t>
            </w:r>
          </w:p>
        </w:tc>
        <w:tc>
          <w:tcPr>
            <w:tcW w:w="1848" w:type="dxa"/>
            <w:vAlign w:val="center"/>
          </w:tcPr>
          <w:p w14:paraId="19C11DD5"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5709CF82" w14:textId="77777777" w:rsidTr="00EF472E">
        <w:trPr>
          <w:trHeight w:val="20"/>
          <w:jc w:val="center"/>
        </w:trPr>
        <w:tc>
          <w:tcPr>
            <w:tcW w:w="9788" w:type="dxa"/>
            <w:gridSpan w:val="4"/>
            <w:vAlign w:val="center"/>
          </w:tcPr>
          <w:p w14:paraId="09C14892" w14:textId="77777777" w:rsidR="00E54ED0" w:rsidRPr="00BA5304" w:rsidRDefault="00E54ED0" w:rsidP="00CE0C46">
            <w:pPr>
              <w:widowControl w:val="0"/>
              <w:spacing w:before="40" w:after="40"/>
              <w:ind w:left="113" w:right="113"/>
              <w:outlineLvl w:val="2"/>
              <w:rPr>
                <w:rFonts w:eastAsia="Calibri"/>
                <w:b/>
                <w:noProof/>
                <w:sz w:val="26"/>
                <w:szCs w:val="26"/>
                <w:lang w:val="fr-FR"/>
              </w:rPr>
            </w:pPr>
            <w:r w:rsidRPr="00BA5304">
              <w:rPr>
                <w:rFonts w:eastAsia="Calibri"/>
                <w:b/>
                <w:noProof/>
                <w:sz w:val="26"/>
                <w:szCs w:val="26"/>
              </w:rPr>
              <w:t>5. Tiến độ thực hiện gói thầu</w:t>
            </w:r>
          </w:p>
        </w:tc>
      </w:tr>
      <w:tr w:rsidR="00BA5304" w:rsidRPr="00BA5304" w14:paraId="25C2618F" w14:textId="77777777" w:rsidTr="00EF472E">
        <w:trPr>
          <w:gridAfter w:val="1"/>
          <w:wAfter w:w="7" w:type="dxa"/>
          <w:trHeight w:val="20"/>
          <w:jc w:val="center"/>
        </w:trPr>
        <w:tc>
          <w:tcPr>
            <w:tcW w:w="2376" w:type="dxa"/>
            <w:vMerge w:val="restart"/>
            <w:vAlign w:val="center"/>
          </w:tcPr>
          <w:p w14:paraId="2E6A94D8" w14:textId="77777777" w:rsidR="00E54ED0" w:rsidRPr="00BA5304" w:rsidRDefault="00E54ED0" w:rsidP="00CE0C46">
            <w:pPr>
              <w:widowControl w:val="0"/>
              <w:spacing w:before="40" w:after="40"/>
              <w:ind w:left="113" w:right="113"/>
              <w:outlineLvl w:val="0"/>
              <w:rPr>
                <w:rFonts w:eastAsia="Calibri"/>
                <w:noProof/>
                <w:sz w:val="26"/>
                <w:szCs w:val="26"/>
              </w:rPr>
            </w:pPr>
            <w:bookmarkStart w:id="4" w:name="_Toc532486631"/>
            <w:r w:rsidRPr="00BA5304">
              <w:rPr>
                <w:rFonts w:eastAsia="Calibri"/>
                <w:noProof/>
                <w:sz w:val="26"/>
                <w:szCs w:val="26"/>
              </w:rPr>
              <w:t>5.1 Đề xuất tiến độ thực hiện gói thầu</w:t>
            </w:r>
            <w:bookmarkEnd w:id="4"/>
          </w:p>
        </w:tc>
        <w:tc>
          <w:tcPr>
            <w:tcW w:w="5557" w:type="dxa"/>
            <w:vAlign w:val="center"/>
          </w:tcPr>
          <w:p w14:paraId="49DCDFC3" w14:textId="2BDD6F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 xml:space="preserve">Đề xuất thời gian thực hiện hợp đồng </w:t>
            </w:r>
            <w:r w:rsidR="00CB282E" w:rsidRPr="00BA5304">
              <w:rPr>
                <w:rFonts w:eastAsia="Calibri"/>
                <w:noProof/>
                <w:sz w:val="26"/>
                <w:szCs w:val="26"/>
              </w:rPr>
              <w:t>phù hợp yêu cầu gói thầu và dự án</w:t>
            </w:r>
          </w:p>
        </w:tc>
        <w:tc>
          <w:tcPr>
            <w:tcW w:w="1848" w:type="dxa"/>
            <w:vAlign w:val="center"/>
          </w:tcPr>
          <w:p w14:paraId="398105A5"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4A90E11D" w14:textId="77777777" w:rsidTr="00EF472E">
        <w:trPr>
          <w:gridAfter w:val="1"/>
          <w:wAfter w:w="7" w:type="dxa"/>
          <w:trHeight w:val="453"/>
          <w:jc w:val="center"/>
        </w:trPr>
        <w:tc>
          <w:tcPr>
            <w:tcW w:w="2376" w:type="dxa"/>
            <w:vMerge/>
            <w:vAlign w:val="center"/>
          </w:tcPr>
          <w:p w14:paraId="2D2583E4"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13418C9C"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 xml:space="preserve">Không đáp ứng yêu cầu trên </w:t>
            </w:r>
          </w:p>
        </w:tc>
        <w:tc>
          <w:tcPr>
            <w:tcW w:w="1848" w:type="dxa"/>
            <w:vAlign w:val="center"/>
          </w:tcPr>
          <w:p w14:paraId="54BBFAC9"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5D1D1922" w14:textId="77777777" w:rsidTr="00EF472E">
        <w:trPr>
          <w:trHeight w:val="20"/>
          <w:jc w:val="center"/>
        </w:trPr>
        <w:tc>
          <w:tcPr>
            <w:tcW w:w="9788" w:type="dxa"/>
            <w:gridSpan w:val="4"/>
            <w:vAlign w:val="center"/>
          </w:tcPr>
          <w:p w14:paraId="3318E52F" w14:textId="77777777" w:rsidR="00E54ED0" w:rsidRPr="00BA5304" w:rsidRDefault="00E54ED0" w:rsidP="00CE0C46">
            <w:pPr>
              <w:widowControl w:val="0"/>
              <w:spacing w:before="40" w:after="40"/>
              <w:ind w:left="113" w:right="113"/>
              <w:outlineLvl w:val="2"/>
              <w:rPr>
                <w:rFonts w:eastAsia="Calibri"/>
                <w:b/>
                <w:noProof/>
                <w:sz w:val="26"/>
                <w:szCs w:val="26"/>
                <w:lang w:val="fr-FR"/>
              </w:rPr>
            </w:pPr>
            <w:r w:rsidRPr="00BA5304">
              <w:rPr>
                <w:rFonts w:eastAsia="Calibri"/>
                <w:b/>
                <w:noProof/>
                <w:sz w:val="26"/>
                <w:szCs w:val="26"/>
                <w:lang w:val="fr-FR"/>
              </w:rPr>
              <w:t>6. An toàn lao động, phòng cháy chữa cháy và vệ sinh môi trường</w:t>
            </w:r>
          </w:p>
        </w:tc>
      </w:tr>
      <w:tr w:rsidR="00BA5304" w:rsidRPr="00BA5304" w14:paraId="1828859B" w14:textId="77777777" w:rsidTr="00EF472E">
        <w:trPr>
          <w:gridAfter w:val="1"/>
          <w:wAfter w:w="7" w:type="dxa"/>
          <w:trHeight w:val="20"/>
          <w:jc w:val="center"/>
        </w:trPr>
        <w:tc>
          <w:tcPr>
            <w:tcW w:w="2376" w:type="dxa"/>
            <w:vMerge w:val="restart"/>
            <w:vAlign w:val="center"/>
          </w:tcPr>
          <w:p w14:paraId="405A1E1E" w14:textId="77777777" w:rsidR="00E54ED0" w:rsidRPr="00BA5304" w:rsidRDefault="00E54ED0" w:rsidP="00CE0C46">
            <w:pPr>
              <w:widowControl w:val="0"/>
              <w:spacing w:before="40" w:after="40"/>
              <w:ind w:left="113" w:right="113"/>
              <w:outlineLvl w:val="0"/>
              <w:rPr>
                <w:rFonts w:eastAsia="Calibri"/>
                <w:noProof/>
                <w:sz w:val="26"/>
                <w:szCs w:val="26"/>
              </w:rPr>
            </w:pPr>
            <w:bookmarkStart w:id="5" w:name="_Toc532486632"/>
            <w:r w:rsidRPr="00BA5304">
              <w:rPr>
                <w:rFonts w:eastAsia="Calibri"/>
                <w:noProof/>
                <w:sz w:val="26"/>
                <w:szCs w:val="26"/>
              </w:rPr>
              <w:t>6.1 An toàn lao động</w:t>
            </w:r>
            <w:bookmarkEnd w:id="5"/>
          </w:p>
        </w:tc>
        <w:tc>
          <w:tcPr>
            <w:tcW w:w="5557" w:type="dxa"/>
            <w:vAlign w:val="center"/>
          </w:tcPr>
          <w:p w14:paraId="5C424CE6"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Có thuyết minh biện pháp an toàn lao động phù hợp với quy mô, tính chất gói thầu.</w:t>
            </w:r>
          </w:p>
        </w:tc>
        <w:tc>
          <w:tcPr>
            <w:tcW w:w="1848" w:type="dxa"/>
            <w:vAlign w:val="center"/>
          </w:tcPr>
          <w:p w14:paraId="768CF1E3"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1A603661" w14:textId="77777777" w:rsidTr="00EF472E">
        <w:trPr>
          <w:gridAfter w:val="1"/>
          <w:wAfter w:w="7" w:type="dxa"/>
          <w:trHeight w:val="20"/>
          <w:jc w:val="center"/>
        </w:trPr>
        <w:tc>
          <w:tcPr>
            <w:tcW w:w="2376" w:type="dxa"/>
            <w:vMerge/>
            <w:vAlign w:val="center"/>
          </w:tcPr>
          <w:p w14:paraId="659A53C3"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6C8C527A"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Không có thuyết minh biện pháp an toàn lao động hoặc không phù hợp với quy mô, tính chất gói thầu.</w:t>
            </w:r>
          </w:p>
        </w:tc>
        <w:tc>
          <w:tcPr>
            <w:tcW w:w="1848" w:type="dxa"/>
            <w:vAlign w:val="center"/>
          </w:tcPr>
          <w:p w14:paraId="5E450F13"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7E403499" w14:textId="77777777" w:rsidTr="00EF472E">
        <w:trPr>
          <w:gridAfter w:val="1"/>
          <w:wAfter w:w="7" w:type="dxa"/>
          <w:trHeight w:val="20"/>
          <w:jc w:val="center"/>
        </w:trPr>
        <w:tc>
          <w:tcPr>
            <w:tcW w:w="2376" w:type="dxa"/>
            <w:vMerge w:val="restart"/>
            <w:vAlign w:val="center"/>
          </w:tcPr>
          <w:p w14:paraId="7812DEFB" w14:textId="77777777" w:rsidR="00E54ED0" w:rsidRPr="00BA5304" w:rsidRDefault="00E54ED0" w:rsidP="00CE0C46">
            <w:pPr>
              <w:widowControl w:val="0"/>
              <w:spacing w:before="40" w:after="40"/>
              <w:ind w:left="113" w:right="113"/>
              <w:outlineLvl w:val="0"/>
              <w:rPr>
                <w:rFonts w:eastAsia="Calibri"/>
                <w:noProof/>
                <w:sz w:val="26"/>
                <w:szCs w:val="26"/>
              </w:rPr>
            </w:pPr>
            <w:bookmarkStart w:id="6" w:name="_Toc532486633"/>
            <w:r w:rsidRPr="00BA5304">
              <w:rPr>
                <w:rFonts w:eastAsia="Calibri"/>
                <w:noProof/>
                <w:sz w:val="26"/>
                <w:szCs w:val="26"/>
              </w:rPr>
              <w:t>6.2 Vệ sinh môi trường</w:t>
            </w:r>
            <w:bookmarkEnd w:id="6"/>
          </w:p>
        </w:tc>
        <w:tc>
          <w:tcPr>
            <w:tcW w:w="5557" w:type="dxa"/>
            <w:vAlign w:val="center"/>
          </w:tcPr>
          <w:p w14:paraId="070148C9" w14:textId="77777777" w:rsidR="00E54ED0" w:rsidRPr="00BA5304" w:rsidRDefault="00E54ED0" w:rsidP="00CE0C46">
            <w:pPr>
              <w:widowControl w:val="0"/>
              <w:spacing w:before="40" w:after="40"/>
              <w:ind w:left="113" w:right="113"/>
              <w:rPr>
                <w:rFonts w:eastAsia="Calibri"/>
                <w:noProof/>
                <w:sz w:val="26"/>
                <w:szCs w:val="26"/>
              </w:rPr>
            </w:pPr>
            <w:r w:rsidRPr="00BA5304">
              <w:rPr>
                <w:rFonts w:eastAsia="Calibri"/>
                <w:noProof/>
                <w:sz w:val="26"/>
                <w:szCs w:val="26"/>
              </w:rPr>
              <w:t>Có thuyết minh biện pháp đảm bảo vệ sinh môi trường phù hợp với quy mô, tính chất gói thầu.</w:t>
            </w:r>
          </w:p>
        </w:tc>
        <w:tc>
          <w:tcPr>
            <w:tcW w:w="1848" w:type="dxa"/>
            <w:vAlign w:val="center"/>
          </w:tcPr>
          <w:p w14:paraId="5751F566"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Đạt</w:t>
            </w:r>
          </w:p>
        </w:tc>
      </w:tr>
      <w:tr w:rsidR="00BA5304" w:rsidRPr="00BA5304" w14:paraId="1CA4D338" w14:textId="77777777" w:rsidTr="00EF472E">
        <w:trPr>
          <w:gridAfter w:val="1"/>
          <w:wAfter w:w="7" w:type="dxa"/>
          <w:trHeight w:val="20"/>
          <w:jc w:val="center"/>
        </w:trPr>
        <w:tc>
          <w:tcPr>
            <w:tcW w:w="2376" w:type="dxa"/>
            <w:vMerge/>
            <w:vAlign w:val="center"/>
          </w:tcPr>
          <w:p w14:paraId="002EDD07"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vAlign w:val="center"/>
          </w:tcPr>
          <w:p w14:paraId="20E20A5F" w14:textId="33DA6A4B" w:rsidR="00EF472E" w:rsidRPr="00BA5304" w:rsidRDefault="00E54ED0" w:rsidP="00CB282E">
            <w:pPr>
              <w:widowControl w:val="0"/>
              <w:spacing w:before="40" w:after="40"/>
              <w:ind w:left="113" w:right="113"/>
              <w:rPr>
                <w:rFonts w:eastAsia="Calibri"/>
                <w:noProof/>
                <w:sz w:val="26"/>
                <w:szCs w:val="26"/>
              </w:rPr>
            </w:pPr>
            <w:r w:rsidRPr="00BA5304">
              <w:rPr>
                <w:rFonts w:eastAsia="Calibri"/>
                <w:noProof/>
                <w:sz w:val="26"/>
                <w:szCs w:val="26"/>
              </w:rPr>
              <w:t>Không có thuyết minh biện pháp đảm bảo vệ sinh môi trường hoặc không phù hợp với quy mô, tính chất gói thầu.</w:t>
            </w:r>
          </w:p>
        </w:tc>
        <w:tc>
          <w:tcPr>
            <w:tcW w:w="1848" w:type="dxa"/>
            <w:vAlign w:val="center"/>
          </w:tcPr>
          <w:p w14:paraId="1AB4942A" w14:textId="77777777" w:rsidR="00E54ED0" w:rsidRPr="00BA5304" w:rsidRDefault="00E54ED0" w:rsidP="00CE0C46">
            <w:pPr>
              <w:widowControl w:val="0"/>
              <w:spacing w:before="40" w:after="40"/>
              <w:ind w:left="113" w:right="113"/>
              <w:jc w:val="center"/>
              <w:outlineLvl w:val="2"/>
              <w:rPr>
                <w:rFonts w:eastAsia="Calibri"/>
                <w:noProof/>
                <w:sz w:val="26"/>
                <w:szCs w:val="26"/>
                <w:lang w:val="fr-FR"/>
              </w:rPr>
            </w:pPr>
            <w:r w:rsidRPr="00BA5304">
              <w:rPr>
                <w:rFonts w:eastAsia="Calibri"/>
                <w:noProof/>
                <w:sz w:val="26"/>
                <w:szCs w:val="26"/>
                <w:lang w:val="fr-FR"/>
              </w:rPr>
              <w:t>Không đạt</w:t>
            </w:r>
          </w:p>
        </w:tc>
      </w:tr>
      <w:tr w:rsidR="00BA5304" w:rsidRPr="00BA5304" w14:paraId="31BD3E6E" w14:textId="77777777" w:rsidTr="00EF472E">
        <w:trPr>
          <w:trHeight w:val="20"/>
          <w:jc w:val="center"/>
        </w:trPr>
        <w:tc>
          <w:tcPr>
            <w:tcW w:w="9788" w:type="dxa"/>
            <w:gridSpan w:val="4"/>
            <w:vAlign w:val="center"/>
          </w:tcPr>
          <w:p w14:paraId="7A47DB84" w14:textId="77777777" w:rsidR="00E54ED0" w:rsidRPr="00BA5304" w:rsidRDefault="00E54ED0" w:rsidP="00CE0C46">
            <w:pPr>
              <w:widowControl w:val="0"/>
              <w:spacing w:before="40" w:after="40"/>
              <w:ind w:left="113" w:right="113"/>
              <w:outlineLvl w:val="2"/>
              <w:rPr>
                <w:rFonts w:eastAsia="Calibri"/>
                <w:b/>
                <w:noProof/>
                <w:sz w:val="26"/>
                <w:szCs w:val="26"/>
                <w:lang w:val="fr-FR"/>
              </w:rPr>
            </w:pPr>
            <w:r w:rsidRPr="00BA5304">
              <w:rPr>
                <w:rFonts w:eastAsia="Calibri"/>
                <w:b/>
                <w:noProof/>
                <w:sz w:val="26"/>
                <w:szCs w:val="26"/>
              </w:rPr>
              <w:t>7. Uy tín của nhà thầu</w:t>
            </w:r>
          </w:p>
        </w:tc>
      </w:tr>
      <w:tr w:rsidR="00BA5304" w:rsidRPr="00BA5304" w14:paraId="1AF03ECA" w14:textId="77777777" w:rsidTr="00EF472E">
        <w:trPr>
          <w:gridAfter w:val="1"/>
          <w:wAfter w:w="7" w:type="dxa"/>
          <w:trHeight w:val="20"/>
          <w:jc w:val="center"/>
        </w:trPr>
        <w:tc>
          <w:tcPr>
            <w:tcW w:w="2376" w:type="dxa"/>
            <w:vMerge w:val="restart"/>
            <w:vAlign w:val="center"/>
          </w:tcPr>
          <w:p w14:paraId="4410D5F5" w14:textId="121445F2" w:rsidR="00E54ED0" w:rsidRPr="00BA5304" w:rsidRDefault="00E54ED0" w:rsidP="00E8380F">
            <w:pPr>
              <w:widowControl w:val="0"/>
              <w:spacing w:before="40" w:after="40"/>
              <w:ind w:left="113" w:right="113"/>
              <w:rPr>
                <w:rFonts w:eastAsia="Calibri"/>
                <w:noProof/>
                <w:sz w:val="26"/>
                <w:szCs w:val="26"/>
              </w:rPr>
            </w:pPr>
            <w:r w:rsidRPr="00BA5304">
              <w:rPr>
                <w:rFonts w:eastAsia="Calibri"/>
                <w:noProof/>
                <w:sz w:val="26"/>
                <w:szCs w:val="26"/>
              </w:rPr>
              <w:t xml:space="preserve">Uy tín của nhà thầu </w:t>
            </w:r>
            <w:r w:rsidRPr="00BA5304">
              <w:rPr>
                <w:rFonts w:eastAsia="Calibri"/>
                <w:noProof/>
                <w:spacing w:val="2"/>
                <w:sz w:val="26"/>
                <w:szCs w:val="26"/>
              </w:rPr>
              <w:t xml:space="preserve">thông qua việc thực hiện các hợp đồng tương tự trước đó trong vòng </w:t>
            </w:r>
            <w:r w:rsidR="00E8380F" w:rsidRPr="00BA5304">
              <w:rPr>
                <w:rFonts w:eastAsia="Calibri"/>
                <w:noProof/>
                <w:spacing w:val="2"/>
                <w:sz w:val="26"/>
                <w:szCs w:val="26"/>
              </w:rPr>
              <w:t>3</w:t>
            </w:r>
            <w:r w:rsidRPr="00BA5304">
              <w:rPr>
                <w:rFonts w:eastAsia="Calibri"/>
                <w:noProof/>
                <w:spacing w:val="2"/>
                <w:sz w:val="26"/>
                <w:szCs w:val="26"/>
              </w:rPr>
              <w:t xml:space="preserve"> năm trở lại đây</w:t>
            </w:r>
            <w:r w:rsidRPr="00BA5304">
              <w:rPr>
                <w:rFonts w:eastAsia="Calibri"/>
                <w:noProof/>
                <w:sz w:val="26"/>
                <w:szCs w:val="26"/>
              </w:rPr>
              <w:t>.</w:t>
            </w:r>
          </w:p>
        </w:tc>
        <w:tc>
          <w:tcPr>
            <w:tcW w:w="5557" w:type="dxa"/>
          </w:tcPr>
          <w:p w14:paraId="2695CB45" w14:textId="140734B4" w:rsidR="00E54ED0" w:rsidRPr="00BA5304" w:rsidRDefault="00E54ED0" w:rsidP="00E8380F">
            <w:pPr>
              <w:widowControl w:val="0"/>
              <w:spacing w:before="40" w:after="40"/>
              <w:ind w:left="113" w:right="113"/>
              <w:outlineLvl w:val="2"/>
              <w:rPr>
                <w:rFonts w:eastAsia="Calibri"/>
                <w:noProof/>
                <w:sz w:val="26"/>
                <w:szCs w:val="26"/>
              </w:rPr>
            </w:pPr>
            <w:r w:rsidRPr="00BA5304">
              <w:rPr>
                <w:rFonts w:eastAsia="Calibri"/>
                <w:noProof/>
                <w:sz w:val="26"/>
                <w:szCs w:val="26"/>
              </w:rPr>
              <w:t>Không có hợp đồng tương tự chậm tiến độ hoặc bỏ dở do lỗi của nhà thầu</w:t>
            </w:r>
            <w:r w:rsidR="00E8380F" w:rsidRPr="00BA5304">
              <w:rPr>
                <w:rFonts w:eastAsia="Calibri"/>
                <w:noProof/>
                <w:sz w:val="26"/>
                <w:szCs w:val="26"/>
              </w:rPr>
              <w:t>.</w:t>
            </w:r>
            <w:r w:rsidRPr="00BA5304">
              <w:rPr>
                <w:rFonts w:eastAsia="Calibri"/>
                <w:noProof/>
                <w:sz w:val="26"/>
                <w:szCs w:val="26"/>
              </w:rPr>
              <w:t xml:space="preserve"> </w:t>
            </w:r>
          </w:p>
          <w:p w14:paraId="54ECE33B" w14:textId="061FFBB0" w:rsidR="00E8380F" w:rsidRPr="00BA5304" w:rsidRDefault="00E8380F" w:rsidP="00E8380F">
            <w:pPr>
              <w:widowControl w:val="0"/>
              <w:spacing w:before="40" w:after="40"/>
              <w:ind w:left="113" w:right="113"/>
              <w:outlineLvl w:val="2"/>
              <w:rPr>
                <w:rFonts w:eastAsia="Calibri"/>
                <w:noProof/>
                <w:sz w:val="26"/>
                <w:szCs w:val="26"/>
              </w:rPr>
            </w:pPr>
            <w:r w:rsidRPr="00BA5304">
              <w:rPr>
                <w:rFonts w:eastAsia="Calibri"/>
                <w:noProof/>
                <w:sz w:val="26"/>
                <w:szCs w:val="26"/>
              </w:rPr>
              <w:t xml:space="preserve">Nhà thầu đã hoàn thành tối thiểu 01 hợp đồng tương tự với tư cách là nhà thầu chính (độc lập hoặc thành viên liên danh) hoặc nhà thầu phụ trong khoảng thời gian kể từ ngày 01/01/2023 đến thời điểm đóng thầu. </w:t>
            </w:r>
          </w:p>
        </w:tc>
        <w:tc>
          <w:tcPr>
            <w:tcW w:w="1848" w:type="dxa"/>
            <w:vAlign w:val="center"/>
          </w:tcPr>
          <w:p w14:paraId="1ED6365D"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Đạt</w:t>
            </w:r>
          </w:p>
        </w:tc>
      </w:tr>
      <w:tr w:rsidR="00E54ED0" w:rsidRPr="00BA5304" w14:paraId="7FDFC837" w14:textId="77777777" w:rsidTr="00EF472E">
        <w:trPr>
          <w:gridAfter w:val="1"/>
          <w:wAfter w:w="7" w:type="dxa"/>
          <w:trHeight w:val="20"/>
          <w:jc w:val="center"/>
        </w:trPr>
        <w:tc>
          <w:tcPr>
            <w:tcW w:w="2376" w:type="dxa"/>
            <w:vMerge/>
            <w:vAlign w:val="center"/>
          </w:tcPr>
          <w:p w14:paraId="0DA59D48" w14:textId="77777777" w:rsidR="00E54ED0" w:rsidRPr="00BA5304" w:rsidRDefault="00E54ED0" w:rsidP="00CE0C46">
            <w:pPr>
              <w:widowControl w:val="0"/>
              <w:spacing w:before="40" w:after="40"/>
              <w:ind w:left="113" w:right="113"/>
              <w:outlineLvl w:val="0"/>
              <w:rPr>
                <w:rFonts w:eastAsia="Calibri"/>
                <w:noProof/>
                <w:sz w:val="26"/>
                <w:szCs w:val="26"/>
              </w:rPr>
            </w:pPr>
          </w:p>
        </w:tc>
        <w:tc>
          <w:tcPr>
            <w:tcW w:w="5557" w:type="dxa"/>
          </w:tcPr>
          <w:p w14:paraId="258F9B17" w14:textId="31BDE739" w:rsidR="00E54ED0" w:rsidRPr="00BA5304" w:rsidRDefault="00E54ED0" w:rsidP="00CE0C46">
            <w:pPr>
              <w:widowControl w:val="0"/>
              <w:spacing w:before="40" w:after="40"/>
              <w:ind w:left="113" w:right="113"/>
              <w:outlineLvl w:val="2"/>
              <w:rPr>
                <w:rFonts w:eastAsia="Calibri"/>
                <w:noProof/>
                <w:sz w:val="26"/>
                <w:szCs w:val="26"/>
              </w:rPr>
            </w:pPr>
            <w:r w:rsidRPr="00BA5304">
              <w:rPr>
                <w:rFonts w:eastAsia="Calibri"/>
                <w:noProof/>
                <w:sz w:val="26"/>
                <w:szCs w:val="26"/>
              </w:rPr>
              <w:t xml:space="preserve">Có hợp đồng tương tự chậm tiến độ hoặc bỏ dở do lỗi của nhà thầu và không có </w:t>
            </w:r>
            <w:r w:rsidR="001339E2" w:rsidRPr="00BA5304">
              <w:rPr>
                <w:rFonts w:eastAsia="Calibri"/>
                <w:noProof/>
                <w:sz w:val="26"/>
                <w:szCs w:val="26"/>
              </w:rPr>
              <w:t xml:space="preserve">tối thiểu 01 hợp đồng tương tự với tư cách là nhà thầu chính (độc lập hoặc thành viên liên danh) hoặc nhà thầu phụ trong khoảng thời gian kể từ ngày 01/01/2023 đến thời điểm đóng thầu. </w:t>
            </w:r>
          </w:p>
        </w:tc>
        <w:tc>
          <w:tcPr>
            <w:tcW w:w="1848" w:type="dxa"/>
            <w:vAlign w:val="center"/>
          </w:tcPr>
          <w:p w14:paraId="113D8338" w14:textId="77777777" w:rsidR="00E54ED0" w:rsidRPr="00BA5304" w:rsidRDefault="00E54ED0" w:rsidP="00CE0C46">
            <w:pPr>
              <w:widowControl w:val="0"/>
              <w:spacing w:before="40" w:after="40"/>
              <w:ind w:left="113" w:right="113"/>
              <w:jc w:val="center"/>
              <w:outlineLvl w:val="2"/>
              <w:rPr>
                <w:rFonts w:eastAsia="Calibri"/>
                <w:noProof/>
                <w:sz w:val="26"/>
                <w:szCs w:val="26"/>
              </w:rPr>
            </w:pPr>
            <w:r w:rsidRPr="00BA5304">
              <w:rPr>
                <w:rFonts w:eastAsia="Calibri"/>
                <w:noProof/>
                <w:sz w:val="26"/>
                <w:szCs w:val="26"/>
              </w:rPr>
              <w:t>Không đạt</w:t>
            </w:r>
          </w:p>
        </w:tc>
      </w:tr>
    </w:tbl>
    <w:p w14:paraId="03E89B07" w14:textId="77777777" w:rsidR="00E54ED0" w:rsidRPr="00BA5304" w:rsidRDefault="00E54ED0"/>
    <w:sectPr w:rsidR="00E54ED0" w:rsidRPr="00BA5304" w:rsidSect="003A3676">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ED0"/>
    <w:rsid w:val="00015217"/>
    <w:rsid w:val="0004055B"/>
    <w:rsid w:val="00041B45"/>
    <w:rsid w:val="0004770C"/>
    <w:rsid w:val="000C70B7"/>
    <w:rsid w:val="000D1BEF"/>
    <w:rsid w:val="000D3332"/>
    <w:rsid w:val="001339E2"/>
    <w:rsid w:val="00215E7A"/>
    <w:rsid w:val="003A3676"/>
    <w:rsid w:val="004666DB"/>
    <w:rsid w:val="004915ED"/>
    <w:rsid w:val="004F728F"/>
    <w:rsid w:val="00907769"/>
    <w:rsid w:val="0098722D"/>
    <w:rsid w:val="009B5FC2"/>
    <w:rsid w:val="00A527AB"/>
    <w:rsid w:val="00AA06F6"/>
    <w:rsid w:val="00AA2555"/>
    <w:rsid w:val="00B021BD"/>
    <w:rsid w:val="00BA5304"/>
    <w:rsid w:val="00BD4688"/>
    <w:rsid w:val="00C53CDF"/>
    <w:rsid w:val="00CB282E"/>
    <w:rsid w:val="00D656A8"/>
    <w:rsid w:val="00DE5074"/>
    <w:rsid w:val="00E54ED0"/>
    <w:rsid w:val="00E8380F"/>
    <w:rsid w:val="00EA1764"/>
    <w:rsid w:val="00ED0671"/>
    <w:rsid w:val="00EF4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D58E"/>
  <w15:chartTrackingRefBased/>
  <w15:docId w15:val="{28E37847-2ABB-4C42-84B6-D288ADCB7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54E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54ED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4ED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4ED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4ED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54ED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54ED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54ED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54ED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54ED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E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E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E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E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E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E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E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E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ED0"/>
    <w:rPr>
      <w:rFonts w:eastAsiaTheme="majorEastAsia" w:cstheme="majorBidi"/>
      <w:color w:val="272727" w:themeColor="text1" w:themeTint="D8"/>
    </w:rPr>
  </w:style>
  <w:style w:type="paragraph" w:styleId="Title">
    <w:name w:val="Title"/>
    <w:basedOn w:val="Normal"/>
    <w:next w:val="Normal"/>
    <w:link w:val="TitleChar"/>
    <w:uiPriority w:val="10"/>
    <w:qFormat/>
    <w:rsid w:val="00E54ED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4E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ED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4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ED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54ED0"/>
    <w:rPr>
      <w:i/>
      <w:iCs/>
      <w:color w:val="404040" w:themeColor="text1" w:themeTint="BF"/>
    </w:rPr>
  </w:style>
  <w:style w:type="paragraph" w:styleId="ListParagraph">
    <w:name w:val="List Paragraph"/>
    <w:basedOn w:val="Normal"/>
    <w:uiPriority w:val="34"/>
    <w:qFormat/>
    <w:rsid w:val="00E54ED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54ED0"/>
    <w:rPr>
      <w:i/>
      <w:iCs/>
      <w:color w:val="0F4761" w:themeColor="accent1" w:themeShade="BF"/>
    </w:rPr>
  </w:style>
  <w:style w:type="paragraph" w:styleId="IntenseQuote">
    <w:name w:val="Intense Quote"/>
    <w:basedOn w:val="Normal"/>
    <w:next w:val="Normal"/>
    <w:link w:val="IntenseQuoteChar"/>
    <w:uiPriority w:val="30"/>
    <w:qFormat/>
    <w:rsid w:val="00E54ED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54ED0"/>
    <w:rPr>
      <w:i/>
      <w:iCs/>
      <w:color w:val="0F4761" w:themeColor="accent1" w:themeShade="BF"/>
    </w:rPr>
  </w:style>
  <w:style w:type="character" w:styleId="IntenseReference">
    <w:name w:val="Intense Reference"/>
    <w:basedOn w:val="DefaultParagraphFont"/>
    <w:uiPriority w:val="32"/>
    <w:qFormat/>
    <w:rsid w:val="00E54E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Thành</dc:creator>
  <cp:keywords/>
  <dc:description/>
  <cp:lastModifiedBy>Nguyễn Thành</cp:lastModifiedBy>
  <cp:revision>8</cp:revision>
  <dcterms:created xsi:type="dcterms:W3CDTF">2025-12-15T09:14:00Z</dcterms:created>
  <dcterms:modified xsi:type="dcterms:W3CDTF">2025-12-16T03:28:00Z</dcterms:modified>
</cp:coreProperties>
</file>