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6B67B" w14:textId="493CBAAB" w:rsidR="004039AC" w:rsidRPr="00077EBA" w:rsidRDefault="004039AC" w:rsidP="004039AC">
      <w:pPr>
        <w:spacing w:before="120" w:after="120"/>
        <w:ind w:firstLine="709"/>
        <w:jc w:val="center"/>
        <w:outlineLvl w:val="1"/>
        <w:rPr>
          <w:rFonts w:eastAsia="MS Mincho"/>
          <w:b/>
          <w:sz w:val="28"/>
          <w:szCs w:val="28"/>
          <w:lang w:val="vi-VN" w:eastAsia="vi-VN"/>
        </w:rPr>
      </w:pPr>
      <w:r w:rsidRPr="00077EBA">
        <w:rPr>
          <w:b/>
          <w:bCs/>
          <w:sz w:val="28"/>
          <w:szCs w:val="28"/>
          <w:lang w:val="vi-VN"/>
        </w:rPr>
        <w:t xml:space="preserve">Mục </w:t>
      </w:r>
      <w:r w:rsidRPr="00077EBA">
        <w:rPr>
          <w:b/>
          <w:bCs/>
          <w:sz w:val="28"/>
          <w:szCs w:val="28"/>
          <w:lang w:val="pl-PL"/>
        </w:rPr>
        <w:t>3</w:t>
      </w:r>
      <w:r w:rsidRPr="00077EBA">
        <w:rPr>
          <w:b/>
          <w:bCs/>
          <w:sz w:val="28"/>
          <w:szCs w:val="28"/>
          <w:lang w:val="vi-VN"/>
        </w:rPr>
        <w:t>. Tiêu chuẩn đánh giá về kỹ thuật</w:t>
      </w:r>
    </w:p>
    <w:p w14:paraId="14937596" w14:textId="77777777" w:rsidR="004039AC" w:rsidRPr="00077EBA" w:rsidRDefault="004039AC" w:rsidP="004039AC">
      <w:pPr>
        <w:spacing w:before="120" w:after="120"/>
        <w:ind w:firstLine="709"/>
        <w:rPr>
          <w:spacing w:val="2"/>
          <w:sz w:val="26"/>
          <w:szCs w:val="26"/>
          <w:lang w:val="vi-VN"/>
        </w:rPr>
      </w:pPr>
      <w:bookmarkStart w:id="0" w:name="_Hlk99723051"/>
      <w:r w:rsidRPr="00077EBA">
        <w:rPr>
          <w:spacing w:val="2"/>
          <w:sz w:val="26"/>
          <w:szCs w:val="26"/>
          <w:lang w:val="vi-VN"/>
        </w:rPr>
        <w:t xml:space="preserve">Sử dụng tiêu chí đạt/không đạt để xây dựng tiêu chuẩn đánh giá về kỹ thuật. </w:t>
      </w:r>
    </w:p>
    <w:p w14:paraId="7812BA5B" w14:textId="77777777" w:rsidR="004039AC" w:rsidRPr="00077EBA" w:rsidRDefault="004039AC" w:rsidP="004039AC">
      <w:pPr>
        <w:spacing w:before="120" w:after="120"/>
        <w:ind w:firstLine="709"/>
        <w:rPr>
          <w:spacing w:val="2"/>
          <w:sz w:val="26"/>
          <w:szCs w:val="26"/>
          <w:lang w:val="vi-VN"/>
        </w:rPr>
      </w:pPr>
      <w:r w:rsidRPr="00077EBA">
        <w:rPr>
          <w:spacing w:val="2"/>
          <w:sz w:val="26"/>
          <w:szCs w:val="26"/>
          <w:lang w:val="vi-VN"/>
        </w:rPr>
        <w:t>Việc xây dựng tiêu chuẩn đánh giá về kỹ thuật dựa trên yêu cầu về các sản phẩm đầu ra được nêu tại Chương V</w:t>
      </w:r>
      <w:r w:rsidRPr="00077EBA">
        <w:rPr>
          <w:spacing w:val="2"/>
          <w:sz w:val="26"/>
          <w:szCs w:val="26"/>
          <w:lang w:val="nl-NL"/>
        </w:rPr>
        <w:t xml:space="preserve">, </w:t>
      </w:r>
      <w:r w:rsidRPr="00077EBA">
        <w:rPr>
          <w:spacing w:val="2"/>
          <w:sz w:val="26"/>
          <w:szCs w:val="26"/>
          <w:lang w:val="vi-VN"/>
        </w:rPr>
        <w:t>thông tin về kết quả thực hiện hợp đồng của nhà thầu theo quy định tại Điều 19 và Điều 20 của Nghị định số 214/2025/NĐ-CP</w:t>
      </w:r>
      <w:r w:rsidRPr="00077EBA">
        <w:rPr>
          <w:spacing w:val="2"/>
          <w:sz w:val="26"/>
          <w:szCs w:val="26"/>
          <w:lang w:val="nl-NL"/>
        </w:rPr>
        <w:t xml:space="preserve"> và các yêu cầu khác nêu trong </w:t>
      </w:r>
      <w:bookmarkStart w:id="1" w:name="_Hlk161851530"/>
      <w:r w:rsidRPr="00077EBA">
        <w:rPr>
          <w:spacing w:val="2"/>
          <w:sz w:val="26"/>
          <w:szCs w:val="26"/>
          <w:lang w:val="vi-VN"/>
        </w:rPr>
        <w:t>E-HSMT</w:t>
      </w:r>
      <w:bookmarkEnd w:id="1"/>
      <w:r w:rsidRPr="00077EBA">
        <w:rPr>
          <w:spacing w:val="2"/>
          <w:sz w:val="26"/>
          <w:szCs w:val="26"/>
          <w:lang w:val="vi-VN"/>
        </w:rPr>
        <w:t xml:space="preserve">. </w:t>
      </w:r>
      <w:bookmarkEnd w:id="0"/>
    </w:p>
    <w:tbl>
      <w:tblPr>
        <w:tblW w:w="489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818"/>
        <w:gridCol w:w="2233"/>
        <w:gridCol w:w="3325"/>
        <w:gridCol w:w="2774"/>
      </w:tblGrid>
      <w:tr w:rsidR="00077EBA" w:rsidRPr="00077EBA" w14:paraId="1307AE81" w14:textId="77777777" w:rsidTr="00F1249E">
        <w:trPr>
          <w:trHeight w:val="20"/>
          <w:tblHeader/>
          <w:jc w:val="center"/>
        </w:trPr>
        <w:tc>
          <w:tcPr>
            <w:tcW w:w="447" w:type="pct"/>
            <w:vMerge w:val="restart"/>
            <w:tcBorders>
              <w:top w:val="single" w:sz="2" w:space="0" w:color="auto"/>
              <w:left w:val="single" w:sz="2" w:space="0" w:color="auto"/>
              <w:bottom w:val="single" w:sz="2" w:space="0" w:color="auto"/>
              <w:right w:val="single" w:sz="2" w:space="0" w:color="auto"/>
            </w:tcBorders>
            <w:vAlign w:val="center"/>
          </w:tcPr>
          <w:p w14:paraId="01841E1D" w14:textId="77777777" w:rsidR="004039AC" w:rsidRPr="00077EBA" w:rsidRDefault="004039AC" w:rsidP="00F1249E">
            <w:pPr>
              <w:widowControl w:val="0"/>
              <w:spacing w:line="202" w:lineRule="auto"/>
              <w:jc w:val="center"/>
              <w:rPr>
                <w:rFonts w:eastAsia="Courier New"/>
                <w:b/>
                <w:sz w:val="26"/>
                <w:szCs w:val="26"/>
                <w:lang w:eastAsia="vi-VN"/>
              </w:rPr>
            </w:pPr>
            <w:r w:rsidRPr="00077EBA">
              <w:rPr>
                <w:rFonts w:eastAsia="Courier New"/>
                <w:b/>
                <w:sz w:val="26"/>
                <w:szCs w:val="26"/>
                <w:lang w:val="vi-VN" w:eastAsia="vi-VN"/>
              </w:rPr>
              <w:t>TT</w:t>
            </w:r>
          </w:p>
        </w:tc>
        <w:tc>
          <w:tcPr>
            <w:tcW w:w="1219" w:type="pct"/>
            <w:vMerge w:val="restart"/>
            <w:tcBorders>
              <w:top w:val="single" w:sz="2" w:space="0" w:color="auto"/>
              <w:left w:val="single" w:sz="2" w:space="0" w:color="auto"/>
              <w:bottom w:val="single" w:sz="2" w:space="0" w:color="auto"/>
              <w:right w:val="single" w:sz="2" w:space="0" w:color="auto"/>
            </w:tcBorders>
            <w:vAlign w:val="center"/>
          </w:tcPr>
          <w:p w14:paraId="4483E520" w14:textId="77777777" w:rsidR="004039AC" w:rsidRPr="00077EBA" w:rsidRDefault="004039AC" w:rsidP="00F1249E">
            <w:pPr>
              <w:widowControl w:val="0"/>
              <w:spacing w:line="202" w:lineRule="auto"/>
              <w:jc w:val="center"/>
              <w:rPr>
                <w:rFonts w:eastAsia="Courier New"/>
                <w:b/>
                <w:sz w:val="26"/>
                <w:szCs w:val="26"/>
                <w:lang w:val="vi-VN" w:eastAsia="vi-VN"/>
              </w:rPr>
            </w:pPr>
            <w:r w:rsidRPr="00077EBA">
              <w:rPr>
                <w:rFonts w:eastAsia="Courier New"/>
                <w:b/>
                <w:sz w:val="26"/>
                <w:szCs w:val="26"/>
                <w:lang w:val="vi-VN" w:eastAsia="vi-VN"/>
              </w:rPr>
              <w:t xml:space="preserve">Nội dung </w:t>
            </w:r>
            <w:r w:rsidRPr="00077EBA">
              <w:rPr>
                <w:rFonts w:eastAsia="Courier New"/>
                <w:b/>
                <w:sz w:val="26"/>
                <w:szCs w:val="26"/>
                <w:lang w:eastAsia="vi-VN"/>
              </w:rPr>
              <w:t>yêu</w:t>
            </w:r>
            <w:r w:rsidRPr="00077EBA">
              <w:rPr>
                <w:rFonts w:eastAsia="Courier New"/>
                <w:b/>
                <w:sz w:val="26"/>
                <w:szCs w:val="26"/>
                <w:lang w:val="vi-VN" w:eastAsia="vi-VN"/>
              </w:rPr>
              <w:t xml:space="preserve"> cầu</w:t>
            </w:r>
          </w:p>
        </w:tc>
        <w:tc>
          <w:tcPr>
            <w:tcW w:w="3333" w:type="pct"/>
            <w:gridSpan w:val="2"/>
            <w:tcBorders>
              <w:top w:val="single" w:sz="2" w:space="0" w:color="auto"/>
              <w:left w:val="single" w:sz="2" w:space="0" w:color="auto"/>
              <w:bottom w:val="single" w:sz="2" w:space="0" w:color="auto"/>
              <w:right w:val="single" w:sz="2" w:space="0" w:color="auto"/>
            </w:tcBorders>
            <w:vAlign w:val="center"/>
          </w:tcPr>
          <w:p w14:paraId="12F9C503" w14:textId="77777777" w:rsidR="004039AC" w:rsidRPr="00077EBA" w:rsidRDefault="004039AC" w:rsidP="00F1249E">
            <w:pPr>
              <w:widowControl w:val="0"/>
              <w:spacing w:line="202" w:lineRule="auto"/>
              <w:jc w:val="center"/>
              <w:rPr>
                <w:rFonts w:eastAsia="Courier New"/>
                <w:b/>
                <w:sz w:val="26"/>
                <w:szCs w:val="26"/>
                <w:lang w:val="vi-VN" w:eastAsia="vi-VN"/>
              </w:rPr>
            </w:pPr>
            <w:r w:rsidRPr="00077EBA">
              <w:rPr>
                <w:rFonts w:eastAsia="Courier New"/>
                <w:b/>
                <w:sz w:val="26"/>
                <w:szCs w:val="26"/>
                <w:lang w:val="vi-VN" w:eastAsia="vi-VN"/>
              </w:rPr>
              <w:t>Mức độ đáp ứng</w:t>
            </w:r>
          </w:p>
        </w:tc>
      </w:tr>
      <w:tr w:rsidR="00077EBA" w:rsidRPr="00077EBA" w14:paraId="0387C291" w14:textId="77777777" w:rsidTr="00F1249E">
        <w:trPr>
          <w:trHeight w:val="20"/>
          <w:tblHeader/>
          <w:jc w:val="center"/>
        </w:trPr>
        <w:tc>
          <w:tcPr>
            <w:tcW w:w="447" w:type="pct"/>
            <w:vMerge/>
            <w:tcBorders>
              <w:top w:val="single" w:sz="2" w:space="0" w:color="auto"/>
              <w:left w:val="single" w:sz="2" w:space="0" w:color="auto"/>
              <w:bottom w:val="single" w:sz="2" w:space="0" w:color="auto"/>
              <w:right w:val="single" w:sz="2" w:space="0" w:color="auto"/>
            </w:tcBorders>
            <w:vAlign w:val="center"/>
          </w:tcPr>
          <w:p w14:paraId="28BE36FF" w14:textId="77777777" w:rsidR="004039AC" w:rsidRPr="00077EBA" w:rsidRDefault="004039AC" w:rsidP="00F1249E">
            <w:pPr>
              <w:spacing w:line="202" w:lineRule="auto"/>
              <w:rPr>
                <w:rFonts w:eastAsia="Courier New"/>
                <w:b/>
                <w:sz w:val="26"/>
                <w:szCs w:val="26"/>
                <w:lang w:val="vi-VN" w:eastAsia="vi-VN"/>
              </w:rPr>
            </w:pPr>
          </w:p>
        </w:tc>
        <w:tc>
          <w:tcPr>
            <w:tcW w:w="1219" w:type="pct"/>
            <w:vMerge/>
            <w:tcBorders>
              <w:top w:val="single" w:sz="2" w:space="0" w:color="auto"/>
              <w:left w:val="single" w:sz="2" w:space="0" w:color="auto"/>
              <w:bottom w:val="single" w:sz="2" w:space="0" w:color="auto"/>
              <w:right w:val="single" w:sz="2" w:space="0" w:color="auto"/>
            </w:tcBorders>
            <w:vAlign w:val="center"/>
          </w:tcPr>
          <w:p w14:paraId="2450ADF4" w14:textId="77777777" w:rsidR="004039AC" w:rsidRPr="00077EBA" w:rsidRDefault="004039AC" w:rsidP="00F1249E">
            <w:pPr>
              <w:spacing w:line="202" w:lineRule="auto"/>
              <w:rPr>
                <w:rFonts w:eastAsia="Courier New"/>
                <w:b/>
                <w:sz w:val="26"/>
                <w:szCs w:val="26"/>
                <w:lang w:val="vi-VN" w:eastAsia="vi-VN"/>
              </w:rPr>
            </w:pPr>
          </w:p>
        </w:tc>
        <w:tc>
          <w:tcPr>
            <w:tcW w:w="1817" w:type="pct"/>
            <w:tcBorders>
              <w:top w:val="single" w:sz="2" w:space="0" w:color="auto"/>
              <w:left w:val="single" w:sz="2" w:space="0" w:color="auto"/>
              <w:bottom w:val="single" w:sz="2" w:space="0" w:color="auto"/>
              <w:right w:val="single" w:sz="2" w:space="0" w:color="auto"/>
            </w:tcBorders>
            <w:vAlign w:val="center"/>
          </w:tcPr>
          <w:p w14:paraId="462E30E6" w14:textId="77777777" w:rsidR="004039AC" w:rsidRPr="00077EBA" w:rsidRDefault="004039AC" w:rsidP="00F1249E">
            <w:pPr>
              <w:widowControl w:val="0"/>
              <w:spacing w:line="202" w:lineRule="auto"/>
              <w:jc w:val="center"/>
              <w:rPr>
                <w:rFonts w:eastAsia="Courier New"/>
                <w:b/>
                <w:sz w:val="26"/>
                <w:szCs w:val="26"/>
                <w:lang w:val="vi-VN" w:eastAsia="vi-VN"/>
              </w:rPr>
            </w:pPr>
            <w:r w:rsidRPr="00077EBA">
              <w:rPr>
                <w:rFonts w:eastAsia="Courier New"/>
                <w:b/>
                <w:sz w:val="26"/>
                <w:szCs w:val="26"/>
                <w:lang w:val="vi-VN" w:eastAsia="vi-VN"/>
              </w:rPr>
              <w:t>Đạt</w:t>
            </w:r>
          </w:p>
        </w:tc>
        <w:tc>
          <w:tcPr>
            <w:tcW w:w="1516" w:type="pct"/>
            <w:tcBorders>
              <w:top w:val="single" w:sz="2" w:space="0" w:color="auto"/>
              <w:left w:val="single" w:sz="2" w:space="0" w:color="auto"/>
              <w:bottom w:val="single" w:sz="2" w:space="0" w:color="auto"/>
              <w:right w:val="single" w:sz="2" w:space="0" w:color="auto"/>
            </w:tcBorders>
            <w:vAlign w:val="center"/>
          </w:tcPr>
          <w:p w14:paraId="7516B76D" w14:textId="77777777" w:rsidR="004039AC" w:rsidRPr="00077EBA" w:rsidRDefault="004039AC" w:rsidP="00F1249E">
            <w:pPr>
              <w:widowControl w:val="0"/>
              <w:spacing w:line="202" w:lineRule="auto"/>
              <w:jc w:val="center"/>
              <w:rPr>
                <w:rFonts w:eastAsia="Courier New"/>
                <w:b/>
                <w:sz w:val="26"/>
                <w:szCs w:val="26"/>
                <w:lang w:val="vi-VN" w:eastAsia="vi-VN"/>
              </w:rPr>
            </w:pPr>
            <w:r w:rsidRPr="00077EBA">
              <w:rPr>
                <w:rFonts w:eastAsia="Courier New"/>
                <w:b/>
                <w:sz w:val="26"/>
                <w:szCs w:val="26"/>
                <w:lang w:val="vi-VN" w:eastAsia="vi-VN"/>
              </w:rPr>
              <w:t>Không đạt</w:t>
            </w:r>
          </w:p>
        </w:tc>
      </w:tr>
      <w:tr w:rsidR="00077EBA" w:rsidRPr="00077EBA" w14:paraId="227FFDF0" w14:textId="77777777" w:rsidTr="00F1249E">
        <w:trPr>
          <w:trHeight w:val="20"/>
          <w:tblHeader/>
          <w:jc w:val="center"/>
        </w:trPr>
        <w:tc>
          <w:tcPr>
            <w:tcW w:w="447" w:type="pct"/>
            <w:tcBorders>
              <w:top w:val="single" w:sz="2" w:space="0" w:color="auto"/>
              <w:left w:val="single" w:sz="2" w:space="0" w:color="auto"/>
              <w:bottom w:val="single" w:sz="2" w:space="0" w:color="auto"/>
              <w:right w:val="single" w:sz="2" w:space="0" w:color="auto"/>
            </w:tcBorders>
            <w:vAlign w:val="center"/>
          </w:tcPr>
          <w:p w14:paraId="0A3FF2CC" w14:textId="77777777" w:rsidR="004039AC" w:rsidRPr="00077EBA" w:rsidRDefault="004039AC" w:rsidP="00F1249E">
            <w:pPr>
              <w:widowControl w:val="0"/>
              <w:spacing w:line="202" w:lineRule="auto"/>
              <w:jc w:val="center"/>
              <w:rPr>
                <w:rFonts w:eastAsia="Courier New"/>
                <w:sz w:val="26"/>
                <w:szCs w:val="26"/>
                <w:lang w:val="vi-VN" w:eastAsia="vi-VN"/>
              </w:rPr>
            </w:pPr>
            <w:r w:rsidRPr="00077EBA">
              <w:rPr>
                <w:rFonts w:eastAsia="Courier New"/>
                <w:sz w:val="26"/>
                <w:szCs w:val="26"/>
                <w:lang w:val="vi-VN" w:eastAsia="vi-VN"/>
              </w:rPr>
              <w:t>(1)</w:t>
            </w:r>
          </w:p>
        </w:tc>
        <w:tc>
          <w:tcPr>
            <w:tcW w:w="1219" w:type="pct"/>
            <w:tcBorders>
              <w:top w:val="single" w:sz="2" w:space="0" w:color="auto"/>
              <w:left w:val="single" w:sz="2" w:space="0" w:color="auto"/>
              <w:bottom w:val="single" w:sz="2" w:space="0" w:color="auto"/>
              <w:right w:val="single" w:sz="2" w:space="0" w:color="auto"/>
            </w:tcBorders>
            <w:vAlign w:val="center"/>
          </w:tcPr>
          <w:p w14:paraId="52521F7A" w14:textId="77777777" w:rsidR="004039AC" w:rsidRPr="00077EBA" w:rsidRDefault="004039AC" w:rsidP="00F1249E">
            <w:pPr>
              <w:widowControl w:val="0"/>
              <w:spacing w:line="202" w:lineRule="auto"/>
              <w:jc w:val="center"/>
              <w:rPr>
                <w:rFonts w:eastAsia="Courier New"/>
                <w:sz w:val="26"/>
                <w:szCs w:val="26"/>
                <w:lang w:val="vi-VN" w:eastAsia="vi-VN"/>
              </w:rPr>
            </w:pPr>
            <w:r w:rsidRPr="00077EBA">
              <w:rPr>
                <w:rFonts w:eastAsia="Courier New"/>
                <w:sz w:val="26"/>
                <w:szCs w:val="26"/>
                <w:lang w:val="vi-VN" w:eastAsia="vi-VN"/>
              </w:rPr>
              <w:t>(2)</w:t>
            </w:r>
          </w:p>
        </w:tc>
        <w:tc>
          <w:tcPr>
            <w:tcW w:w="1817" w:type="pct"/>
            <w:tcBorders>
              <w:top w:val="single" w:sz="2" w:space="0" w:color="auto"/>
              <w:left w:val="single" w:sz="2" w:space="0" w:color="auto"/>
              <w:bottom w:val="single" w:sz="2" w:space="0" w:color="auto"/>
              <w:right w:val="single" w:sz="2" w:space="0" w:color="auto"/>
            </w:tcBorders>
            <w:vAlign w:val="center"/>
          </w:tcPr>
          <w:p w14:paraId="338E5AF8" w14:textId="77777777" w:rsidR="004039AC" w:rsidRPr="00077EBA" w:rsidRDefault="004039AC" w:rsidP="00F1249E">
            <w:pPr>
              <w:widowControl w:val="0"/>
              <w:spacing w:line="202" w:lineRule="auto"/>
              <w:jc w:val="center"/>
              <w:rPr>
                <w:rFonts w:eastAsia="Courier New"/>
                <w:sz w:val="26"/>
                <w:szCs w:val="26"/>
                <w:lang w:val="vi-VN" w:eastAsia="vi-VN"/>
              </w:rPr>
            </w:pPr>
            <w:r w:rsidRPr="00077EBA">
              <w:rPr>
                <w:rFonts w:eastAsia="Courier New"/>
                <w:sz w:val="26"/>
                <w:szCs w:val="26"/>
                <w:lang w:val="vi-VN" w:eastAsia="vi-VN"/>
              </w:rPr>
              <w:t>(3)</w:t>
            </w:r>
          </w:p>
        </w:tc>
        <w:tc>
          <w:tcPr>
            <w:tcW w:w="1516" w:type="pct"/>
            <w:tcBorders>
              <w:top w:val="single" w:sz="2" w:space="0" w:color="auto"/>
              <w:left w:val="single" w:sz="2" w:space="0" w:color="auto"/>
              <w:bottom w:val="single" w:sz="2" w:space="0" w:color="auto"/>
              <w:right w:val="single" w:sz="2" w:space="0" w:color="auto"/>
            </w:tcBorders>
            <w:vAlign w:val="center"/>
          </w:tcPr>
          <w:p w14:paraId="7744B927" w14:textId="77777777" w:rsidR="004039AC" w:rsidRPr="00077EBA" w:rsidRDefault="004039AC" w:rsidP="00F1249E">
            <w:pPr>
              <w:widowControl w:val="0"/>
              <w:spacing w:line="202" w:lineRule="auto"/>
              <w:jc w:val="center"/>
              <w:rPr>
                <w:rFonts w:eastAsia="Courier New"/>
                <w:sz w:val="26"/>
                <w:szCs w:val="26"/>
                <w:lang w:val="vi-VN" w:eastAsia="vi-VN"/>
              </w:rPr>
            </w:pPr>
            <w:r w:rsidRPr="00077EBA">
              <w:rPr>
                <w:rFonts w:eastAsia="Courier New"/>
                <w:sz w:val="26"/>
                <w:szCs w:val="26"/>
                <w:lang w:val="vi-VN" w:eastAsia="vi-VN"/>
              </w:rPr>
              <w:t>(4)</w:t>
            </w:r>
          </w:p>
        </w:tc>
      </w:tr>
      <w:tr w:rsidR="00077EBA" w:rsidRPr="00077EBA" w14:paraId="4D4A9693" w14:textId="77777777" w:rsidTr="00F1249E">
        <w:trPr>
          <w:trHeight w:val="529"/>
          <w:jc w:val="center"/>
        </w:trPr>
        <w:tc>
          <w:tcPr>
            <w:tcW w:w="447" w:type="pct"/>
            <w:tcBorders>
              <w:top w:val="single" w:sz="2" w:space="0" w:color="auto"/>
              <w:left w:val="single" w:sz="2" w:space="0" w:color="auto"/>
              <w:bottom w:val="single" w:sz="2" w:space="0" w:color="auto"/>
              <w:right w:val="single" w:sz="2" w:space="0" w:color="auto"/>
            </w:tcBorders>
            <w:vAlign w:val="center"/>
          </w:tcPr>
          <w:p w14:paraId="233DA1E7" w14:textId="77777777" w:rsidR="004039AC" w:rsidRPr="00077EBA" w:rsidRDefault="004039AC" w:rsidP="00F1249E">
            <w:pPr>
              <w:widowControl w:val="0"/>
              <w:spacing w:line="202" w:lineRule="auto"/>
              <w:jc w:val="center"/>
              <w:rPr>
                <w:rFonts w:eastAsia="Courier New"/>
                <w:b/>
                <w:sz w:val="26"/>
                <w:szCs w:val="26"/>
                <w:lang w:val="vi-VN" w:eastAsia="vi-VN"/>
              </w:rPr>
            </w:pPr>
            <w:r w:rsidRPr="00077EBA">
              <w:rPr>
                <w:rFonts w:eastAsia="Courier New"/>
                <w:b/>
                <w:sz w:val="26"/>
                <w:szCs w:val="26"/>
                <w:lang w:val="vi-VN" w:eastAsia="vi-VN"/>
              </w:rPr>
              <w:t>I</w:t>
            </w:r>
          </w:p>
        </w:tc>
        <w:tc>
          <w:tcPr>
            <w:tcW w:w="4553" w:type="pct"/>
            <w:gridSpan w:val="3"/>
            <w:tcBorders>
              <w:top w:val="single" w:sz="2" w:space="0" w:color="auto"/>
              <w:left w:val="single" w:sz="2" w:space="0" w:color="auto"/>
              <w:bottom w:val="single" w:sz="2" w:space="0" w:color="auto"/>
              <w:right w:val="single" w:sz="2" w:space="0" w:color="auto"/>
            </w:tcBorders>
            <w:vAlign w:val="center"/>
          </w:tcPr>
          <w:p w14:paraId="0E78D9DC" w14:textId="77777777" w:rsidR="004039AC" w:rsidRPr="00077EBA" w:rsidRDefault="004039AC" w:rsidP="00F1249E">
            <w:pPr>
              <w:widowControl w:val="0"/>
              <w:spacing w:line="202" w:lineRule="auto"/>
              <w:rPr>
                <w:rFonts w:eastAsia="Courier New"/>
                <w:b/>
                <w:sz w:val="26"/>
                <w:szCs w:val="26"/>
                <w:lang w:val="vi-VN" w:eastAsia="vi-VN"/>
              </w:rPr>
            </w:pPr>
            <w:r w:rsidRPr="00077EBA">
              <w:rPr>
                <w:rFonts w:eastAsia="Courier New"/>
                <w:b/>
                <w:sz w:val="26"/>
                <w:szCs w:val="26"/>
                <w:lang w:val="vi-VN" w:eastAsia="vi-VN"/>
              </w:rPr>
              <w:t>Tính hiệu quả của việc cung cấp dịch vụ</w:t>
            </w:r>
          </w:p>
        </w:tc>
      </w:tr>
      <w:tr w:rsidR="00077EBA" w:rsidRPr="00077EBA" w14:paraId="033117D2" w14:textId="77777777" w:rsidTr="00F1249E">
        <w:trPr>
          <w:trHeight w:val="1405"/>
          <w:jc w:val="center"/>
        </w:trPr>
        <w:tc>
          <w:tcPr>
            <w:tcW w:w="447" w:type="pct"/>
            <w:tcBorders>
              <w:top w:val="single" w:sz="2" w:space="0" w:color="auto"/>
              <w:left w:val="single" w:sz="2" w:space="0" w:color="auto"/>
              <w:bottom w:val="single" w:sz="2" w:space="0" w:color="auto"/>
              <w:right w:val="single" w:sz="2" w:space="0" w:color="auto"/>
            </w:tcBorders>
            <w:vAlign w:val="center"/>
          </w:tcPr>
          <w:p w14:paraId="417F7472" w14:textId="77777777" w:rsidR="004039AC" w:rsidRPr="00077EBA" w:rsidRDefault="004039AC" w:rsidP="00F1249E">
            <w:pPr>
              <w:widowControl w:val="0"/>
              <w:spacing w:line="202" w:lineRule="auto"/>
              <w:jc w:val="center"/>
              <w:rPr>
                <w:rFonts w:eastAsia="Courier New"/>
                <w:sz w:val="26"/>
                <w:szCs w:val="26"/>
                <w:lang w:val="vi-VN" w:eastAsia="vi-VN"/>
              </w:rPr>
            </w:pPr>
            <w:r w:rsidRPr="00077EBA">
              <w:rPr>
                <w:rFonts w:eastAsia="Courier New"/>
                <w:sz w:val="26"/>
                <w:szCs w:val="26"/>
                <w:lang w:val="vi-VN" w:eastAsia="vi-VN"/>
              </w:rPr>
              <w:t>1</w:t>
            </w:r>
          </w:p>
        </w:tc>
        <w:tc>
          <w:tcPr>
            <w:tcW w:w="1219" w:type="pct"/>
            <w:tcBorders>
              <w:top w:val="single" w:sz="2" w:space="0" w:color="auto"/>
              <w:left w:val="single" w:sz="2" w:space="0" w:color="auto"/>
              <w:bottom w:val="single" w:sz="2" w:space="0" w:color="auto"/>
              <w:right w:val="single" w:sz="2" w:space="0" w:color="auto"/>
            </w:tcBorders>
            <w:vAlign w:val="center"/>
          </w:tcPr>
          <w:p w14:paraId="51A31A98" w14:textId="77777777" w:rsidR="004039AC" w:rsidRPr="00077EBA" w:rsidRDefault="004039AC" w:rsidP="00F1249E">
            <w:pPr>
              <w:spacing w:line="202" w:lineRule="auto"/>
              <w:rPr>
                <w:sz w:val="26"/>
                <w:szCs w:val="26"/>
                <w:lang w:val="vi-VN"/>
              </w:rPr>
            </w:pPr>
            <w:r w:rsidRPr="00077EBA">
              <w:rPr>
                <w:sz w:val="26"/>
                <w:szCs w:val="26"/>
                <w:lang w:val="vi-VN"/>
              </w:rPr>
              <w:t>Tính hiệu quả của việc thực hiện gói thầu</w:t>
            </w:r>
          </w:p>
        </w:tc>
        <w:tc>
          <w:tcPr>
            <w:tcW w:w="1817" w:type="pct"/>
            <w:tcBorders>
              <w:top w:val="single" w:sz="2" w:space="0" w:color="auto"/>
              <w:left w:val="single" w:sz="2" w:space="0" w:color="auto"/>
              <w:bottom w:val="single" w:sz="2" w:space="0" w:color="auto"/>
              <w:right w:val="single" w:sz="2" w:space="0" w:color="auto"/>
            </w:tcBorders>
            <w:vAlign w:val="center"/>
          </w:tcPr>
          <w:p w14:paraId="7940299C" w14:textId="77777777" w:rsidR="004039AC" w:rsidRPr="00077EBA" w:rsidRDefault="004039AC" w:rsidP="00F1249E">
            <w:pPr>
              <w:spacing w:line="202" w:lineRule="auto"/>
              <w:rPr>
                <w:i/>
                <w:sz w:val="26"/>
                <w:szCs w:val="26"/>
                <w:lang w:val="vi-VN"/>
              </w:rPr>
            </w:pPr>
            <w:r w:rsidRPr="00077EBA">
              <w:rPr>
                <w:sz w:val="26"/>
                <w:szCs w:val="26"/>
                <w:lang w:val="vi-VN"/>
              </w:rPr>
              <w:t>Nhà thầu có thuyết minh phân tích, đánh giá tính hiệu quả của việc cung cấp các dịch vụ công ích (với các nội dung công việc theo E-HSMT) đối với lợi ích cộng đồng và môi trường xã hội trên địa bàn góp phần nâng cao chất lượng cuộc sống, đáp ứng yêu cầu về vệ sinh môi trường, an ninh trật tự…phù hợp với đặc điểm dự án.</w:t>
            </w:r>
          </w:p>
        </w:tc>
        <w:tc>
          <w:tcPr>
            <w:tcW w:w="1516" w:type="pct"/>
            <w:tcBorders>
              <w:top w:val="single" w:sz="2" w:space="0" w:color="auto"/>
              <w:left w:val="single" w:sz="2" w:space="0" w:color="auto"/>
              <w:bottom w:val="single" w:sz="2" w:space="0" w:color="auto"/>
              <w:right w:val="single" w:sz="2" w:space="0" w:color="auto"/>
            </w:tcBorders>
            <w:vAlign w:val="center"/>
          </w:tcPr>
          <w:p w14:paraId="2D893132" w14:textId="77777777" w:rsidR="004039AC" w:rsidRPr="00077EBA" w:rsidRDefault="004039AC" w:rsidP="00F1249E">
            <w:pPr>
              <w:widowControl w:val="0"/>
              <w:spacing w:line="202" w:lineRule="auto"/>
              <w:rPr>
                <w:rFonts w:eastAsia="Courier New"/>
                <w:i/>
                <w:sz w:val="26"/>
                <w:szCs w:val="26"/>
                <w:lang w:val="vi-VN" w:eastAsia="vi-VN"/>
              </w:rPr>
            </w:pPr>
            <w:r w:rsidRPr="00077EBA">
              <w:rPr>
                <w:rFonts w:eastAsia="Courier New"/>
                <w:sz w:val="26"/>
                <w:szCs w:val="26"/>
                <w:lang w:val="vi-VN" w:eastAsia="vi-VN"/>
              </w:rPr>
              <w:t>Nhà thầu không có thuyết minh phân tích, đánh giá hoặc có phân tích đánh giá nhưng không thể hiện được tính hiệu quả của việc cung cấp các dịch vụ công ích (với các nội dung công việc theo E-HSMT) đối với lợi ích cộng đồng và môi trường xã hội trên địa bàn góp phần nâng cao chất lượng cuộc sống, đáp ứng yêu cầu về vệ sinh môi trường, an ninh trật tự…hoặc phân tích đánh giá không phù hợp với đặc điểm dự án.</w:t>
            </w:r>
          </w:p>
        </w:tc>
      </w:tr>
      <w:tr w:rsidR="00077EBA" w:rsidRPr="00077EBA" w14:paraId="1267AFF0" w14:textId="77777777" w:rsidTr="00F1249E">
        <w:trPr>
          <w:trHeight w:val="425"/>
          <w:jc w:val="center"/>
        </w:trPr>
        <w:tc>
          <w:tcPr>
            <w:tcW w:w="447" w:type="pct"/>
            <w:tcBorders>
              <w:top w:val="single" w:sz="2" w:space="0" w:color="auto"/>
              <w:left w:val="single" w:sz="2" w:space="0" w:color="auto"/>
              <w:bottom w:val="single" w:sz="2" w:space="0" w:color="auto"/>
              <w:right w:val="single" w:sz="2" w:space="0" w:color="auto"/>
            </w:tcBorders>
            <w:vAlign w:val="center"/>
          </w:tcPr>
          <w:p w14:paraId="0D6B7FCD" w14:textId="77777777" w:rsidR="004039AC" w:rsidRPr="00077EBA" w:rsidRDefault="004039AC" w:rsidP="00F1249E">
            <w:pPr>
              <w:widowControl w:val="0"/>
              <w:spacing w:line="202" w:lineRule="auto"/>
              <w:jc w:val="center"/>
              <w:rPr>
                <w:rFonts w:eastAsia="Courier New"/>
                <w:b/>
                <w:sz w:val="26"/>
                <w:szCs w:val="26"/>
                <w:lang w:eastAsia="vi-VN"/>
              </w:rPr>
            </w:pPr>
            <w:r w:rsidRPr="00077EBA">
              <w:rPr>
                <w:rFonts w:eastAsia="Courier New"/>
                <w:b/>
                <w:sz w:val="26"/>
                <w:szCs w:val="26"/>
                <w:lang w:eastAsia="vi-VN"/>
              </w:rPr>
              <w:t>II</w:t>
            </w:r>
          </w:p>
        </w:tc>
        <w:tc>
          <w:tcPr>
            <w:tcW w:w="4553" w:type="pct"/>
            <w:gridSpan w:val="3"/>
            <w:tcBorders>
              <w:top w:val="single" w:sz="2" w:space="0" w:color="auto"/>
              <w:left w:val="single" w:sz="2" w:space="0" w:color="auto"/>
              <w:bottom w:val="single" w:sz="2" w:space="0" w:color="auto"/>
              <w:right w:val="single" w:sz="2" w:space="0" w:color="auto"/>
            </w:tcBorders>
            <w:vAlign w:val="center"/>
          </w:tcPr>
          <w:p w14:paraId="70128AE7" w14:textId="77777777" w:rsidR="004039AC" w:rsidRPr="00077EBA" w:rsidRDefault="004039AC" w:rsidP="00F1249E">
            <w:pPr>
              <w:widowControl w:val="0"/>
              <w:spacing w:line="202" w:lineRule="auto"/>
              <w:rPr>
                <w:rFonts w:eastAsia="Courier New"/>
                <w:b/>
                <w:i/>
                <w:sz w:val="26"/>
                <w:szCs w:val="26"/>
                <w:lang w:val="vi-VN" w:eastAsia="vi-VN"/>
              </w:rPr>
            </w:pPr>
            <w:r w:rsidRPr="00077EBA">
              <w:rPr>
                <w:rFonts w:eastAsia="Courier New"/>
                <w:b/>
                <w:bCs/>
                <w:sz w:val="26"/>
                <w:szCs w:val="26"/>
                <w:lang w:val="vi-VN" w:eastAsia="vi-VN"/>
              </w:rPr>
              <w:t>Mức độ hiểu biết về tính chất và mục đích công việc</w:t>
            </w:r>
          </w:p>
        </w:tc>
      </w:tr>
      <w:tr w:rsidR="00077EBA" w:rsidRPr="00077EBA" w14:paraId="28CA600C" w14:textId="77777777" w:rsidTr="00F1249E">
        <w:trPr>
          <w:trHeight w:val="1835"/>
          <w:jc w:val="center"/>
        </w:trPr>
        <w:tc>
          <w:tcPr>
            <w:tcW w:w="447" w:type="pct"/>
            <w:tcBorders>
              <w:top w:val="single" w:sz="2" w:space="0" w:color="auto"/>
              <w:left w:val="single" w:sz="2" w:space="0" w:color="auto"/>
              <w:bottom w:val="single" w:sz="2" w:space="0" w:color="auto"/>
              <w:right w:val="single" w:sz="2" w:space="0" w:color="auto"/>
            </w:tcBorders>
            <w:vAlign w:val="center"/>
          </w:tcPr>
          <w:p w14:paraId="2ED552F2" w14:textId="77777777" w:rsidR="004039AC" w:rsidRPr="00077EBA" w:rsidRDefault="004039AC" w:rsidP="00F1249E">
            <w:pPr>
              <w:widowControl w:val="0"/>
              <w:spacing w:line="209" w:lineRule="auto"/>
              <w:rPr>
                <w:sz w:val="26"/>
                <w:szCs w:val="26"/>
                <w:lang w:val="vi-VN"/>
              </w:rPr>
            </w:pPr>
            <w:r w:rsidRPr="00077EBA">
              <w:rPr>
                <w:sz w:val="26"/>
                <w:szCs w:val="26"/>
                <w:lang w:val="vi-VN"/>
              </w:rPr>
              <w:t>1</w:t>
            </w:r>
          </w:p>
        </w:tc>
        <w:tc>
          <w:tcPr>
            <w:tcW w:w="1219" w:type="pct"/>
            <w:tcBorders>
              <w:top w:val="single" w:sz="2" w:space="0" w:color="auto"/>
              <w:left w:val="single" w:sz="2" w:space="0" w:color="auto"/>
              <w:bottom w:val="single" w:sz="2" w:space="0" w:color="auto"/>
              <w:right w:val="single" w:sz="2" w:space="0" w:color="auto"/>
            </w:tcBorders>
            <w:vAlign w:val="center"/>
          </w:tcPr>
          <w:p w14:paraId="48DBCFB3" w14:textId="77777777" w:rsidR="004039AC" w:rsidRPr="00077EBA" w:rsidRDefault="004039AC" w:rsidP="00F1249E">
            <w:pPr>
              <w:spacing w:line="209" w:lineRule="auto"/>
              <w:rPr>
                <w:sz w:val="26"/>
                <w:szCs w:val="26"/>
                <w:lang w:val="vi-VN"/>
              </w:rPr>
            </w:pPr>
          </w:p>
          <w:p w14:paraId="33BBF24D" w14:textId="77777777" w:rsidR="004039AC" w:rsidRPr="00077EBA" w:rsidRDefault="004039AC" w:rsidP="00F1249E">
            <w:pPr>
              <w:spacing w:line="209" w:lineRule="auto"/>
              <w:rPr>
                <w:sz w:val="26"/>
                <w:szCs w:val="26"/>
              </w:rPr>
            </w:pPr>
            <w:r w:rsidRPr="00077EBA">
              <w:rPr>
                <w:sz w:val="26"/>
                <w:szCs w:val="26"/>
                <w:lang w:val="vi-VN"/>
              </w:rPr>
              <w:t xml:space="preserve">Mức độ hiểu biết về tính chất và mục đích công việc thực hiện: Dịch vụ công ích đô thị </w:t>
            </w:r>
            <w:r w:rsidRPr="00077EBA">
              <w:rPr>
                <w:sz w:val="26"/>
                <w:szCs w:val="26"/>
              </w:rPr>
              <w:t>phường Thành Sen năm 2026</w:t>
            </w:r>
          </w:p>
          <w:p w14:paraId="4C4B3981" w14:textId="77777777" w:rsidR="004039AC" w:rsidRPr="00077EBA" w:rsidRDefault="004039AC" w:rsidP="00F1249E">
            <w:pPr>
              <w:spacing w:line="209" w:lineRule="auto"/>
              <w:rPr>
                <w:sz w:val="26"/>
                <w:szCs w:val="26"/>
                <w:lang w:val="vi-VN"/>
              </w:rPr>
            </w:pPr>
            <w:r w:rsidRPr="00077EBA">
              <w:rPr>
                <w:sz w:val="26"/>
                <w:szCs w:val="26"/>
                <w:lang w:val="vi-VN"/>
              </w:rPr>
              <w:t>- Vệ sinh môi trường: Quét, thu gom, vận chuyển, xứ lý rác,..</w:t>
            </w:r>
          </w:p>
          <w:p w14:paraId="7CE9F947" w14:textId="77777777" w:rsidR="004039AC" w:rsidRPr="00077EBA" w:rsidRDefault="004039AC" w:rsidP="00F1249E">
            <w:pPr>
              <w:spacing w:line="209" w:lineRule="auto"/>
              <w:rPr>
                <w:sz w:val="26"/>
                <w:szCs w:val="26"/>
                <w:lang w:val="vi-VN"/>
              </w:rPr>
            </w:pPr>
            <w:r w:rsidRPr="00077EBA">
              <w:rPr>
                <w:sz w:val="26"/>
                <w:szCs w:val="26"/>
                <w:lang w:val="vi-VN"/>
              </w:rPr>
              <w:t>- Chăm sóc duy trì hệ thống cây xanh đô thị;</w:t>
            </w:r>
          </w:p>
          <w:p w14:paraId="370D1CD1" w14:textId="77777777" w:rsidR="004039AC" w:rsidRPr="00077EBA" w:rsidRDefault="004039AC" w:rsidP="00F1249E">
            <w:pPr>
              <w:spacing w:line="209" w:lineRule="auto"/>
              <w:rPr>
                <w:sz w:val="26"/>
                <w:szCs w:val="26"/>
                <w:lang w:val="vi-VN"/>
              </w:rPr>
            </w:pPr>
            <w:r w:rsidRPr="00077EBA">
              <w:rPr>
                <w:sz w:val="26"/>
                <w:szCs w:val="26"/>
                <w:lang w:val="vi-VN"/>
              </w:rPr>
              <w:lastRenderedPageBreak/>
              <w:t>- Quản lý, vận hành hệ thống chiếu sáng đô thị</w:t>
            </w:r>
          </w:p>
          <w:p w14:paraId="0D1759DE" w14:textId="77777777" w:rsidR="004039AC" w:rsidRPr="00077EBA" w:rsidRDefault="004039AC" w:rsidP="00F1249E">
            <w:pPr>
              <w:spacing w:line="209" w:lineRule="auto"/>
              <w:rPr>
                <w:sz w:val="26"/>
                <w:szCs w:val="26"/>
                <w:lang w:val="vi-VN"/>
              </w:rPr>
            </w:pPr>
            <w:r w:rsidRPr="00077EBA">
              <w:rPr>
                <w:sz w:val="26"/>
                <w:szCs w:val="26"/>
                <w:lang w:val="vi-VN"/>
              </w:rPr>
              <w:t>- Quản lý, vận hành hệ thống thoát nước đô thị</w:t>
            </w:r>
          </w:p>
          <w:p w14:paraId="53DF4841" w14:textId="77777777" w:rsidR="004039AC" w:rsidRPr="00077EBA" w:rsidRDefault="004039AC" w:rsidP="00F1249E">
            <w:pPr>
              <w:spacing w:line="209" w:lineRule="auto"/>
              <w:rPr>
                <w:sz w:val="26"/>
                <w:szCs w:val="26"/>
                <w:lang w:val="vi-VN"/>
              </w:rPr>
            </w:pPr>
            <w:r w:rsidRPr="00077EBA">
              <w:rPr>
                <w:sz w:val="26"/>
                <w:szCs w:val="26"/>
                <w:lang w:val="vi-VN"/>
              </w:rPr>
              <w:t>- Quản lý, duy tu, sửa chữa hệ thống đường giao thông đô thị</w:t>
            </w:r>
          </w:p>
        </w:tc>
        <w:tc>
          <w:tcPr>
            <w:tcW w:w="1817" w:type="pct"/>
            <w:tcBorders>
              <w:top w:val="single" w:sz="2" w:space="0" w:color="auto"/>
              <w:left w:val="single" w:sz="2" w:space="0" w:color="auto"/>
              <w:bottom w:val="single" w:sz="2" w:space="0" w:color="auto"/>
              <w:right w:val="single" w:sz="2" w:space="0" w:color="auto"/>
            </w:tcBorders>
            <w:vAlign w:val="center"/>
          </w:tcPr>
          <w:p w14:paraId="37E3BEB4" w14:textId="77777777" w:rsidR="004039AC" w:rsidRPr="00077EBA" w:rsidRDefault="004039AC" w:rsidP="00F1249E">
            <w:pPr>
              <w:spacing w:line="209" w:lineRule="auto"/>
              <w:rPr>
                <w:sz w:val="26"/>
                <w:szCs w:val="26"/>
                <w:lang w:val="vi-VN"/>
              </w:rPr>
            </w:pPr>
            <w:r w:rsidRPr="00077EBA">
              <w:rPr>
                <w:sz w:val="26"/>
                <w:szCs w:val="26"/>
                <w:lang w:val="vi-VN"/>
              </w:rPr>
              <w:lastRenderedPageBreak/>
              <w:t>Nêu được tính chất mục đích công việc phù hợp với tính chất công việc của gói thầu, có sự am hiểu về gói thầu. Có thuyết minh đầy đủ hiện trạng của từng loại hình dịch vụ</w:t>
            </w:r>
          </w:p>
        </w:tc>
        <w:tc>
          <w:tcPr>
            <w:tcW w:w="1516" w:type="pct"/>
            <w:tcBorders>
              <w:top w:val="single" w:sz="2" w:space="0" w:color="auto"/>
              <w:left w:val="single" w:sz="2" w:space="0" w:color="auto"/>
              <w:bottom w:val="single" w:sz="2" w:space="0" w:color="auto"/>
              <w:right w:val="single" w:sz="2" w:space="0" w:color="auto"/>
            </w:tcBorders>
            <w:vAlign w:val="center"/>
          </w:tcPr>
          <w:p w14:paraId="3717D81B" w14:textId="77777777" w:rsidR="004039AC" w:rsidRPr="00077EBA" w:rsidRDefault="004039AC" w:rsidP="00F1249E">
            <w:pPr>
              <w:widowControl w:val="0"/>
              <w:spacing w:line="209" w:lineRule="auto"/>
              <w:rPr>
                <w:sz w:val="26"/>
                <w:szCs w:val="26"/>
              </w:rPr>
            </w:pPr>
            <w:r w:rsidRPr="00077EBA">
              <w:rPr>
                <w:sz w:val="26"/>
                <w:szCs w:val="26"/>
                <w:lang w:val="vi-VN"/>
              </w:rPr>
              <w:t>Không Nêu được tính chất mục đích công việc phù hợp với tính chất công việc của gói thầu, hoặc không có sự am hiểu về gói thầu hoặc không</w:t>
            </w:r>
            <w:r w:rsidRPr="00077EBA">
              <w:rPr>
                <w:sz w:val="26"/>
                <w:szCs w:val="26"/>
              </w:rPr>
              <w:t xml:space="preserve"> c</w:t>
            </w:r>
            <w:r w:rsidRPr="00077EBA">
              <w:rPr>
                <w:sz w:val="26"/>
                <w:szCs w:val="26"/>
                <w:lang w:val="vi-VN"/>
              </w:rPr>
              <w:t>ó thuyết minh đầy đủ hiện trạng của từng loại hình dịch vụ</w:t>
            </w:r>
            <w:r w:rsidRPr="00077EBA">
              <w:rPr>
                <w:sz w:val="26"/>
                <w:szCs w:val="26"/>
              </w:rPr>
              <w:t xml:space="preserve"> hoặc có nhưng không đầy đủ  các loại hình dịch vụ</w:t>
            </w:r>
          </w:p>
        </w:tc>
      </w:tr>
      <w:tr w:rsidR="00077EBA" w:rsidRPr="00077EBA" w14:paraId="1CA6C669" w14:textId="77777777" w:rsidTr="00F1249E">
        <w:trPr>
          <w:trHeight w:val="717"/>
          <w:jc w:val="center"/>
        </w:trPr>
        <w:tc>
          <w:tcPr>
            <w:tcW w:w="447" w:type="pct"/>
            <w:tcBorders>
              <w:top w:val="single" w:sz="2" w:space="0" w:color="auto"/>
              <w:left w:val="single" w:sz="2" w:space="0" w:color="auto"/>
              <w:bottom w:val="single" w:sz="2" w:space="0" w:color="auto"/>
              <w:right w:val="single" w:sz="2" w:space="0" w:color="auto"/>
            </w:tcBorders>
            <w:vAlign w:val="center"/>
          </w:tcPr>
          <w:p w14:paraId="76D376D6" w14:textId="77777777" w:rsidR="004039AC" w:rsidRPr="00077EBA" w:rsidRDefault="004039AC" w:rsidP="00F1249E">
            <w:pPr>
              <w:widowControl w:val="0"/>
              <w:spacing w:line="209" w:lineRule="auto"/>
              <w:jc w:val="center"/>
              <w:rPr>
                <w:rFonts w:eastAsia="Courier New"/>
                <w:b/>
                <w:sz w:val="26"/>
                <w:szCs w:val="26"/>
                <w:lang w:eastAsia="vi-VN"/>
              </w:rPr>
            </w:pPr>
            <w:r w:rsidRPr="00077EBA">
              <w:rPr>
                <w:rFonts w:eastAsia="Courier New"/>
                <w:b/>
                <w:sz w:val="26"/>
                <w:szCs w:val="26"/>
                <w:lang w:eastAsia="vi-VN"/>
              </w:rPr>
              <w:t>III</w:t>
            </w:r>
          </w:p>
        </w:tc>
        <w:tc>
          <w:tcPr>
            <w:tcW w:w="4553" w:type="pct"/>
            <w:gridSpan w:val="3"/>
            <w:tcBorders>
              <w:top w:val="single" w:sz="2" w:space="0" w:color="auto"/>
              <w:left w:val="single" w:sz="2" w:space="0" w:color="auto"/>
              <w:bottom w:val="single" w:sz="2" w:space="0" w:color="auto"/>
              <w:right w:val="single" w:sz="2" w:space="0" w:color="auto"/>
            </w:tcBorders>
            <w:vAlign w:val="center"/>
          </w:tcPr>
          <w:p w14:paraId="2982DEB6" w14:textId="77777777" w:rsidR="004039AC" w:rsidRPr="00077EBA" w:rsidRDefault="004039AC" w:rsidP="00F1249E">
            <w:pPr>
              <w:widowControl w:val="0"/>
              <w:spacing w:line="209" w:lineRule="auto"/>
              <w:rPr>
                <w:rFonts w:eastAsia="Courier New"/>
                <w:sz w:val="26"/>
                <w:szCs w:val="26"/>
                <w:lang w:val="vi-VN" w:eastAsia="vi-VN"/>
              </w:rPr>
            </w:pPr>
            <w:r w:rsidRPr="00077EBA">
              <w:rPr>
                <w:rFonts w:eastAsia="Courier New"/>
                <w:b/>
                <w:sz w:val="26"/>
                <w:szCs w:val="26"/>
                <w:lang w:eastAsia="vi-VN"/>
              </w:rPr>
              <w:t>T</w:t>
            </w:r>
            <w:r w:rsidRPr="00077EBA">
              <w:rPr>
                <w:rFonts w:eastAsia="Courier New"/>
                <w:b/>
                <w:sz w:val="26"/>
                <w:szCs w:val="26"/>
                <w:lang w:val="vi-VN" w:eastAsia="vi-VN"/>
              </w:rPr>
              <w:t>ính hợp lý và khả thi của kế hoạch, các giải pháp kỹ thuật, biện pháp tổ chức cung cấp dịch vụ</w:t>
            </w:r>
          </w:p>
        </w:tc>
      </w:tr>
      <w:tr w:rsidR="00077EBA" w:rsidRPr="00077EBA" w14:paraId="510CB642" w14:textId="77777777" w:rsidTr="00F1249E">
        <w:trPr>
          <w:trHeight w:val="1833"/>
          <w:jc w:val="center"/>
        </w:trPr>
        <w:tc>
          <w:tcPr>
            <w:tcW w:w="447" w:type="pct"/>
            <w:tcBorders>
              <w:top w:val="single" w:sz="2" w:space="0" w:color="auto"/>
              <w:left w:val="single" w:sz="2" w:space="0" w:color="auto"/>
              <w:bottom w:val="single" w:sz="2" w:space="0" w:color="auto"/>
              <w:right w:val="single" w:sz="2" w:space="0" w:color="auto"/>
            </w:tcBorders>
            <w:vAlign w:val="center"/>
          </w:tcPr>
          <w:p w14:paraId="451658E6" w14:textId="77777777" w:rsidR="004039AC" w:rsidRPr="00077EBA" w:rsidRDefault="004039AC" w:rsidP="00F1249E">
            <w:pPr>
              <w:widowControl w:val="0"/>
              <w:spacing w:line="209" w:lineRule="auto"/>
              <w:rPr>
                <w:sz w:val="26"/>
                <w:szCs w:val="26"/>
                <w:lang w:val="vi-VN"/>
              </w:rPr>
            </w:pPr>
            <w:r w:rsidRPr="00077EBA">
              <w:rPr>
                <w:sz w:val="26"/>
                <w:szCs w:val="26"/>
                <w:lang w:val="vi-VN"/>
              </w:rPr>
              <w:t>1</w:t>
            </w:r>
          </w:p>
        </w:tc>
        <w:tc>
          <w:tcPr>
            <w:tcW w:w="1219" w:type="pct"/>
            <w:tcBorders>
              <w:top w:val="single" w:sz="2" w:space="0" w:color="auto"/>
              <w:left w:val="single" w:sz="2" w:space="0" w:color="auto"/>
              <w:bottom w:val="single" w:sz="2" w:space="0" w:color="auto"/>
              <w:right w:val="single" w:sz="2" w:space="0" w:color="auto"/>
            </w:tcBorders>
            <w:vAlign w:val="center"/>
          </w:tcPr>
          <w:p w14:paraId="055D5696" w14:textId="77777777" w:rsidR="004039AC" w:rsidRPr="00077EBA" w:rsidRDefault="004039AC" w:rsidP="00F1249E">
            <w:pPr>
              <w:spacing w:line="209" w:lineRule="auto"/>
              <w:rPr>
                <w:sz w:val="26"/>
                <w:szCs w:val="26"/>
                <w:lang w:val="vi-VN"/>
              </w:rPr>
            </w:pPr>
            <w:r w:rsidRPr="00077EBA">
              <w:rPr>
                <w:sz w:val="26"/>
                <w:szCs w:val="26"/>
                <w:lang w:val="vi-VN"/>
              </w:rPr>
              <w:t>Giải pháp chuẩn bị thực hiện như: Kế hoạch tổ chức huy động nhân sự, phương tiện phục vụ gói thầu.</w:t>
            </w:r>
          </w:p>
        </w:tc>
        <w:tc>
          <w:tcPr>
            <w:tcW w:w="1817" w:type="pct"/>
            <w:tcBorders>
              <w:top w:val="single" w:sz="2" w:space="0" w:color="auto"/>
              <w:left w:val="single" w:sz="2" w:space="0" w:color="auto"/>
              <w:bottom w:val="single" w:sz="2" w:space="0" w:color="auto"/>
              <w:right w:val="single" w:sz="2" w:space="0" w:color="auto"/>
            </w:tcBorders>
            <w:vAlign w:val="center"/>
          </w:tcPr>
          <w:p w14:paraId="68CF629A" w14:textId="77777777" w:rsidR="004039AC" w:rsidRPr="00077EBA" w:rsidRDefault="004039AC" w:rsidP="00F1249E">
            <w:pPr>
              <w:spacing w:line="209" w:lineRule="auto"/>
              <w:rPr>
                <w:sz w:val="26"/>
                <w:szCs w:val="26"/>
                <w:lang w:val="vi-VN"/>
              </w:rPr>
            </w:pPr>
            <w:r w:rsidRPr="00077EBA">
              <w:rPr>
                <w:sz w:val="26"/>
                <w:szCs w:val="26"/>
                <w:lang w:val="vi-VN"/>
              </w:rPr>
              <w:t>Có giải pháp hợp lý, khả thi, phù hợp với kế hoạch tổ chức huy động nhân sự và phương tiện cụ thể chi tiết và khả thi.</w:t>
            </w:r>
          </w:p>
        </w:tc>
        <w:tc>
          <w:tcPr>
            <w:tcW w:w="1516" w:type="pct"/>
            <w:tcBorders>
              <w:top w:val="single" w:sz="2" w:space="0" w:color="auto"/>
              <w:left w:val="single" w:sz="2" w:space="0" w:color="auto"/>
              <w:bottom w:val="single" w:sz="2" w:space="0" w:color="auto"/>
              <w:right w:val="single" w:sz="2" w:space="0" w:color="auto"/>
            </w:tcBorders>
            <w:vAlign w:val="center"/>
          </w:tcPr>
          <w:p w14:paraId="77068AEE" w14:textId="77777777" w:rsidR="004039AC" w:rsidRPr="00077EBA" w:rsidRDefault="004039AC" w:rsidP="00F1249E">
            <w:pPr>
              <w:spacing w:line="209" w:lineRule="auto"/>
              <w:rPr>
                <w:sz w:val="26"/>
                <w:szCs w:val="26"/>
                <w:lang w:val="vi-VN"/>
              </w:rPr>
            </w:pPr>
            <w:r w:rsidRPr="00077EBA">
              <w:rPr>
                <w:sz w:val="26"/>
                <w:szCs w:val="26"/>
                <w:lang w:val="vi-VN"/>
              </w:rPr>
              <w:t>Không có giải pháp hoặc Giải pháp không hợp lý, không khả thi, không phù hợp với kế hoạch tổ chức huy động nhân sự và phương tiện cụ thể.</w:t>
            </w:r>
          </w:p>
        </w:tc>
      </w:tr>
      <w:tr w:rsidR="00077EBA" w:rsidRPr="00077EBA" w14:paraId="193EFF93" w14:textId="77777777" w:rsidTr="00F1249E">
        <w:trPr>
          <w:trHeight w:val="5529"/>
          <w:jc w:val="center"/>
        </w:trPr>
        <w:tc>
          <w:tcPr>
            <w:tcW w:w="447" w:type="pct"/>
            <w:tcBorders>
              <w:top w:val="single" w:sz="2" w:space="0" w:color="auto"/>
              <w:left w:val="single" w:sz="2" w:space="0" w:color="auto"/>
              <w:bottom w:val="single" w:sz="2" w:space="0" w:color="auto"/>
              <w:right w:val="single" w:sz="2" w:space="0" w:color="auto"/>
            </w:tcBorders>
            <w:vAlign w:val="center"/>
          </w:tcPr>
          <w:p w14:paraId="6FB8EE18" w14:textId="77777777" w:rsidR="004039AC" w:rsidRPr="00077EBA" w:rsidRDefault="004039AC" w:rsidP="00F1249E">
            <w:pPr>
              <w:widowControl w:val="0"/>
              <w:spacing w:line="209" w:lineRule="auto"/>
              <w:rPr>
                <w:sz w:val="26"/>
                <w:szCs w:val="26"/>
                <w:lang w:val="vi-VN"/>
              </w:rPr>
            </w:pPr>
            <w:r w:rsidRPr="00077EBA">
              <w:rPr>
                <w:sz w:val="26"/>
                <w:szCs w:val="26"/>
                <w:lang w:val="vi-VN"/>
              </w:rPr>
              <w:t>2</w:t>
            </w:r>
          </w:p>
        </w:tc>
        <w:tc>
          <w:tcPr>
            <w:tcW w:w="1219" w:type="pct"/>
            <w:tcBorders>
              <w:top w:val="single" w:sz="2" w:space="0" w:color="auto"/>
              <w:left w:val="single" w:sz="2" w:space="0" w:color="auto"/>
              <w:bottom w:val="single" w:sz="2" w:space="0" w:color="auto"/>
              <w:right w:val="single" w:sz="2" w:space="0" w:color="auto"/>
            </w:tcBorders>
            <w:vAlign w:val="center"/>
          </w:tcPr>
          <w:p w14:paraId="2493130B" w14:textId="77777777" w:rsidR="004039AC" w:rsidRPr="00077EBA" w:rsidRDefault="004039AC" w:rsidP="00F1249E">
            <w:pPr>
              <w:spacing w:line="209" w:lineRule="auto"/>
              <w:rPr>
                <w:sz w:val="26"/>
                <w:szCs w:val="26"/>
                <w:lang w:val="vi-VN"/>
              </w:rPr>
            </w:pPr>
            <w:r w:rsidRPr="00077EBA">
              <w:rPr>
                <w:sz w:val="26"/>
                <w:szCs w:val="26"/>
                <w:lang w:val="vi-VN"/>
              </w:rPr>
              <w:t>Hiểu rõ được nội dung công việc gói thầu, đưa ra biện pháp tổ chức thực hiện hợp lý cho từng loại dịch vụ:</w:t>
            </w:r>
          </w:p>
          <w:p w14:paraId="394E5E72" w14:textId="77777777" w:rsidR="004039AC" w:rsidRPr="00077EBA" w:rsidRDefault="004039AC" w:rsidP="00F1249E">
            <w:pPr>
              <w:spacing w:line="209" w:lineRule="auto"/>
              <w:rPr>
                <w:sz w:val="26"/>
                <w:szCs w:val="26"/>
                <w:lang w:val="vi-VN"/>
              </w:rPr>
            </w:pPr>
            <w:r w:rsidRPr="00077EBA">
              <w:rPr>
                <w:sz w:val="26"/>
                <w:szCs w:val="26"/>
                <w:lang w:val="vi-VN"/>
              </w:rPr>
              <w:t>- Vệ sinh môi trường: Quét, thu gom, xứ lý rác,…</w:t>
            </w:r>
          </w:p>
          <w:p w14:paraId="0E89FFE7" w14:textId="77777777" w:rsidR="004039AC" w:rsidRPr="00077EBA" w:rsidRDefault="004039AC" w:rsidP="00F1249E">
            <w:pPr>
              <w:spacing w:line="209" w:lineRule="auto"/>
              <w:rPr>
                <w:sz w:val="26"/>
                <w:szCs w:val="26"/>
                <w:lang w:val="vi-VN"/>
              </w:rPr>
            </w:pPr>
            <w:r w:rsidRPr="00077EBA">
              <w:rPr>
                <w:sz w:val="26"/>
                <w:szCs w:val="26"/>
                <w:lang w:val="vi-VN"/>
              </w:rPr>
              <w:t>- Chăm sóc duy trì hệ thống cây xanh đô thị;</w:t>
            </w:r>
          </w:p>
          <w:p w14:paraId="5F2AF524" w14:textId="77777777" w:rsidR="004039AC" w:rsidRPr="00077EBA" w:rsidRDefault="004039AC" w:rsidP="00F1249E">
            <w:pPr>
              <w:spacing w:line="209" w:lineRule="auto"/>
              <w:rPr>
                <w:sz w:val="26"/>
                <w:szCs w:val="26"/>
                <w:lang w:val="vi-VN"/>
              </w:rPr>
            </w:pPr>
            <w:r w:rsidRPr="00077EBA">
              <w:rPr>
                <w:sz w:val="26"/>
                <w:szCs w:val="26"/>
                <w:lang w:val="vi-VN"/>
              </w:rPr>
              <w:t>- Quản lý, vận hành hệ thống chiếu sáng đô thị</w:t>
            </w:r>
          </w:p>
          <w:p w14:paraId="0E0B5713" w14:textId="77777777" w:rsidR="004039AC" w:rsidRPr="00077EBA" w:rsidRDefault="004039AC" w:rsidP="00F1249E">
            <w:pPr>
              <w:spacing w:line="209" w:lineRule="auto"/>
              <w:rPr>
                <w:sz w:val="26"/>
                <w:szCs w:val="26"/>
                <w:lang w:val="vi-VN"/>
              </w:rPr>
            </w:pPr>
            <w:r w:rsidRPr="00077EBA">
              <w:rPr>
                <w:sz w:val="26"/>
                <w:szCs w:val="26"/>
                <w:lang w:val="vi-VN"/>
              </w:rPr>
              <w:t>- Quản lý, vận hành hệ thống thoát nước đô thị</w:t>
            </w:r>
          </w:p>
          <w:p w14:paraId="64182414" w14:textId="77777777" w:rsidR="004039AC" w:rsidRPr="00077EBA" w:rsidRDefault="004039AC" w:rsidP="00F1249E">
            <w:pPr>
              <w:spacing w:line="209" w:lineRule="auto"/>
              <w:rPr>
                <w:sz w:val="26"/>
                <w:szCs w:val="26"/>
                <w:lang w:val="vi-VN"/>
              </w:rPr>
            </w:pPr>
            <w:r w:rsidRPr="00077EBA">
              <w:rPr>
                <w:sz w:val="26"/>
                <w:szCs w:val="26"/>
                <w:lang w:val="vi-VN"/>
              </w:rPr>
              <w:t>- Quản lý, duy tu, sửa chữa hệ thống đường giao thông đô thị</w:t>
            </w:r>
          </w:p>
        </w:tc>
        <w:tc>
          <w:tcPr>
            <w:tcW w:w="1817" w:type="pct"/>
            <w:tcBorders>
              <w:top w:val="single" w:sz="2" w:space="0" w:color="auto"/>
              <w:left w:val="single" w:sz="2" w:space="0" w:color="auto"/>
              <w:bottom w:val="single" w:sz="2" w:space="0" w:color="auto"/>
              <w:right w:val="single" w:sz="2" w:space="0" w:color="auto"/>
            </w:tcBorders>
            <w:vAlign w:val="center"/>
          </w:tcPr>
          <w:p w14:paraId="0D2D0B9B" w14:textId="77777777" w:rsidR="004039AC" w:rsidRPr="00077EBA" w:rsidRDefault="004039AC" w:rsidP="00F1249E">
            <w:pPr>
              <w:spacing w:line="209" w:lineRule="auto"/>
              <w:rPr>
                <w:sz w:val="26"/>
                <w:szCs w:val="26"/>
                <w:lang w:val="vi-VN"/>
              </w:rPr>
            </w:pPr>
            <w:r w:rsidRPr="00077EBA">
              <w:rPr>
                <w:sz w:val="26"/>
                <w:szCs w:val="26"/>
                <w:lang w:val="vi-VN"/>
              </w:rPr>
              <w:t>Nhà thầu có thuyết minh đầy đủ về tính hợp lý và khả thi của kế hoạch, các giải pháp kỹ thuật, biện pháp tổ chức cung cấp dịch vụ (với các nội dung công việc theo E-HSMT)</w:t>
            </w:r>
          </w:p>
        </w:tc>
        <w:tc>
          <w:tcPr>
            <w:tcW w:w="1516" w:type="pct"/>
            <w:tcBorders>
              <w:top w:val="single" w:sz="2" w:space="0" w:color="auto"/>
              <w:left w:val="single" w:sz="2" w:space="0" w:color="auto"/>
              <w:bottom w:val="single" w:sz="2" w:space="0" w:color="auto"/>
              <w:right w:val="single" w:sz="2" w:space="0" w:color="auto"/>
            </w:tcBorders>
            <w:vAlign w:val="center"/>
          </w:tcPr>
          <w:p w14:paraId="1422E1D9" w14:textId="77777777" w:rsidR="004039AC" w:rsidRPr="00077EBA" w:rsidRDefault="004039AC" w:rsidP="00F1249E">
            <w:pPr>
              <w:spacing w:line="209" w:lineRule="auto"/>
              <w:rPr>
                <w:sz w:val="26"/>
                <w:szCs w:val="26"/>
                <w:lang w:val="vi-VN"/>
              </w:rPr>
            </w:pPr>
            <w:r w:rsidRPr="00077EBA">
              <w:rPr>
                <w:sz w:val="26"/>
                <w:szCs w:val="26"/>
                <w:lang w:val="vi-VN"/>
              </w:rPr>
              <w:t>Nhà thầu không có thuyết minh hoặc thuyết minh không đầy đủ về tính hợp lý và khả thi của kế hoạch, các giải pháp kỹ thuật, biện pháp tổ chức cung cấp dịch vụ (với các nội dung công việc theo E-HSMT)</w:t>
            </w:r>
          </w:p>
        </w:tc>
      </w:tr>
      <w:tr w:rsidR="00077EBA" w:rsidRPr="00077EBA" w14:paraId="2C01A9EC" w14:textId="77777777" w:rsidTr="00F1249E">
        <w:trPr>
          <w:trHeight w:val="449"/>
          <w:jc w:val="center"/>
        </w:trPr>
        <w:tc>
          <w:tcPr>
            <w:tcW w:w="447" w:type="pct"/>
            <w:tcBorders>
              <w:top w:val="single" w:sz="2" w:space="0" w:color="auto"/>
              <w:left w:val="single" w:sz="2" w:space="0" w:color="auto"/>
              <w:bottom w:val="single" w:sz="2" w:space="0" w:color="auto"/>
              <w:right w:val="single" w:sz="2" w:space="0" w:color="auto"/>
            </w:tcBorders>
            <w:vAlign w:val="center"/>
          </w:tcPr>
          <w:p w14:paraId="20DF77A8" w14:textId="77777777" w:rsidR="004039AC" w:rsidRPr="00077EBA" w:rsidRDefault="004039AC" w:rsidP="00F1249E">
            <w:pPr>
              <w:widowControl w:val="0"/>
              <w:spacing w:line="209" w:lineRule="auto"/>
              <w:jc w:val="center"/>
              <w:rPr>
                <w:rFonts w:eastAsia="Courier New"/>
                <w:b/>
                <w:sz w:val="26"/>
                <w:szCs w:val="26"/>
                <w:lang w:eastAsia="vi-VN"/>
              </w:rPr>
            </w:pPr>
            <w:r w:rsidRPr="00077EBA">
              <w:rPr>
                <w:rFonts w:eastAsia="Courier New"/>
                <w:b/>
                <w:sz w:val="26"/>
                <w:szCs w:val="26"/>
                <w:lang w:eastAsia="vi-VN"/>
              </w:rPr>
              <w:t>IV</w:t>
            </w:r>
          </w:p>
        </w:tc>
        <w:tc>
          <w:tcPr>
            <w:tcW w:w="4553" w:type="pct"/>
            <w:gridSpan w:val="3"/>
            <w:tcBorders>
              <w:top w:val="single" w:sz="2" w:space="0" w:color="auto"/>
              <w:left w:val="single" w:sz="2" w:space="0" w:color="auto"/>
              <w:bottom w:val="single" w:sz="2" w:space="0" w:color="auto"/>
              <w:right w:val="single" w:sz="2" w:space="0" w:color="auto"/>
            </w:tcBorders>
            <w:vAlign w:val="center"/>
          </w:tcPr>
          <w:p w14:paraId="37FE25EC" w14:textId="77777777" w:rsidR="004039AC" w:rsidRPr="00077EBA" w:rsidRDefault="004039AC" w:rsidP="00F1249E">
            <w:pPr>
              <w:autoSpaceDE w:val="0"/>
              <w:autoSpaceDN w:val="0"/>
              <w:adjustRightInd w:val="0"/>
              <w:spacing w:line="209" w:lineRule="auto"/>
              <w:rPr>
                <w:b/>
                <w:bCs/>
                <w:sz w:val="26"/>
                <w:szCs w:val="26"/>
              </w:rPr>
            </w:pPr>
            <w:r w:rsidRPr="00077EBA">
              <w:rPr>
                <w:b/>
                <w:bCs/>
                <w:sz w:val="26"/>
                <w:szCs w:val="26"/>
              </w:rPr>
              <w:t>Mức độ đáp ứng hệ thống đảm bảo chất lượng và phương pháp thực hiện</w:t>
            </w:r>
          </w:p>
        </w:tc>
      </w:tr>
      <w:tr w:rsidR="00077EBA" w:rsidRPr="00077EBA" w14:paraId="50CBC46A" w14:textId="77777777" w:rsidTr="00F1249E">
        <w:trPr>
          <w:trHeight w:val="20"/>
          <w:jc w:val="center"/>
        </w:trPr>
        <w:tc>
          <w:tcPr>
            <w:tcW w:w="447" w:type="pct"/>
            <w:tcBorders>
              <w:top w:val="single" w:sz="2" w:space="0" w:color="auto"/>
              <w:left w:val="single" w:sz="2" w:space="0" w:color="auto"/>
              <w:bottom w:val="single" w:sz="2" w:space="0" w:color="auto"/>
              <w:right w:val="single" w:sz="2" w:space="0" w:color="auto"/>
            </w:tcBorders>
            <w:vAlign w:val="center"/>
          </w:tcPr>
          <w:p w14:paraId="56E09EBF" w14:textId="77777777" w:rsidR="004039AC" w:rsidRPr="00077EBA" w:rsidRDefault="004039AC" w:rsidP="00F1249E">
            <w:pPr>
              <w:widowControl w:val="0"/>
              <w:spacing w:line="209" w:lineRule="auto"/>
              <w:jc w:val="center"/>
              <w:rPr>
                <w:sz w:val="26"/>
                <w:szCs w:val="26"/>
                <w:lang w:val="vi-VN"/>
              </w:rPr>
            </w:pPr>
            <w:r w:rsidRPr="00077EBA">
              <w:rPr>
                <w:sz w:val="26"/>
                <w:szCs w:val="26"/>
                <w:lang w:val="vi-VN"/>
              </w:rPr>
              <w:t>1</w:t>
            </w:r>
          </w:p>
        </w:tc>
        <w:tc>
          <w:tcPr>
            <w:tcW w:w="1219" w:type="pct"/>
            <w:tcBorders>
              <w:top w:val="single" w:sz="2" w:space="0" w:color="auto"/>
              <w:left w:val="single" w:sz="2" w:space="0" w:color="auto"/>
              <w:bottom w:val="single" w:sz="2" w:space="0" w:color="auto"/>
              <w:right w:val="single" w:sz="2" w:space="0" w:color="auto"/>
            </w:tcBorders>
            <w:vAlign w:val="center"/>
          </w:tcPr>
          <w:p w14:paraId="0236E154" w14:textId="77777777" w:rsidR="004039AC" w:rsidRPr="00077EBA" w:rsidRDefault="004039AC" w:rsidP="00F1249E">
            <w:pPr>
              <w:widowControl w:val="0"/>
              <w:spacing w:line="209" w:lineRule="auto"/>
              <w:rPr>
                <w:sz w:val="26"/>
                <w:szCs w:val="26"/>
                <w:lang w:val="vi-VN"/>
              </w:rPr>
            </w:pPr>
            <w:r w:rsidRPr="00077EBA">
              <w:rPr>
                <w:sz w:val="26"/>
                <w:szCs w:val="26"/>
                <w:lang w:val="vi-VN"/>
              </w:rPr>
              <w:t xml:space="preserve">Có biện pháp đảm bảo vệ sinh môi trường và an toàn </w:t>
            </w:r>
            <w:r w:rsidRPr="00077EBA">
              <w:rPr>
                <w:sz w:val="26"/>
                <w:szCs w:val="26"/>
                <w:lang w:val="vi-VN"/>
              </w:rPr>
              <w:lastRenderedPageBreak/>
              <w:t>lao động, phòng chống cháy nổ, an toàn, vệ sinh lao động</w:t>
            </w:r>
          </w:p>
        </w:tc>
        <w:tc>
          <w:tcPr>
            <w:tcW w:w="1817" w:type="pct"/>
            <w:tcBorders>
              <w:top w:val="single" w:sz="2" w:space="0" w:color="auto"/>
              <w:left w:val="single" w:sz="2" w:space="0" w:color="auto"/>
              <w:bottom w:val="single" w:sz="2" w:space="0" w:color="auto"/>
              <w:right w:val="single" w:sz="2" w:space="0" w:color="auto"/>
            </w:tcBorders>
            <w:vAlign w:val="center"/>
          </w:tcPr>
          <w:p w14:paraId="0E6F0220" w14:textId="77777777" w:rsidR="004039AC" w:rsidRPr="00077EBA" w:rsidRDefault="004039AC" w:rsidP="00F1249E">
            <w:pPr>
              <w:widowControl w:val="0"/>
              <w:spacing w:line="209" w:lineRule="auto"/>
              <w:rPr>
                <w:sz w:val="26"/>
                <w:szCs w:val="26"/>
                <w:lang w:val="vi-VN"/>
              </w:rPr>
            </w:pPr>
            <w:r w:rsidRPr="00077EBA">
              <w:rPr>
                <w:sz w:val="26"/>
                <w:szCs w:val="26"/>
                <w:lang w:val="vi-VN"/>
              </w:rPr>
              <w:lastRenderedPageBreak/>
              <w:t>Thuyết minh chi tiết đề xuất các biện pháp phù hợp</w:t>
            </w:r>
          </w:p>
        </w:tc>
        <w:tc>
          <w:tcPr>
            <w:tcW w:w="1516" w:type="pct"/>
            <w:tcBorders>
              <w:top w:val="single" w:sz="2" w:space="0" w:color="auto"/>
              <w:left w:val="single" w:sz="2" w:space="0" w:color="auto"/>
              <w:bottom w:val="single" w:sz="2" w:space="0" w:color="auto"/>
              <w:right w:val="single" w:sz="2" w:space="0" w:color="auto"/>
            </w:tcBorders>
            <w:vAlign w:val="center"/>
          </w:tcPr>
          <w:p w14:paraId="53B1385A" w14:textId="77777777" w:rsidR="004039AC" w:rsidRPr="00077EBA" w:rsidRDefault="004039AC" w:rsidP="00F1249E">
            <w:pPr>
              <w:widowControl w:val="0"/>
              <w:spacing w:line="209" w:lineRule="auto"/>
              <w:rPr>
                <w:sz w:val="26"/>
                <w:szCs w:val="26"/>
                <w:lang w:val="vi-VN"/>
              </w:rPr>
            </w:pPr>
            <w:r w:rsidRPr="00077EBA">
              <w:rPr>
                <w:sz w:val="26"/>
                <w:szCs w:val="26"/>
                <w:lang w:val="vi-VN"/>
              </w:rPr>
              <w:t>Không đáp ứng yêu cầu</w:t>
            </w:r>
          </w:p>
        </w:tc>
      </w:tr>
      <w:tr w:rsidR="00077EBA" w:rsidRPr="00077EBA" w14:paraId="4A5E90BA" w14:textId="77777777" w:rsidTr="00F1249E">
        <w:trPr>
          <w:trHeight w:val="20"/>
          <w:jc w:val="center"/>
        </w:trPr>
        <w:tc>
          <w:tcPr>
            <w:tcW w:w="447" w:type="pct"/>
            <w:tcBorders>
              <w:top w:val="single" w:sz="2" w:space="0" w:color="auto"/>
              <w:left w:val="single" w:sz="2" w:space="0" w:color="auto"/>
              <w:bottom w:val="single" w:sz="2" w:space="0" w:color="auto"/>
              <w:right w:val="single" w:sz="2" w:space="0" w:color="auto"/>
            </w:tcBorders>
            <w:vAlign w:val="center"/>
          </w:tcPr>
          <w:p w14:paraId="343AE9AE" w14:textId="77777777" w:rsidR="004039AC" w:rsidRPr="00077EBA" w:rsidRDefault="004039AC" w:rsidP="00F1249E">
            <w:pPr>
              <w:widowControl w:val="0"/>
              <w:spacing w:line="209" w:lineRule="auto"/>
              <w:jc w:val="center"/>
              <w:rPr>
                <w:sz w:val="26"/>
                <w:szCs w:val="26"/>
                <w:lang w:val="vi-VN"/>
              </w:rPr>
            </w:pPr>
            <w:r w:rsidRPr="00077EBA">
              <w:rPr>
                <w:sz w:val="26"/>
                <w:szCs w:val="26"/>
                <w:lang w:val="vi-VN"/>
              </w:rPr>
              <w:t>2</w:t>
            </w:r>
          </w:p>
        </w:tc>
        <w:tc>
          <w:tcPr>
            <w:tcW w:w="1219" w:type="pct"/>
            <w:tcBorders>
              <w:top w:val="single" w:sz="2" w:space="0" w:color="auto"/>
              <w:left w:val="single" w:sz="2" w:space="0" w:color="auto"/>
              <w:bottom w:val="single" w:sz="2" w:space="0" w:color="auto"/>
              <w:right w:val="single" w:sz="2" w:space="0" w:color="auto"/>
            </w:tcBorders>
            <w:vAlign w:val="center"/>
          </w:tcPr>
          <w:p w14:paraId="53238383" w14:textId="77777777" w:rsidR="004039AC" w:rsidRPr="00077EBA" w:rsidRDefault="004039AC" w:rsidP="00F1249E">
            <w:pPr>
              <w:widowControl w:val="0"/>
              <w:spacing w:line="209" w:lineRule="auto"/>
              <w:rPr>
                <w:sz w:val="26"/>
                <w:szCs w:val="26"/>
                <w:lang w:val="vi-VN"/>
              </w:rPr>
            </w:pPr>
            <w:r w:rsidRPr="00077EBA">
              <w:rPr>
                <w:sz w:val="26"/>
                <w:szCs w:val="26"/>
                <w:lang w:val="vi-VN"/>
              </w:rPr>
              <w:t>Mức độ đáp ứng hệ thống đảm bảo chất lượng và phương pháp thực hiện</w:t>
            </w:r>
          </w:p>
        </w:tc>
        <w:tc>
          <w:tcPr>
            <w:tcW w:w="1817" w:type="pct"/>
            <w:tcBorders>
              <w:top w:val="single" w:sz="2" w:space="0" w:color="auto"/>
              <w:left w:val="single" w:sz="2" w:space="0" w:color="auto"/>
              <w:bottom w:val="single" w:sz="2" w:space="0" w:color="auto"/>
              <w:right w:val="single" w:sz="2" w:space="0" w:color="auto"/>
            </w:tcBorders>
            <w:vAlign w:val="center"/>
          </w:tcPr>
          <w:p w14:paraId="1479277D" w14:textId="77777777" w:rsidR="004039AC" w:rsidRPr="00077EBA" w:rsidRDefault="004039AC" w:rsidP="00F1249E">
            <w:pPr>
              <w:spacing w:before="60" w:after="60"/>
              <w:rPr>
                <w:sz w:val="26"/>
                <w:szCs w:val="26"/>
                <w:lang w:val="vi-VN"/>
              </w:rPr>
            </w:pPr>
            <w:r w:rsidRPr="00077EBA">
              <w:rPr>
                <w:sz w:val="26"/>
                <w:szCs w:val="26"/>
                <w:lang w:val="vi-VN"/>
              </w:rPr>
              <w:t>Nhà thầu có thuyết minh thực hiện và việc đảm bảo các yêu cầu đáp ứng hệ thống đảm bảo chất lượng và phương pháp thực hiện với các nội dung công việc theo E-HSMT</w:t>
            </w:r>
          </w:p>
          <w:p w14:paraId="06EC934C" w14:textId="77777777" w:rsidR="004039AC" w:rsidRPr="00077EBA" w:rsidRDefault="004039AC" w:rsidP="00F1249E">
            <w:pPr>
              <w:widowControl w:val="0"/>
              <w:spacing w:line="209" w:lineRule="auto"/>
              <w:rPr>
                <w:sz w:val="26"/>
                <w:szCs w:val="26"/>
                <w:lang w:val="vi-VN"/>
              </w:rPr>
            </w:pPr>
          </w:p>
        </w:tc>
        <w:tc>
          <w:tcPr>
            <w:tcW w:w="1516" w:type="pct"/>
            <w:tcBorders>
              <w:top w:val="single" w:sz="2" w:space="0" w:color="auto"/>
              <w:left w:val="single" w:sz="2" w:space="0" w:color="auto"/>
              <w:bottom w:val="single" w:sz="2" w:space="0" w:color="auto"/>
              <w:right w:val="single" w:sz="2" w:space="0" w:color="auto"/>
            </w:tcBorders>
            <w:vAlign w:val="center"/>
          </w:tcPr>
          <w:p w14:paraId="3CDB7685" w14:textId="77777777" w:rsidR="004039AC" w:rsidRPr="00077EBA" w:rsidRDefault="004039AC" w:rsidP="00F1249E">
            <w:pPr>
              <w:widowControl w:val="0"/>
              <w:spacing w:line="209" w:lineRule="auto"/>
              <w:rPr>
                <w:sz w:val="26"/>
                <w:szCs w:val="26"/>
                <w:lang w:val="vi-VN"/>
              </w:rPr>
            </w:pPr>
            <w:r w:rsidRPr="00077EBA">
              <w:rPr>
                <w:sz w:val="26"/>
                <w:szCs w:val="26"/>
                <w:lang w:val="vi-VN"/>
              </w:rPr>
              <w:t>Nhà thầu không có thuyết minh thực hiện hoặc thuyết minh không đầy đủ và việc đảm bảo các yêu cầu đáp ứng hệ thống đảm bảo chất lượng và phương pháp thực hiện với các nội dung công việc theo E-HSMT</w:t>
            </w:r>
          </w:p>
        </w:tc>
      </w:tr>
      <w:tr w:rsidR="00077EBA" w:rsidRPr="00077EBA" w14:paraId="6DF268CB" w14:textId="77777777" w:rsidTr="00F1249E">
        <w:trPr>
          <w:trHeight w:val="20"/>
          <w:jc w:val="center"/>
        </w:trPr>
        <w:tc>
          <w:tcPr>
            <w:tcW w:w="447" w:type="pct"/>
            <w:tcBorders>
              <w:top w:val="single" w:sz="2" w:space="0" w:color="auto"/>
              <w:left w:val="single" w:sz="2" w:space="0" w:color="auto"/>
              <w:bottom w:val="single" w:sz="2" w:space="0" w:color="auto"/>
              <w:right w:val="single" w:sz="2" w:space="0" w:color="auto"/>
            </w:tcBorders>
            <w:vAlign w:val="center"/>
          </w:tcPr>
          <w:p w14:paraId="28E30331" w14:textId="77777777" w:rsidR="004039AC" w:rsidRPr="00077EBA" w:rsidRDefault="004039AC" w:rsidP="00F1249E">
            <w:pPr>
              <w:widowControl w:val="0"/>
              <w:spacing w:line="209" w:lineRule="auto"/>
              <w:jc w:val="center"/>
              <w:rPr>
                <w:sz w:val="26"/>
                <w:szCs w:val="26"/>
                <w:lang w:val="vi-VN"/>
              </w:rPr>
            </w:pPr>
            <w:r w:rsidRPr="00077EBA">
              <w:rPr>
                <w:sz w:val="26"/>
                <w:szCs w:val="26"/>
                <w:lang w:val="vi-VN"/>
              </w:rPr>
              <w:t>3</w:t>
            </w:r>
          </w:p>
        </w:tc>
        <w:tc>
          <w:tcPr>
            <w:tcW w:w="1219" w:type="pct"/>
            <w:tcBorders>
              <w:top w:val="single" w:sz="2" w:space="0" w:color="auto"/>
              <w:left w:val="single" w:sz="2" w:space="0" w:color="auto"/>
              <w:bottom w:val="single" w:sz="2" w:space="0" w:color="auto"/>
              <w:right w:val="single" w:sz="2" w:space="0" w:color="auto"/>
            </w:tcBorders>
            <w:vAlign w:val="center"/>
          </w:tcPr>
          <w:p w14:paraId="27FE3D8D" w14:textId="77777777" w:rsidR="004039AC" w:rsidRPr="00077EBA" w:rsidRDefault="004039AC" w:rsidP="00F1249E">
            <w:pPr>
              <w:widowControl w:val="0"/>
              <w:spacing w:line="209" w:lineRule="auto"/>
              <w:rPr>
                <w:sz w:val="26"/>
                <w:szCs w:val="26"/>
                <w:lang w:val="vi-VN"/>
              </w:rPr>
            </w:pPr>
            <w:r w:rsidRPr="00077EBA">
              <w:rPr>
                <w:sz w:val="26"/>
                <w:szCs w:val="26"/>
                <w:lang w:val="vi-VN"/>
              </w:rPr>
              <w:t>Mức độ đáp ứng về yêu cầu kỹ thuật của các dịch vụ</w:t>
            </w:r>
          </w:p>
        </w:tc>
        <w:tc>
          <w:tcPr>
            <w:tcW w:w="1817" w:type="pct"/>
            <w:tcBorders>
              <w:top w:val="single" w:sz="2" w:space="0" w:color="auto"/>
              <w:left w:val="single" w:sz="2" w:space="0" w:color="auto"/>
              <w:bottom w:val="single" w:sz="2" w:space="0" w:color="auto"/>
              <w:right w:val="single" w:sz="2" w:space="0" w:color="auto"/>
            </w:tcBorders>
            <w:vAlign w:val="center"/>
          </w:tcPr>
          <w:p w14:paraId="5F8C2063" w14:textId="77777777" w:rsidR="004039AC" w:rsidRPr="00077EBA" w:rsidRDefault="004039AC" w:rsidP="00F1249E">
            <w:pPr>
              <w:spacing w:before="60" w:after="60"/>
              <w:rPr>
                <w:sz w:val="26"/>
                <w:szCs w:val="26"/>
                <w:lang w:val="vi-VN"/>
              </w:rPr>
            </w:pPr>
          </w:p>
        </w:tc>
        <w:tc>
          <w:tcPr>
            <w:tcW w:w="1516" w:type="pct"/>
            <w:tcBorders>
              <w:top w:val="single" w:sz="2" w:space="0" w:color="auto"/>
              <w:left w:val="single" w:sz="2" w:space="0" w:color="auto"/>
              <w:bottom w:val="single" w:sz="2" w:space="0" w:color="auto"/>
              <w:right w:val="single" w:sz="2" w:space="0" w:color="auto"/>
            </w:tcBorders>
            <w:vAlign w:val="center"/>
          </w:tcPr>
          <w:p w14:paraId="1DC371D3" w14:textId="77777777" w:rsidR="004039AC" w:rsidRPr="00077EBA" w:rsidRDefault="004039AC" w:rsidP="00F1249E">
            <w:pPr>
              <w:widowControl w:val="0"/>
              <w:spacing w:line="209" w:lineRule="auto"/>
              <w:rPr>
                <w:sz w:val="26"/>
                <w:szCs w:val="26"/>
                <w:lang w:val="vi-VN"/>
              </w:rPr>
            </w:pPr>
          </w:p>
        </w:tc>
      </w:tr>
      <w:tr w:rsidR="00077EBA" w:rsidRPr="00077EBA" w14:paraId="6A664C74" w14:textId="77777777" w:rsidTr="00F1249E">
        <w:trPr>
          <w:trHeight w:val="20"/>
          <w:jc w:val="center"/>
        </w:trPr>
        <w:tc>
          <w:tcPr>
            <w:tcW w:w="447" w:type="pct"/>
            <w:tcBorders>
              <w:top w:val="single" w:sz="2" w:space="0" w:color="auto"/>
              <w:left w:val="single" w:sz="2" w:space="0" w:color="auto"/>
              <w:bottom w:val="single" w:sz="2" w:space="0" w:color="auto"/>
              <w:right w:val="single" w:sz="2" w:space="0" w:color="auto"/>
            </w:tcBorders>
            <w:vAlign w:val="center"/>
          </w:tcPr>
          <w:p w14:paraId="07AB15FB" w14:textId="77777777" w:rsidR="004039AC" w:rsidRPr="00077EBA" w:rsidRDefault="004039AC" w:rsidP="00F1249E">
            <w:pPr>
              <w:widowControl w:val="0"/>
              <w:spacing w:line="209" w:lineRule="auto"/>
              <w:jc w:val="center"/>
              <w:rPr>
                <w:sz w:val="26"/>
                <w:szCs w:val="26"/>
                <w:lang w:val="vi-VN"/>
              </w:rPr>
            </w:pPr>
            <w:r w:rsidRPr="00077EBA">
              <w:rPr>
                <w:sz w:val="26"/>
                <w:szCs w:val="26"/>
                <w:lang w:val="vi-VN"/>
              </w:rPr>
              <w:t>3.1</w:t>
            </w:r>
          </w:p>
        </w:tc>
        <w:tc>
          <w:tcPr>
            <w:tcW w:w="1219" w:type="pct"/>
            <w:tcBorders>
              <w:top w:val="single" w:sz="2" w:space="0" w:color="auto"/>
              <w:left w:val="single" w:sz="2" w:space="0" w:color="auto"/>
              <w:bottom w:val="single" w:sz="2" w:space="0" w:color="auto"/>
              <w:right w:val="single" w:sz="2" w:space="0" w:color="auto"/>
            </w:tcBorders>
            <w:vAlign w:val="center"/>
          </w:tcPr>
          <w:p w14:paraId="4976F6C1" w14:textId="77777777" w:rsidR="004039AC" w:rsidRPr="00077EBA" w:rsidRDefault="004039AC" w:rsidP="00F1249E">
            <w:pPr>
              <w:widowControl w:val="0"/>
              <w:spacing w:line="209" w:lineRule="auto"/>
              <w:rPr>
                <w:sz w:val="26"/>
                <w:szCs w:val="26"/>
                <w:lang w:val="vi-VN"/>
              </w:rPr>
            </w:pPr>
            <w:r w:rsidRPr="00077EBA">
              <w:rPr>
                <w:sz w:val="26"/>
                <w:szCs w:val="26"/>
                <w:lang w:val="vi-VN"/>
              </w:rPr>
              <w:t>Đối với rác thải sinh hoạt</w:t>
            </w:r>
          </w:p>
        </w:tc>
        <w:tc>
          <w:tcPr>
            <w:tcW w:w="1817" w:type="pct"/>
            <w:tcBorders>
              <w:top w:val="single" w:sz="2" w:space="0" w:color="auto"/>
              <w:left w:val="single" w:sz="2" w:space="0" w:color="auto"/>
              <w:bottom w:val="single" w:sz="2" w:space="0" w:color="auto"/>
              <w:right w:val="single" w:sz="2" w:space="0" w:color="auto"/>
            </w:tcBorders>
            <w:vAlign w:val="center"/>
          </w:tcPr>
          <w:p w14:paraId="73E52945" w14:textId="77777777" w:rsidR="004039AC" w:rsidRPr="00077EBA" w:rsidRDefault="004039AC" w:rsidP="00F1249E">
            <w:pPr>
              <w:spacing w:before="60" w:after="60"/>
              <w:rPr>
                <w:sz w:val="26"/>
                <w:szCs w:val="26"/>
                <w:lang w:val="vi-VN"/>
              </w:rPr>
            </w:pPr>
            <w:r w:rsidRPr="00077EBA">
              <w:rPr>
                <w:sz w:val="26"/>
                <w:szCs w:val="26"/>
                <w:lang w:val="vi-VN"/>
              </w:rPr>
              <w:t>Có cơ sở xử lý rác thải hoặc có Hợp đồng nguyên tắc với đơn vị xử lý rác thải. (Cơ sở xử lý rác có thể trong địa bàn tỉnh hoặc ngoài tỉnh)</w:t>
            </w:r>
          </w:p>
          <w:p w14:paraId="396D3022" w14:textId="77777777" w:rsidR="004039AC" w:rsidRPr="00077EBA" w:rsidRDefault="004039AC" w:rsidP="00F1249E">
            <w:pPr>
              <w:spacing w:before="60" w:after="60"/>
              <w:rPr>
                <w:sz w:val="26"/>
                <w:szCs w:val="26"/>
              </w:rPr>
            </w:pPr>
            <w:r w:rsidRPr="00077EBA">
              <w:rPr>
                <w:sz w:val="26"/>
                <w:szCs w:val="26"/>
                <w:lang w:val="vi-VN"/>
              </w:rPr>
              <w:t>Nhà thầu cần cung cấp hồ sơ cấp phép được cấp bởi cơ quan có thẩm quyền, bao gồm: QĐ phê duyệt dự án; Hợp đồng thuê đất/ Quyết định giao đất; Giấy phép môi trường hoặc giấy phép môi trường thành phần theo Quy định của Luật Bảo vệ môi trường 2020, Nghị định 08/2022 của Chính phủ và Thông tư 02/2022 của Bộ TNMT</w:t>
            </w:r>
            <w:r w:rsidRPr="00077EBA">
              <w:rPr>
                <w:sz w:val="26"/>
                <w:szCs w:val="26"/>
              </w:rPr>
              <w:t>, Thông tư 07/2025/TT-BTNMT</w:t>
            </w:r>
          </w:p>
          <w:p w14:paraId="2CDC49C4" w14:textId="77777777" w:rsidR="004039AC" w:rsidRPr="00077EBA" w:rsidRDefault="004039AC" w:rsidP="00F1249E">
            <w:pPr>
              <w:spacing w:before="60" w:after="60"/>
              <w:rPr>
                <w:sz w:val="26"/>
                <w:szCs w:val="26"/>
                <w:lang w:val="vi-VN"/>
              </w:rPr>
            </w:pPr>
            <w:r w:rsidRPr="00077EBA">
              <w:rPr>
                <w:sz w:val="26"/>
                <w:szCs w:val="26"/>
                <w:lang w:val="vi-VN"/>
              </w:rPr>
              <w:t xml:space="preserve">Trong mọi trường hợp, nhà thầu phải có thuyết minh chứng minh tính khả thi về giải pháp kỹ thuật và giải pháp tài chính liên quan đến việc vận chuyển và xử lý rác </w:t>
            </w:r>
            <w:r w:rsidRPr="00077EBA">
              <w:rPr>
                <w:sz w:val="26"/>
                <w:szCs w:val="26"/>
                <w:lang w:val="vi-VN"/>
              </w:rPr>
              <w:lastRenderedPageBreak/>
              <w:t>thải tại địa điểm nhà thầu đề xuất</w:t>
            </w:r>
          </w:p>
        </w:tc>
        <w:tc>
          <w:tcPr>
            <w:tcW w:w="1516" w:type="pct"/>
            <w:tcBorders>
              <w:top w:val="single" w:sz="2" w:space="0" w:color="auto"/>
              <w:left w:val="single" w:sz="2" w:space="0" w:color="auto"/>
              <w:bottom w:val="single" w:sz="2" w:space="0" w:color="auto"/>
              <w:right w:val="single" w:sz="2" w:space="0" w:color="auto"/>
            </w:tcBorders>
            <w:vAlign w:val="center"/>
          </w:tcPr>
          <w:p w14:paraId="1A06ADA3" w14:textId="77777777" w:rsidR="004039AC" w:rsidRPr="00077EBA" w:rsidRDefault="004039AC" w:rsidP="00F1249E">
            <w:pPr>
              <w:widowControl w:val="0"/>
              <w:spacing w:line="209" w:lineRule="auto"/>
              <w:rPr>
                <w:sz w:val="26"/>
                <w:szCs w:val="26"/>
                <w:lang w:val="vi-VN"/>
              </w:rPr>
            </w:pPr>
            <w:r w:rsidRPr="00077EBA">
              <w:rPr>
                <w:sz w:val="26"/>
                <w:szCs w:val="26"/>
                <w:lang w:val="vi-VN"/>
              </w:rPr>
              <w:lastRenderedPageBreak/>
              <w:t xml:space="preserve">Nhà thầu không cung cấp đầy đủ các tài liệu nêu </w:t>
            </w:r>
            <w:r w:rsidRPr="00077EBA">
              <w:rPr>
                <w:sz w:val="26"/>
                <w:szCs w:val="26"/>
              </w:rPr>
              <w:t xml:space="preserve">bên </w:t>
            </w:r>
            <w:r w:rsidRPr="00077EBA">
              <w:rPr>
                <w:sz w:val="26"/>
                <w:szCs w:val="26"/>
                <w:lang w:val="vi-VN"/>
              </w:rPr>
              <w:t>hoặc</w:t>
            </w:r>
          </w:p>
          <w:p w14:paraId="0D3FF9FE" w14:textId="77777777" w:rsidR="004039AC" w:rsidRPr="00077EBA" w:rsidRDefault="004039AC" w:rsidP="00F1249E">
            <w:pPr>
              <w:widowControl w:val="0"/>
              <w:spacing w:line="209" w:lineRule="auto"/>
              <w:rPr>
                <w:sz w:val="26"/>
                <w:szCs w:val="26"/>
                <w:lang w:val="vi-VN"/>
              </w:rPr>
            </w:pPr>
            <w:r w:rsidRPr="00077EBA">
              <w:rPr>
                <w:sz w:val="26"/>
                <w:szCs w:val="26"/>
                <w:lang w:val="vi-VN"/>
              </w:rPr>
              <w:t>Không chứng minh được tính khả thi về giải pháp kỹ thuật và giải pháp tài chính liên quan đến việc vận chuyển và xử lý rác thải tại địa điểm nhà thầu đề xuất</w:t>
            </w:r>
          </w:p>
        </w:tc>
      </w:tr>
      <w:tr w:rsidR="00077EBA" w:rsidRPr="00077EBA" w14:paraId="20FF2A69" w14:textId="77777777" w:rsidTr="00F1249E">
        <w:trPr>
          <w:trHeight w:val="20"/>
          <w:jc w:val="center"/>
        </w:trPr>
        <w:tc>
          <w:tcPr>
            <w:tcW w:w="447" w:type="pct"/>
            <w:tcBorders>
              <w:top w:val="single" w:sz="2" w:space="0" w:color="auto"/>
              <w:left w:val="single" w:sz="2" w:space="0" w:color="auto"/>
              <w:bottom w:val="single" w:sz="2" w:space="0" w:color="auto"/>
              <w:right w:val="single" w:sz="2" w:space="0" w:color="auto"/>
            </w:tcBorders>
            <w:vAlign w:val="center"/>
          </w:tcPr>
          <w:p w14:paraId="718FED68" w14:textId="77777777" w:rsidR="004039AC" w:rsidRPr="00077EBA" w:rsidRDefault="004039AC" w:rsidP="00F1249E">
            <w:pPr>
              <w:widowControl w:val="0"/>
              <w:spacing w:line="209" w:lineRule="auto"/>
              <w:jc w:val="center"/>
              <w:rPr>
                <w:sz w:val="26"/>
                <w:szCs w:val="26"/>
                <w:lang w:val="vi-VN"/>
              </w:rPr>
            </w:pPr>
            <w:r w:rsidRPr="00077EBA">
              <w:rPr>
                <w:sz w:val="26"/>
                <w:szCs w:val="26"/>
                <w:lang w:val="vi-VN"/>
              </w:rPr>
              <w:t>3.2.</w:t>
            </w:r>
          </w:p>
        </w:tc>
        <w:tc>
          <w:tcPr>
            <w:tcW w:w="1219" w:type="pct"/>
            <w:tcBorders>
              <w:top w:val="single" w:sz="2" w:space="0" w:color="auto"/>
              <w:left w:val="single" w:sz="2" w:space="0" w:color="auto"/>
              <w:bottom w:val="single" w:sz="2" w:space="0" w:color="auto"/>
              <w:right w:val="single" w:sz="2" w:space="0" w:color="auto"/>
            </w:tcBorders>
            <w:vAlign w:val="center"/>
          </w:tcPr>
          <w:p w14:paraId="3993A4DE" w14:textId="77777777" w:rsidR="004039AC" w:rsidRPr="00077EBA" w:rsidRDefault="004039AC" w:rsidP="00F1249E">
            <w:pPr>
              <w:widowControl w:val="0"/>
              <w:spacing w:line="209" w:lineRule="auto"/>
              <w:rPr>
                <w:sz w:val="26"/>
                <w:szCs w:val="26"/>
                <w:lang w:val="vi-VN"/>
              </w:rPr>
            </w:pPr>
            <w:r w:rsidRPr="00077EBA">
              <w:rPr>
                <w:sz w:val="26"/>
                <w:szCs w:val="26"/>
                <w:lang w:val="vi-VN"/>
              </w:rPr>
              <w:t>Đối với rác cành lá cây; rác từ bùn nạo vét của hệ thống thoát nước,....</w:t>
            </w:r>
          </w:p>
        </w:tc>
        <w:tc>
          <w:tcPr>
            <w:tcW w:w="1817" w:type="pct"/>
            <w:tcBorders>
              <w:top w:val="single" w:sz="2" w:space="0" w:color="auto"/>
              <w:left w:val="single" w:sz="2" w:space="0" w:color="auto"/>
              <w:bottom w:val="single" w:sz="2" w:space="0" w:color="auto"/>
              <w:right w:val="single" w:sz="2" w:space="0" w:color="auto"/>
            </w:tcBorders>
            <w:vAlign w:val="center"/>
          </w:tcPr>
          <w:p w14:paraId="7028BCAD" w14:textId="77777777" w:rsidR="004039AC" w:rsidRPr="00077EBA" w:rsidRDefault="004039AC" w:rsidP="00F1249E">
            <w:pPr>
              <w:spacing w:before="60" w:after="60"/>
              <w:rPr>
                <w:sz w:val="26"/>
                <w:szCs w:val="26"/>
                <w:lang w:val="vi-VN"/>
              </w:rPr>
            </w:pPr>
            <w:r w:rsidRPr="00077EBA">
              <w:rPr>
                <w:sz w:val="26"/>
                <w:szCs w:val="26"/>
                <w:lang w:val="vi-VN"/>
              </w:rPr>
              <w:t>Có cơ sở xử lý rác thải hoặc có Hợp đồng nguyên tắc với đơn vị xử lý rác thải. (Cơ sở xử lý rác có thể trong địa bàn tỉnh hoặc ngoài tỉnh)</w:t>
            </w:r>
          </w:p>
          <w:p w14:paraId="65DB257E" w14:textId="77777777" w:rsidR="004039AC" w:rsidRPr="00077EBA" w:rsidRDefault="004039AC" w:rsidP="00F1249E">
            <w:pPr>
              <w:spacing w:before="60" w:after="60"/>
              <w:rPr>
                <w:sz w:val="26"/>
                <w:szCs w:val="26"/>
              </w:rPr>
            </w:pPr>
            <w:r w:rsidRPr="00077EBA">
              <w:rPr>
                <w:sz w:val="26"/>
                <w:szCs w:val="26"/>
                <w:lang w:val="vi-VN"/>
              </w:rPr>
              <w:t>Nhà thầu cần cung cấp hồ sơ cấp phép được cấp bởi cơ quan có thẩm quyền, bao gồm: QĐ phê duyệt dự án; Hợp đồng thuê đất/ Quyết định giao đất; Giấy phép môi trường hoặc giấy phép môi trường thành phần theo Quy định của Luật Bảo vệ môi trường 2020, Nghị định 08/2022 của Chính phủ và Thông tư 02/2022 của Bộ TNMT</w:t>
            </w:r>
            <w:r w:rsidRPr="00077EBA">
              <w:rPr>
                <w:sz w:val="26"/>
                <w:szCs w:val="26"/>
              </w:rPr>
              <w:t xml:space="preserve">, Thông tư 07/2025/TT-BTNMT </w:t>
            </w:r>
          </w:p>
          <w:p w14:paraId="233A3B4D" w14:textId="77777777" w:rsidR="004039AC" w:rsidRPr="00077EBA" w:rsidRDefault="004039AC" w:rsidP="00F1249E">
            <w:pPr>
              <w:spacing w:line="209" w:lineRule="auto"/>
              <w:rPr>
                <w:sz w:val="26"/>
                <w:szCs w:val="26"/>
                <w:lang w:val="vi-VN"/>
              </w:rPr>
            </w:pPr>
            <w:r w:rsidRPr="00077EBA">
              <w:rPr>
                <w:sz w:val="26"/>
                <w:szCs w:val="26"/>
                <w:lang w:val="vi-VN"/>
              </w:rPr>
              <w:t>Trong mọi trường hợp, nhà thầu phải có thuyết minh chứng minh tính khả thi về giải pháp kỹ thuật và giải pháp tài chính liên quan đến việc vận chuyển và xử lý rác thải tại địa điểm nhà thầu đề xuất</w:t>
            </w:r>
          </w:p>
        </w:tc>
        <w:tc>
          <w:tcPr>
            <w:tcW w:w="1516" w:type="pct"/>
            <w:tcBorders>
              <w:top w:val="single" w:sz="2" w:space="0" w:color="auto"/>
              <w:left w:val="single" w:sz="2" w:space="0" w:color="auto"/>
              <w:bottom w:val="single" w:sz="2" w:space="0" w:color="auto"/>
              <w:right w:val="single" w:sz="2" w:space="0" w:color="auto"/>
            </w:tcBorders>
            <w:vAlign w:val="center"/>
          </w:tcPr>
          <w:p w14:paraId="0C01BB5D" w14:textId="77777777" w:rsidR="004039AC" w:rsidRPr="00077EBA" w:rsidRDefault="004039AC" w:rsidP="00F1249E">
            <w:pPr>
              <w:widowControl w:val="0"/>
              <w:spacing w:line="209" w:lineRule="auto"/>
              <w:rPr>
                <w:sz w:val="26"/>
                <w:szCs w:val="26"/>
                <w:lang w:val="vi-VN"/>
              </w:rPr>
            </w:pPr>
            <w:r w:rsidRPr="00077EBA">
              <w:rPr>
                <w:sz w:val="26"/>
                <w:szCs w:val="26"/>
                <w:lang w:val="vi-VN"/>
              </w:rPr>
              <w:t xml:space="preserve">Nhà thầu không cung cấp đầy đủ các tài liệu nêu </w:t>
            </w:r>
            <w:r w:rsidRPr="00077EBA">
              <w:rPr>
                <w:sz w:val="26"/>
                <w:szCs w:val="26"/>
              </w:rPr>
              <w:t xml:space="preserve">bên </w:t>
            </w:r>
            <w:r w:rsidRPr="00077EBA">
              <w:rPr>
                <w:sz w:val="26"/>
                <w:szCs w:val="26"/>
                <w:lang w:val="vi-VN"/>
              </w:rPr>
              <w:t>hoặc</w:t>
            </w:r>
          </w:p>
          <w:p w14:paraId="397D8FB7" w14:textId="77777777" w:rsidR="004039AC" w:rsidRPr="00077EBA" w:rsidRDefault="004039AC" w:rsidP="00F1249E">
            <w:pPr>
              <w:widowControl w:val="0"/>
              <w:spacing w:line="209" w:lineRule="auto"/>
              <w:rPr>
                <w:sz w:val="26"/>
                <w:szCs w:val="26"/>
                <w:lang w:val="vi-VN"/>
              </w:rPr>
            </w:pPr>
            <w:r w:rsidRPr="00077EBA">
              <w:rPr>
                <w:sz w:val="26"/>
                <w:szCs w:val="26"/>
                <w:lang w:val="vi-VN"/>
              </w:rPr>
              <w:t>Không chứng minh được tính khả thi về giải pháp kỹ thuật và giải pháp tài chính liên quan đến việc vận chuyển và xử lý rác thải tại địa điểm nhà thầu đề xuất</w:t>
            </w:r>
          </w:p>
        </w:tc>
      </w:tr>
      <w:tr w:rsidR="00077EBA" w:rsidRPr="00077EBA" w14:paraId="66351200" w14:textId="77777777" w:rsidTr="00F1249E">
        <w:trPr>
          <w:trHeight w:val="20"/>
          <w:jc w:val="center"/>
        </w:trPr>
        <w:tc>
          <w:tcPr>
            <w:tcW w:w="447" w:type="pct"/>
            <w:tcBorders>
              <w:top w:val="single" w:sz="2" w:space="0" w:color="auto"/>
              <w:left w:val="single" w:sz="2" w:space="0" w:color="auto"/>
              <w:bottom w:val="single" w:sz="2" w:space="0" w:color="auto"/>
              <w:right w:val="single" w:sz="2" w:space="0" w:color="auto"/>
            </w:tcBorders>
            <w:vAlign w:val="center"/>
          </w:tcPr>
          <w:p w14:paraId="780ACA32" w14:textId="77777777" w:rsidR="004039AC" w:rsidRPr="00077EBA" w:rsidRDefault="004039AC" w:rsidP="00F1249E">
            <w:pPr>
              <w:widowControl w:val="0"/>
              <w:spacing w:line="209" w:lineRule="auto"/>
              <w:rPr>
                <w:rFonts w:eastAsia="Courier New"/>
                <w:sz w:val="26"/>
                <w:szCs w:val="26"/>
                <w:lang w:eastAsia="vi-VN"/>
              </w:rPr>
            </w:pPr>
            <w:r w:rsidRPr="00077EBA">
              <w:rPr>
                <w:b/>
                <w:sz w:val="26"/>
                <w:szCs w:val="26"/>
              </w:rPr>
              <w:t>V</w:t>
            </w:r>
          </w:p>
        </w:tc>
        <w:tc>
          <w:tcPr>
            <w:tcW w:w="4553" w:type="pct"/>
            <w:gridSpan w:val="3"/>
            <w:tcBorders>
              <w:top w:val="single" w:sz="2" w:space="0" w:color="auto"/>
              <w:left w:val="single" w:sz="2" w:space="0" w:color="auto"/>
              <w:bottom w:val="single" w:sz="2" w:space="0" w:color="auto"/>
              <w:right w:val="single" w:sz="2" w:space="0" w:color="auto"/>
            </w:tcBorders>
            <w:vAlign w:val="center"/>
          </w:tcPr>
          <w:p w14:paraId="50FBC804" w14:textId="77777777" w:rsidR="004039AC" w:rsidRPr="00077EBA" w:rsidRDefault="004039AC" w:rsidP="00F1249E">
            <w:pPr>
              <w:widowControl w:val="0"/>
              <w:spacing w:line="209" w:lineRule="auto"/>
              <w:rPr>
                <w:sz w:val="26"/>
                <w:szCs w:val="26"/>
                <w:lang w:val="pl-PL"/>
              </w:rPr>
            </w:pPr>
            <w:r w:rsidRPr="00077EBA">
              <w:rPr>
                <w:b/>
                <w:sz w:val="26"/>
                <w:szCs w:val="26"/>
              </w:rPr>
              <w:t>Mức độ đáp ứng các yêu cầu về tiêu chuẩn thực hiện dịch vụ;</w:t>
            </w:r>
          </w:p>
        </w:tc>
      </w:tr>
      <w:tr w:rsidR="00077EBA" w:rsidRPr="00077EBA" w14:paraId="0302E50B" w14:textId="77777777" w:rsidTr="00F1249E">
        <w:trPr>
          <w:trHeight w:val="20"/>
          <w:jc w:val="center"/>
        </w:trPr>
        <w:tc>
          <w:tcPr>
            <w:tcW w:w="447" w:type="pct"/>
            <w:tcBorders>
              <w:top w:val="single" w:sz="2" w:space="0" w:color="auto"/>
              <w:left w:val="single" w:sz="2" w:space="0" w:color="auto"/>
              <w:bottom w:val="single" w:sz="2" w:space="0" w:color="auto"/>
              <w:right w:val="single" w:sz="2" w:space="0" w:color="auto"/>
            </w:tcBorders>
            <w:vAlign w:val="center"/>
          </w:tcPr>
          <w:p w14:paraId="1D006DF5" w14:textId="77777777" w:rsidR="004039AC" w:rsidRPr="00077EBA" w:rsidRDefault="004039AC" w:rsidP="00F1249E">
            <w:pPr>
              <w:widowControl w:val="0"/>
              <w:spacing w:line="209" w:lineRule="auto"/>
              <w:rPr>
                <w:b/>
                <w:sz w:val="26"/>
                <w:szCs w:val="26"/>
              </w:rPr>
            </w:pPr>
            <w:r w:rsidRPr="00077EBA">
              <w:rPr>
                <w:sz w:val="26"/>
                <w:szCs w:val="26"/>
                <w:lang w:val="vi-VN"/>
              </w:rPr>
              <w:t>1</w:t>
            </w:r>
          </w:p>
        </w:tc>
        <w:tc>
          <w:tcPr>
            <w:tcW w:w="1219" w:type="pct"/>
            <w:tcBorders>
              <w:top w:val="single" w:sz="2" w:space="0" w:color="auto"/>
              <w:left w:val="single" w:sz="2" w:space="0" w:color="auto"/>
              <w:bottom w:val="single" w:sz="2" w:space="0" w:color="auto"/>
              <w:right w:val="single" w:sz="2" w:space="0" w:color="auto"/>
            </w:tcBorders>
            <w:vAlign w:val="center"/>
          </w:tcPr>
          <w:p w14:paraId="34870F52" w14:textId="77777777" w:rsidR="004039AC" w:rsidRPr="00077EBA" w:rsidRDefault="004039AC" w:rsidP="00F1249E">
            <w:pPr>
              <w:widowControl w:val="0"/>
              <w:spacing w:line="209" w:lineRule="auto"/>
              <w:rPr>
                <w:b/>
                <w:sz w:val="26"/>
                <w:szCs w:val="26"/>
              </w:rPr>
            </w:pPr>
            <w:r w:rsidRPr="00077EBA">
              <w:rPr>
                <w:sz w:val="26"/>
                <w:szCs w:val="26"/>
                <w:lang w:val="vi-VN"/>
              </w:rPr>
              <w:t>Mức độ đáp ứng các yêu cầu về tiêu chuẩn thực hiện dịch vụ</w:t>
            </w:r>
          </w:p>
        </w:tc>
        <w:tc>
          <w:tcPr>
            <w:tcW w:w="1817" w:type="pct"/>
            <w:tcBorders>
              <w:top w:val="single" w:sz="2" w:space="0" w:color="auto"/>
              <w:left w:val="single" w:sz="2" w:space="0" w:color="auto"/>
              <w:bottom w:val="single" w:sz="2" w:space="0" w:color="auto"/>
              <w:right w:val="single" w:sz="2" w:space="0" w:color="auto"/>
            </w:tcBorders>
            <w:vAlign w:val="center"/>
          </w:tcPr>
          <w:p w14:paraId="3C6382EC" w14:textId="77777777" w:rsidR="004039AC" w:rsidRPr="00077EBA" w:rsidRDefault="004039AC" w:rsidP="00F1249E">
            <w:pPr>
              <w:spacing w:before="60" w:after="60"/>
              <w:rPr>
                <w:sz w:val="26"/>
                <w:szCs w:val="26"/>
                <w:lang w:val="pl-PL"/>
              </w:rPr>
            </w:pPr>
            <w:r w:rsidRPr="00077EBA">
              <w:rPr>
                <w:sz w:val="26"/>
                <w:szCs w:val="26"/>
                <w:lang w:val="vi-VN"/>
              </w:rPr>
              <w:t>Có thuyết minh trình bày chi tiết, cụ thể về việc áp dụng các quy chuẩn, tiêu chuẩn phù hợp để thực hiện gói thầu</w:t>
            </w:r>
          </w:p>
        </w:tc>
        <w:tc>
          <w:tcPr>
            <w:tcW w:w="1516" w:type="pct"/>
            <w:tcBorders>
              <w:top w:val="single" w:sz="2" w:space="0" w:color="auto"/>
              <w:left w:val="single" w:sz="2" w:space="0" w:color="auto"/>
              <w:bottom w:val="single" w:sz="2" w:space="0" w:color="auto"/>
              <w:right w:val="single" w:sz="2" w:space="0" w:color="auto"/>
            </w:tcBorders>
            <w:vAlign w:val="center"/>
          </w:tcPr>
          <w:p w14:paraId="50A2722C" w14:textId="77777777" w:rsidR="004039AC" w:rsidRPr="00077EBA" w:rsidRDefault="004039AC" w:rsidP="00F1249E">
            <w:pPr>
              <w:widowControl w:val="0"/>
              <w:spacing w:line="209" w:lineRule="auto"/>
              <w:rPr>
                <w:sz w:val="26"/>
                <w:szCs w:val="26"/>
                <w:lang w:val="pl-PL"/>
              </w:rPr>
            </w:pPr>
            <w:r w:rsidRPr="00077EBA">
              <w:rPr>
                <w:sz w:val="26"/>
                <w:szCs w:val="26"/>
                <w:lang w:val="vi-VN"/>
              </w:rPr>
              <w:t>Không thuyết minh hoặc có thuyết minh nhưng không hợp lý</w:t>
            </w:r>
          </w:p>
        </w:tc>
      </w:tr>
      <w:tr w:rsidR="00077EBA" w:rsidRPr="00077EBA" w14:paraId="498BFEAA" w14:textId="77777777" w:rsidTr="00F1249E">
        <w:trPr>
          <w:trHeight w:val="20"/>
          <w:jc w:val="center"/>
        </w:trPr>
        <w:tc>
          <w:tcPr>
            <w:tcW w:w="447" w:type="pct"/>
            <w:tcBorders>
              <w:top w:val="single" w:sz="2" w:space="0" w:color="auto"/>
              <w:left w:val="single" w:sz="2" w:space="0" w:color="auto"/>
              <w:bottom w:val="single" w:sz="2" w:space="0" w:color="auto"/>
              <w:right w:val="single" w:sz="2" w:space="0" w:color="auto"/>
            </w:tcBorders>
            <w:vAlign w:val="center"/>
          </w:tcPr>
          <w:p w14:paraId="21198F6B" w14:textId="77777777" w:rsidR="004039AC" w:rsidRPr="00077EBA" w:rsidRDefault="004039AC" w:rsidP="00F1249E">
            <w:pPr>
              <w:widowControl w:val="0"/>
              <w:spacing w:line="209" w:lineRule="auto"/>
              <w:jc w:val="center"/>
              <w:rPr>
                <w:rFonts w:eastAsia="Courier New"/>
                <w:b/>
                <w:sz w:val="26"/>
                <w:szCs w:val="26"/>
                <w:lang w:eastAsia="vi-VN"/>
              </w:rPr>
            </w:pPr>
            <w:r w:rsidRPr="00077EBA">
              <w:rPr>
                <w:rFonts w:eastAsia="Courier New"/>
                <w:b/>
                <w:sz w:val="26"/>
                <w:szCs w:val="26"/>
                <w:lang w:eastAsia="vi-VN"/>
              </w:rPr>
              <w:t>VI</w:t>
            </w:r>
          </w:p>
        </w:tc>
        <w:tc>
          <w:tcPr>
            <w:tcW w:w="4553" w:type="pct"/>
            <w:gridSpan w:val="3"/>
            <w:tcBorders>
              <w:top w:val="single" w:sz="2" w:space="0" w:color="auto"/>
              <w:left w:val="single" w:sz="2" w:space="0" w:color="auto"/>
              <w:bottom w:val="single" w:sz="2" w:space="0" w:color="auto"/>
              <w:right w:val="single" w:sz="2" w:space="0" w:color="auto"/>
            </w:tcBorders>
            <w:vAlign w:val="center"/>
          </w:tcPr>
          <w:p w14:paraId="6C9FCD18" w14:textId="77777777" w:rsidR="004039AC" w:rsidRPr="00077EBA" w:rsidRDefault="004039AC" w:rsidP="00F1249E">
            <w:pPr>
              <w:widowControl w:val="0"/>
              <w:spacing w:line="209" w:lineRule="auto"/>
              <w:rPr>
                <w:rFonts w:eastAsia="Courier New"/>
                <w:sz w:val="26"/>
                <w:szCs w:val="26"/>
                <w:lang w:val="vi-VN" w:eastAsia="vi-VN"/>
              </w:rPr>
            </w:pPr>
            <w:r w:rsidRPr="00077EBA">
              <w:rPr>
                <w:b/>
                <w:sz w:val="26"/>
                <w:szCs w:val="26"/>
              </w:rPr>
              <w:t>Tiến độ thực hiện gói thầu đáp ứng yêu cầu của HSMT</w:t>
            </w:r>
          </w:p>
        </w:tc>
      </w:tr>
      <w:tr w:rsidR="00077EBA" w:rsidRPr="00077EBA" w14:paraId="4A326045" w14:textId="77777777" w:rsidTr="00F1249E">
        <w:trPr>
          <w:trHeight w:val="1143"/>
          <w:jc w:val="center"/>
        </w:trPr>
        <w:tc>
          <w:tcPr>
            <w:tcW w:w="447" w:type="pct"/>
            <w:tcBorders>
              <w:top w:val="single" w:sz="2" w:space="0" w:color="auto"/>
              <w:left w:val="single" w:sz="2" w:space="0" w:color="auto"/>
              <w:bottom w:val="single" w:sz="2" w:space="0" w:color="auto"/>
              <w:right w:val="single" w:sz="2" w:space="0" w:color="auto"/>
            </w:tcBorders>
            <w:vAlign w:val="center"/>
          </w:tcPr>
          <w:p w14:paraId="1AB59DCC" w14:textId="77777777" w:rsidR="004039AC" w:rsidRPr="00077EBA" w:rsidRDefault="004039AC" w:rsidP="00F1249E">
            <w:pPr>
              <w:spacing w:line="209" w:lineRule="auto"/>
              <w:jc w:val="center"/>
              <w:rPr>
                <w:sz w:val="26"/>
                <w:szCs w:val="26"/>
                <w:lang w:val="vi-VN"/>
              </w:rPr>
            </w:pPr>
            <w:r w:rsidRPr="00077EBA">
              <w:rPr>
                <w:sz w:val="26"/>
                <w:szCs w:val="26"/>
                <w:lang w:val="vi-VN"/>
              </w:rPr>
              <w:t>1</w:t>
            </w:r>
          </w:p>
        </w:tc>
        <w:tc>
          <w:tcPr>
            <w:tcW w:w="1219" w:type="pct"/>
            <w:tcBorders>
              <w:top w:val="single" w:sz="2" w:space="0" w:color="auto"/>
              <w:left w:val="single" w:sz="2" w:space="0" w:color="auto"/>
              <w:bottom w:val="single" w:sz="2" w:space="0" w:color="auto"/>
              <w:right w:val="single" w:sz="2" w:space="0" w:color="auto"/>
            </w:tcBorders>
            <w:vAlign w:val="center"/>
          </w:tcPr>
          <w:p w14:paraId="44734D03" w14:textId="77777777" w:rsidR="004039AC" w:rsidRPr="00077EBA" w:rsidRDefault="004039AC" w:rsidP="00F1249E">
            <w:pPr>
              <w:spacing w:line="209" w:lineRule="auto"/>
              <w:rPr>
                <w:sz w:val="26"/>
                <w:szCs w:val="26"/>
                <w:lang w:val="vi-VN"/>
              </w:rPr>
            </w:pPr>
            <w:r w:rsidRPr="00077EBA">
              <w:rPr>
                <w:sz w:val="26"/>
                <w:szCs w:val="26"/>
                <w:lang w:val="vi-VN"/>
              </w:rPr>
              <w:t>Tiến độ thực hiện là 365 ngày</w:t>
            </w:r>
          </w:p>
        </w:tc>
        <w:tc>
          <w:tcPr>
            <w:tcW w:w="1817" w:type="pct"/>
            <w:tcBorders>
              <w:top w:val="single" w:sz="2" w:space="0" w:color="auto"/>
              <w:left w:val="single" w:sz="2" w:space="0" w:color="auto"/>
              <w:bottom w:val="single" w:sz="2" w:space="0" w:color="auto"/>
              <w:right w:val="single" w:sz="2" w:space="0" w:color="auto"/>
            </w:tcBorders>
            <w:vAlign w:val="center"/>
          </w:tcPr>
          <w:p w14:paraId="165E44E2" w14:textId="77777777" w:rsidR="004039AC" w:rsidRPr="00077EBA" w:rsidRDefault="004039AC" w:rsidP="00F1249E">
            <w:pPr>
              <w:spacing w:line="209" w:lineRule="auto"/>
              <w:rPr>
                <w:sz w:val="26"/>
                <w:szCs w:val="26"/>
                <w:lang w:val="vi-VN"/>
              </w:rPr>
            </w:pPr>
            <w:r w:rsidRPr="00077EBA">
              <w:rPr>
                <w:sz w:val="26"/>
                <w:szCs w:val="26"/>
                <w:lang w:val="vi-VN"/>
              </w:rPr>
              <w:t>Đề xuất thời thực hiện là 365 ngày</w:t>
            </w:r>
          </w:p>
        </w:tc>
        <w:tc>
          <w:tcPr>
            <w:tcW w:w="1516" w:type="pct"/>
            <w:tcBorders>
              <w:top w:val="single" w:sz="2" w:space="0" w:color="auto"/>
              <w:left w:val="single" w:sz="2" w:space="0" w:color="auto"/>
              <w:bottom w:val="single" w:sz="2" w:space="0" w:color="auto"/>
              <w:right w:val="single" w:sz="2" w:space="0" w:color="auto"/>
            </w:tcBorders>
            <w:vAlign w:val="center"/>
          </w:tcPr>
          <w:p w14:paraId="39854EF2" w14:textId="77777777" w:rsidR="004039AC" w:rsidRPr="00077EBA" w:rsidRDefault="004039AC" w:rsidP="00F1249E">
            <w:pPr>
              <w:spacing w:line="209" w:lineRule="auto"/>
              <w:rPr>
                <w:sz w:val="26"/>
                <w:szCs w:val="26"/>
                <w:lang w:val="vi-VN"/>
              </w:rPr>
            </w:pPr>
            <w:r w:rsidRPr="00077EBA">
              <w:rPr>
                <w:sz w:val="26"/>
                <w:szCs w:val="26"/>
                <w:lang w:val="vi-VN"/>
              </w:rPr>
              <w:t>Đề xuất thời gian thực hiện dưới 365 ngày</w:t>
            </w:r>
          </w:p>
        </w:tc>
      </w:tr>
      <w:tr w:rsidR="00077EBA" w:rsidRPr="00077EBA" w14:paraId="4164E702" w14:textId="77777777" w:rsidTr="00F1249E">
        <w:trPr>
          <w:trHeight w:val="20"/>
          <w:jc w:val="center"/>
        </w:trPr>
        <w:tc>
          <w:tcPr>
            <w:tcW w:w="447" w:type="pct"/>
            <w:tcBorders>
              <w:top w:val="single" w:sz="2" w:space="0" w:color="auto"/>
              <w:left w:val="single" w:sz="2" w:space="0" w:color="auto"/>
              <w:bottom w:val="single" w:sz="2" w:space="0" w:color="auto"/>
              <w:right w:val="single" w:sz="2" w:space="0" w:color="auto"/>
            </w:tcBorders>
            <w:vAlign w:val="center"/>
          </w:tcPr>
          <w:p w14:paraId="09A4266A" w14:textId="77777777" w:rsidR="004039AC" w:rsidRPr="00077EBA" w:rsidRDefault="004039AC" w:rsidP="00F1249E">
            <w:pPr>
              <w:spacing w:line="209" w:lineRule="auto"/>
              <w:jc w:val="center"/>
              <w:rPr>
                <w:sz w:val="26"/>
                <w:szCs w:val="26"/>
                <w:lang w:val="vi-VN"/>
              </w:rPr>
            </w:pPr>
            <w:r w:rsidRPr="00077EBA">
              <w:rPr>
                <w:sz w:val="26"/>
                <w:szCs w:val="26"/>
                <w:lang w:val="vi-VN"/>
              </w:rPr>
              <w:t>2</w:t>
            </w:r>
          </w:p>
        </w:tc>
        <w:tc>
          <w:tcPr>
            <w:tcW w:w="1219" w:type="pct"/>
            <w:tcBorders>
              <w:top w:val="single" w:sz="2" w:space="0" w:color="auto"/>
              <w:left w:val="single" w:sz="2" w:space="0" w:color="auto"/>
              <w:bottom w:val="single" w:sz="2" w:space="0" w:color="auto"/>
              <w:right w:val="single" w:sz="2" w:space="0" w:color="auto"/>
            </w:tcBorders>
            <w:vAlign w:val="center"/>
          </w:tcPr>
          <w:p w14:paraId="796260D5" w14:textId="77777777" w:rsidR="004039AC" w:rsidRPr="00077EBA" w:rsidRDefault="004039AC" w:rsidP="00F1249E">
            <w:pPr>
              <w:spacing w:line="209" w:lineRule="auto"/>
              <w:rPr>
                <w:sz w:val="26"/>
                <w:szCs w:val="26"/>
                <w:lang w:val="vi-VN"/>
              </w:rPr>
            </w:pPr>
            <w:r w:rsidRPr="00077EBA">
              <w:rPr>
                <w:sz w:val="26"/>
                <w:szCs w:val="26"/>
                <w:lang w:val="vi-VN"/>
              </w:rPr>
              <w:t xml:space="preserve">Tiến độ thực hiện gói thầu đáp ứng </w:t>
            </w:r>
            <w:r w:rsidRPr="00077EBA">
              <w:rPr>
                <w:sz w:val="26"/>
                <w:szCs w:val="26"/>
                <w:lang w:val="vi-VN"/>
              </w:rPr>
              <w:lastRenderedPageBreak/>
              <w:t>yêu cầu của E-HSMT</w:t>
            </w:r>
          </w:p>
        </w:tc>
        <w:tc>
          <w:tcPr>
            <w:tcW w:w="1817" w:type="pct"/>
            <w:tcBorders>
              <w:top w:val="single" w:sz="2" w:space="0" w:color="auto"/>
              <w:left w:val="single" w:sz="2" w:space="0" w:color="auto"/>
              <w:bottom w:val="single" w:sz="2" w:space="0" w:color="auto"/>
              <w:right w:val="single" w:sz="2" w:space="0" w:color="auto"/>
            </w:tcBorders>
            <w:vAlign w:val="center"/>
          </w:tcPr>
          <w:p w14:paraId="4E29D1A6" w14:textId="77777777" w:rsidR="004039AC" w:rsidRPr="00077EBA" w:rsidRDefault="004039AC" w:rsidP="00F1249E">
            <w:pPr>
              <w:spacing w:line="209" w:lineRule="auto"/>
              <w:rPr>
                <w:sz w:val="26"/>
                <w:szCs w:val="26"/>
                <w:lang w:val="vi-VN"/>
              </w:rPr>
            </w:pPr>
            <w:r w:rsidRPr="00077EBA">
              <w:rPr>
                <w:sz w:val="26"/>
                <w:szCs w:val="26"/>
                <w:lang w:val="vi-VN"/>
              </w:rPr>
              <w:lastRenderedPageBreak/>
              <w:t xml:space="preserve">Có bảng tiên độ cung cấp dịch vụ hợp lý, khả thi và phù hợp </w:t>
            </w:r>
            <w:r w:rsidRPr="00077EBA">
              <w:rPr>
                <w:sz w:val="26"/>
                <w:szCs w:val="26"/>
                <w:lang w:val="vi-VN"/>
              </w:rPr>
              <w:lastRenderedPageBreak/>
              <w:t>với đề xuất kỹ thuật và đáp ứng yêu cầu của E-HSMT (có bảng kế hoạch bố trí nhân sự và thiết bị thực hiện, nhiệm vụ được giao kèm theo)</w:t>
            </w:r>
          </w:p>
        </w:tc>
        <w:tc>
          <w:tcPr>
            <w:tcW w:w="1516" w:type="pct"/>
            <w:tcBorders>
              <w:top w:val="single" w:sz="2" w:space="0" w:color="auto"/>
              <w:left w:val="single" w:sz="2" w:space="0" w:color="auto"/>
              <w:bottom w:val="single" w:sz="2" w:space="0" w:color="auto"/>
              <w:right w:val="single" w:sz="2" w:space="0" w:color="auto"/>
            </w:tcBorders>
            <w:vAlign w:val="center"/>
          </w:tcPr>
          <w:p w14:paraId="355CBA54" w14:textId="77777777" w:rsidR="004039AC" w:rsidRPr="00077EBA" w:rsidRDefault="004039AC" w:rsidP="00F1249E">
            <w:pPr>
              <w:spacing w:line="209" w:lineRule="auto"/>
              <w:rPr>
                <w:sz w:val="26"/>
                <w:szCs w:val="26"/>
                <w:lang w:val="vi-VN"/>
              </w:rPr>
            </w:pPr>
            <w:r w:rsidRPr="00077EBA">
              <w:rPr>
                <w:sz w:val="26"/>
                <w:szCs w:val="26"/>
                <w:lang w:val="vi-VN"/>
              </w:rPr>
              <w:lastRenderedPageBreak/>
              <w:t xml:space="preserve">Không có bảng tiên độ cung cấp dịch vụ hoặc </w:t>
            </w:r>
            <w:r w:rsidRPr="00077EBA">
              <w:rPr>
                <w:sz w:val="26"/>
                <w:szCs w:val="26"/>
                <w:lang w:val="vi-VN"/>
              </w:rPr>
              <w:lastRenderedPageBreak/>
              <w:t>có bảng tiến độ cung cấp dịch vụ nhưng không hợp lý, không khả thi không phù hợp với đề xuất kỹ thuật</w:t>
            </w:r>
          </w:p>
        </w:tc>
      </w:tr>
      <w:tr w:rsidR="00077EBA" w:rsidRPr="00077EBA" w14:paraId="0830055F" w14:textId="77777777" w:rsidTr="00F1249E">
        <w:trPr>
          <w:trHeight w:val="20"/>
          <w:jc w:val="center"/>
        </w:trPr>
        <w:tc>
          <w:tcPr>
            <w:tcW w:w="447" w:type="pct"/>
            <w:tcBorders>
              <w:top w:val="single" w:sz="2" w:space="0" w:color="auto"/>
              <w:left w:val="single" w:sz="2" w:space="0" w:color="auto"/>
              <w:bottom w:val="single" w:sz="2" w:space="0" w:color="auto"/>
              <w:right w:val="single" w:sz="2" w:space="0" w:color="auto"/>
            </w:tcBorders>
            <w:vAlign w:val="center"/>
          </w:tcPr>
          <w:p w14:paraId="56FEFDEF" w14:textId="77777777" w:rsidR="004039AC" w:rsidRPr="00077EBA" w:rsidRDefault="004039AC" w:rsidP="00F1249E">
            <w:pPr>
              <w:widowControl w:val="0"/>
              <w:spacing w:line="209" w:lineRule="auto"/>
              <w:jc w:val="center"/>
              <w:rPr>
                <w:rFonts w:eastAsia="Courier New"/>
                <w:b/>
                <w:sz w:val="26"/>
                <w:szCs w:val="26"/>
                <w:lang w:eastAsia="vi-VN"/>
              </w:rPr>
            </w:pPr>
            <w:r w:rsidRPr="00077EBA">
              <w:rPr>
                <w:rFonts w:eastAsia="Courier New"/>
                <w:b/>
                <w:sz w:val="26"/>
                <w:szCs w:val="26"/>
                <w:lang w:eastAsia="vi-VN"/>
              </w:rPr>
              <w:lastRenderedPageBreak/>
              <w:t>VII</w:t>
            </w:r>
          </w:p>
        </w:tc>
        <w:tc>
          <w:tcPr>
            <w:tcW w:w="4553" w:type="pct"/>
            <w:gridSpan w:val="3"/>
            <w:tcBorders>
              <w:top w:val="single" w:sz="2" w:space="0" w:color="auto"/>
              <w:left w:val="single" w:sz="2" w:space="0" w:color="auto"/>
              <w:bottom w:val="single" w:sz="2" w:space="0" w:color="auto"/>
              <w:right w:val="single" w:sz="2" w:space="0" w:color="auto"/>
            </w:tcBorders>
            <w:vAlign w:val="center"/>
          </w:tcPr>
          <w:p w14:paraId="0F609B3C" w14:textId="77777777" w:rsidR="004039AC" w:rsidRPr="00077EBA" w:rsidRDefault="004039AC" w:rsidP="00F1249E">
            <w:pPr>
              <w:widowControl w:val="0"/>
              <w:spacing w:line="209" w:lineRule="auto"/>
              <w:rPr>
                <w:b/>
                <w:sz w:val="26"/>
                <w:szCs w:val="26"/>
              </w:rPr>
            </w:pPr>
            <w:r w:rsidRPr="00077EBA">
              <w:rPr>
                <w:b/>
                <w:bCs/>
                <w:sz w:val="26"/>
                <w:szCs w:val="26"/>
                <w:lang w:val="vi-VN"/>
              </w:rPr>
              <w:t>Thông tin về kết quả thực hiện hợp đồng của nhà thầu theo quy định tại Điều 19 và Điều 20 của Nghị định số 214/2025/NĐ-CP</w:t>
            </w:r>
          </w:p>
        </w:tc>
      </w:tr>
      <w:tr w:rsidR="00077EBA" w:rsidRPr="00077EBA" w14:paraId="1F1FBBEC" w14:textId="77777777" w:rsidTr="00F1249E">
        <w:trPr>
          <w:trHeight w:val="20"/>
          <w:jc w:val="center"/>
        </w:trPr>
        <w:tc>
          <w:tcPr>
            <w:tcW w:w="447" w:type="pct"/>
            <w:tcBorders>
              <w:top w:val="single" w:sz="2" w:space="0" w:color="auto"/>
              <w:left w:val="single" w:sz="2" w:space="0" w:color="auto"/>
              <w:bottom w:val="single" w:sz="2" w:space="0" w:color="auto"/>
              <w:right w:val="single" w:sz="2" w:space="0" w:color="auto"/>
            </w:tcBorders>
            <w:vAlign w:val="center"/>
          </w:tcPr>
          <w:p w14:paraId="354AC64F" w14:textId="77777777" w:rsidR="004039AC" w:rsidRPr="00077EBA" w:rsidRDefault="004039AC" w:rsidP="00F1249E">
            <w:pPr>
              <w:spacing w:line="209" w:lineRule="auto"/>
              <w:jc w:val="center"/>
              <w:rPr>
                <w:sz w:val="26"/>
                <w:szCs w:val="26"/>
              </w:rPr>
            </w:pPr>
            <w:r w:rsidRPr="00077EBA">
              <w:rPr>
                <w:sz w:val="26"/>
                <w:szCs w:val="26"/>
                <w:lang w:val="vi-VN"/>
              </w:rPr>
              <w:t>1</w:t>
            </w:r>
          </w:p>
        </w:tc>
        <w:tc>
          <w:tcPr>
            <w:tcW w:w="1219" w:type="pct"/>
            <w:tcBorders>
              <w:top w:val="single" w:sz="2" w:space="0" w:color="auto"/>
              <w:left w:val="single" w:sz="2" w:space="0" w:color="auto"/>
              <w:bottom w:val="single" w:sz="2" w:space="0" w:color="auto"/>
              <w:right w:val="single" w:sz="2" w:space="0" w:color="auto"/>
            </w:tcBorders>
            <w:vAlign w:val="center"/>
          </w:tcPr>
          <w:p w14:paraId="10A69267" w14:textId="77777777" w:rsidR="004039AC" w:rsidRPr="00077EBA" w:rsidRDefault="004039AC" w:rsidP="00F1249E">
            <w:pPr>
              <w:rPr>
                <w:sz w:val="26"/>
                <w:szCs w:val="26"/>
              </w:rPr>
            </w:pPr>
            <w:r w:rsidRPr="00077EBA">
              <w:rPr>
                <w:sz w:val="26"/>
                <w:szCs w:val="26"/>
              </w:rPr>
              <w:t>Uy tín của nhà thầu thông qua việc thực hiện các hợp đồng trong vòng 03 năm trở lại đây tính đến thời điểm đóng thầu</w:t>
            </w:r>
          </w:p>
          <w:p w14:paraId="614B3AC1" w14:textId="77777777" w:rsidR="004039AC" w:rsidRPr="00077EBA" w:rsidRDefault="004039AC" w:rsidP="00F1249E">
            <w:pPr>
              <w:tabs>
                <w:tab w:val="left" w:pos="851"/>
              </w:tabs>
              <w:spacing w:line="209" w:lineRule="auto"/>
              <w:ind w:left="-18"/>
              <w:rPr>
                <w:sz w:val="26"/>
                <w:szCs w:val="26"/>
                <w:lang w:val="vi-VN"/>
              </w:rPr>
            </w:pPr>
            <w:r w:rsidRPr="00077EBA">
              <w:rPr>
                <w:sz w:val="26"/>
                <w:szCs w:val="26"/>
              </w:rPr>
              <w:t>(Việc chấm thầu dựa theo thông tin nhà thầu Cam kết kèm theo E-HSDT, trong quá trình đánh giá E-HSDT, nếu Chủ đầu tư hoặc tổ chuyên gia có tài liệu chứng minh nhà thầu vi phạm về Uy tín thì sẽ xem xét, làm rõ và tiến hành đánh giá)</w:t>
            </w:r>
          </w:p>
        </w:tc>
        <w:tc>
          <w:tcPr>
            <w:tcW w:w="1817" w:type="pct"/>
            <w:tcBorders>
              <w:top w:val="single" w:sz="2" w:space="0" w:color="auto"/>
              <w:left w:val="single" w:sz="2" w:space="0" w:color="auto"/>
              <w:bottom w:val="single" w:sz="2" w:space="0" w:color="auto"/>
              <w:right w:val="single" w:sz="2" w:space="0" w:color="auto"/>
            </w:tcBorders>
            <w:vAlign w:val="center"/>
          </w:tcPr>
          <w:p w14:paraId="1E19E6F1" w14:textId="77777777" w:rsidR="004039AC" w:rsidRPr="00077EBA" w:rsidRDefault="004039AC" w:rsidP="00F1249E">
            <w:pPr>
              <w:tabs>
                <w:tab w:val="left" w:pos="851"/>
              </w:tabs>
              <w:spacing w:line="209" w:lineRule="auto"/>
              <w:ind w:left="-18"/>
              <w:outlineLvl w:val="2"/>
              <w:rPr>
                <w:sz w:val="26"/>
                <w:szCs w:val="26"/>
                <w:lang w:val="vi-VN"/>
              </w:rPr>
            </w:pPr>
            <w:r w:rsidRPr="00077EBA">
              <w:rPr>
                <w:sz w:val="26"/>
                <w:szCs w:val="26"/>
              </w:rPr>
              <w:t>- Nhà thầu cam kết đảm bảo uy tín về kết quả thực hiện hợp đồng của nhà thầu theo quy định tại Điều 19 và Điều 20 của Nghị định số 214/2025/NĐ-CP</w:t>
            </w:r>
          </w:p>
        </w:tc>
        <w:tc>
          <w:tcPr>
            <w:tcW w:w="1516" w:type="pct"/>
            <w:tcBorders>
              <w:top w:val="single" w:sz="2" w:space="0" w:color="auto"/>
              <w:left w:val="single" w:sz="2" w:space="0" w:color="auto"/>
              <w:bottom w:val="single" w:sz="2" w:space="0" w:color="auto"/>
              <w:right w:val="single" w:sz="2" w:space="0" w:color="auto"/>
            </w:tcBorders>
            <w:vAlign w:val="center"/>
          </w:tcPr>
          <w:p w14:paraId="62BD6372" w14:textId="77777777" w:rsidR="004039AC" w:rsidRPr="00077EBA" w:rsidRDefault="004039AC" w:rsidP="00F1249E">
            <w:pPr>
              <w:spacing w:line="276" w:lineRule="auto"/>
              <w:rPr>
                <w:sz w:val="26"/>
                <w:szCs w:val="26"/>
              </w:rPr>
            </w:pPr>
            <w:r w:rsidRPr="00077EBA">
              <w:rPr>
                <w:sz w:val="26"/>
                <w:szCs w:val="26"/>
              </w:rPr>
              <w:t>- Nhà thầu không có cam kết đảm bảo uy tín về kết quả thực hiện hợp đồng của nhà thầu theo quy định tại Điều 19 và Điều 20 của Nghị định số 214/2025/NĐ-CP hoặc</w:t>
            </w:r>
          </w:p>
          <w:p w14:paraId="169CF996" w14:textId="77777777" w:rsidR="004039AC" w:rsidRPr="00077EBA" w:rsidRDefault="004039AC" w:rsidP="00F1249E">
            <w:pPr>
              <w:tabs>
                <w:tab w:val="left" w:pos="851"/>
              </w:tabs>
              <w:spacing w:line="209" w:lineRule="auto"/>
              <w:ind w:left="-18"/>
              <w:rPr>
                <w:sz w:val="26"/>
                <w:szCs w:val="26"/>
                <w:lang w:val="es-ES"/>
              </w:rPr>
            </w:pPr>
            <w:r w:rsidRPr="00077EBA">
              <w:rPr>
                <w:sz w:val="26"/>
                <w:szCs w:val="26"/>
              </w:rPr>
              <w:t>- Nhà thầu không đảm bảo uy tín về kết quả thực hiện hợp đồng của nhà thầu theo quy định tại Điều 19 và Điều 20 của Nghị định số 214/2025/NĐ-CP</w:t>
            </w:r>
          </w:p>
        </w:tc>
      </w:tr>
      <w:tr w:rsidR="00077EBA" w:rsidRPr="00077EBA" w14:paraId="5A03277A" w14:textId="77777777" w:rsidTr="00F1249E">
        <w:trPr>
          <w:trHeight w:val="20"/>
          <w:jc w:val="center"/>
        </w:trPr>
        <w:tc>
          <w:tcPr>
            <w:tcW w:w="447" w:type="pct"/>
            <w:tcBorders>
              <w:top w:val="single" w:sz="2" w:space="0" w:color="auto"/>
              <w:left w:val="single" w:sz="2" w:space="0" w:color="auto"/>
              <w:bottom w:val="single" w:sz="2" w:space="0" w:color="auto"/>
              <w:right w:val="single" w:sz="2" w:space="0" w:color="auto"/>
            </w:tcBorders>
            <w:vAlign w:val="center"/>
          </w:tcPr>
          <w:p w14:paraId="1F790AB4" w14:textId="77777777" w:rsidR="004039AC" w:rsidRPr="00077EBA" w:rsidRDefault="004039AC" w:rsidP="00F1249E">
            <w:pPr>
              <w:rPr>
                <w:b/>
                <w:bCs/>
                <w:sz w:val="26"/>
                <w:szCs w:val="26"/>
              </w:rPr>
            </w:pPr>
            <w:r w:rsidRPr="00077EBA">
              <w:rPr>
                <w:b/>
                <w:bCs/>
                <w:sz w:val="26"/>
                <w:szCs w:val="26"/>
                <w:lang w:val="vi-VN"/>
              </w:rPr>
              <w:t>VIII</w:t>
            </w:r>
          </w:p>
        </w:tc>
        <w:tc>
          <w:tcPr>
            <w:tcW w:w="1219" w:type="pct"/>
            <w:tcBorders>
              <w:top w:val="single" w:sz="2" w:space="0" w:color="auto"/>
              <w:left w:val="single" w:sz="2" w:space="0" w:color="auto"/>
              <w:bottom w:val="single" w:sz="2" w:space="0" w:color="auto"/>
              <w:right w:val="single" w:sz="2" w:space="0" w:color="auto"/>
            </w:tcBorders>
            <w:vAlign w:val="center"/>
          </w:tcPr>
          <w:p w14:paraId="019C5730" w14:textId="77777777" w:rsidR="004039AC" w:rsidRPr="00077EBA" w:rsidRDefault="004039AC" w:rsidP="00F1249E">
            <w:pPr>
              <w:rPr>
                <w:sz w:val="26"/>
                <w:szCs w:val="26"/>
                <w:lang w:val="vi-VN"/>
              </w:rPr>
            </w:pPr>
            <w:r w:rsidRPr="00077EBA">
              <w:rPr>
                <w:sz w:val="26"/>
                <w:szCs w:val="26"/>
                <w:lang w:val="vi-VN"/>
              </w:rPr>
              <w:t>Các yếu tố cần thiết khác</w:t>
            </w:r>
          </w:p>
        </w:tc>
        <w:tc>
          <w:tcPr>
            <w:tcW w:w="1817" w:type="pct"/>
            <w:tcBorders>
              <w:top w:val="single" w:sz="2" w:space="0" w:color="auto"/>
              <w:left w:val="single" w:sz="2" w:space="0" w:color="auto"/>
              <w:bottom w:val="single" w:sz="2" w:space="0" w:color="auto"/>
              <w:right w:val="single" w:sz="2" w:space="0" w:color="auto"/>
            </w:tcBorders>
            <w:vAlign w:val="center"/>
          </w:tcPr>
          <w:p w14:paraId="65C97DF7" w14:textId="77777777" w:rsidR="004039AC" w:rsidRPr="00077EBA" w:rsidRDefault="004039AC" w:rsidP="00F1249E">
            <w:pPr>
              <w:spacing w:before="60" w:after="60"/>
              <w:rPr>
                <w:sz w:val="26"/>
                <w:szCs w:val="26"/>
                <w:lang w:val="vi-VN"/>
              </w:rPr>
            </w:pPr>
            <w:r w:rsidRPr="00077EBA">
              <w:rPr>
                <w:sz w:val="26"/>
                <w:szCs w:val="26"/>
                <w:lang w:val="vi-VN"/>
              </w:rPr>
              <w:t>Nhà thầu có thuyết minh việc đáp ứng thực hiện dịch vụ với các nội dung công việc theo E-HSMT đối với các trường hợp:</w:t>
            </w:r>
          </w:p>
          <w:p w14:paraId="7DF2490A" w14:textId="77777777" w:rsidR="004039AC" w:rsidRPr="00077EBA" w:rsidRDefault="004039AC" w:rsidP="00F1249E">
            <w:pPr>
              <w:spacing w:before="60" w:after="60"/>
              <w:rPr>
                <w:sz w:val="26"/>
                <w:szCs w:val="26"/>
                <w:lang w:val="vi-VN"/>
              </w:rPr>
            </w:pPr>
            <w:r w:rsidRPr="00077EBA">
              <w:rPr>
                <w:sz w:val="26"/>
                <w:szCs w:val="26"/>
                <w:lang w:val="vi-VN"/>
              </w:rPr>
              <w:t>- Các nhiệm vụ đột xuất, nhiệm vụ phát sinh cần huy động nhanh, tăng cao nhân sự thực hiện như các dịp lễ, tết, hội trợ…</w:t>
            </w:r>
          </w:p>
          <w:p w14:paraId="52E907E8" w14:textId="77777777" w:rsidR="004039AC" w:rsidRPr="00077EBA" w:rsidRDefault="004039AC" w:rsidP="00F1249E">
            <w:pPr>
              <w:spacing w:before="60" w:after="60"/>
              <w:rPr>
                <w:sz w:val="26"/>
                <w:szCs w:val="26"/>
                <w:lang w:val="vi-VN"/>
              </w:rPr>
            </w:pPr>
            <w:r w:rsidRPr="00077EBA">
              <w:rPr>
                <w:sz w:val="26"/>
                <w:szCs w:val="26"/>
                <w:lang w:val="vi-VN"/>
              </w:rPr>
              <w:t xml:space="preserve">- Việc phối hợp trong quá trình thực hiện dịch vụ theo yêu cầu chỉ đạo của Chủ đầu </w:t>
            </w:r>
            <w:r w:rsidRPr="00077EBA">
              <w:rPr>
                <w:sz w:val="26"/>
                <w:szCs w:val="26"/>
                <w:lang w:val="vi-VN"/>
              </w:rPr>
              <w:lastRenderedPageBreak/>
              <w:t>tư, công kiểm tra nghiệm thu, thanh tra, báo cáo …</w:t>
            </w:r>
          </w:p>
          <w:p w14:paraId="50E1321C" w14:textId="77777777" w:rsidR="004039AC" w:rsidRPr="00077EBA" w:rsidRDefault="004039AC" w:rsidP="00F1249E">
            <w:pPr>
              <w:tabs>
                <w:tab w:val="left" w:pos="851"/>
              </w:tabs>
              <w:spacing w:line="209" w:lineRule="auto"/>
              <w:ind w:left="-18"/>
              <w:outlineLvl w:val="2"/>
              <w:rPr>
                <w:sz w:val="26"/>
                <w:szCs w:val="26"/>
                <w:lang w:val="vi-VN"/>
              </w:rPr>
            </w:pPr>
            <w:r w:rsidRPr="00077EBA">
              <w:rPr>
                <w:sz w:val="26"/>
                <w:szCs w:val="26"/>
                <w:lang w:val="vi-VN"/>
              </w:rPr>
              <w:t>- Việc xử lý đối với các phát sinh không lường trước được trong quá trình thực hiện hợp đồng như sự cố, tai nạn không mong muốn…</w:t>
            </w:r>
          </w:p>
        </w:tc>
        <w:tc>
          <w:tcPr>
            <w:tcW w:w="1516" w:type="pct"/>
            <w:tcBorders>
              <w:top w:val="single" w:sz="2" w:space="0" w:color="auto"/>
              <w:left w:val="single" w:sz="2" w:space="0" w:color="auto"/>
              <w:bottom w:val="single" w:sz="2" w:space="0" w:color="auto"/>
              <w:right w:val="single" w:sz="2" w:space="0" w:color="auto"/>
            </w:tcBorders>
            <w:vAlign w:val="center"/>
          </w:tcPr>
          <w:p w14:paraId="6A4C4C6A" w14:textId="77777777" w:rsidR="004039AC" w:rsidRPr="00077EBA" w:rsidRDefault="004039AC" w:rsidP="00F1249E">
            <w:pPr>
              <w:spacing w:before="60" w:after="60"/>
              <w:rPr>
                <w:sz w:val="26"/>
                <w:szCs w:val="26"/>
                <w:lang w:val="vi-VN"/>
              </w:rPr>
            </w:pPr>
            <w:r w:rsidRPr="00077EBA">
              <w:rPr>
                <w:sz w:val="26"/>
                <w:szCs w:val="26"/>
                <w:lang w:val="vi-VN"/>
              </w:rPr>
              <w:lastRenderedPageBreak/>
              <w:t>Nhà thầu không có thuyết minh việc đáp ứng thực hiện dịch vụ với các nội dung công việc theo E-HSMT đối với các trường hợp:</w:t>
            </w:r>
          </w:p>
          <w:p w14:paraId="0C1C5C19" w14:textId="77777777" w:rsidR="004039AC" w:rsidRPr="00077EBA" w:rsidRDefault="004039AC" w:rsidP="00F1249E">
            <w:pPr>
              <w:spacing w:before="60" w:after="60"/>
              <w:rPr>
                <w:sz w:val="26"/>
                <w:szCs w:val="26"/>
                <w:lang w:val="vi-VN"/>
              </w:rPr>
            </w:pPr>
            <w:r w:rsidRPr="00077EBA">
              <w:rPr>
                <w:sz w:val="26"/>
                <w:szCs w:val="26"/>
                <w:lang w:val="vi-VN"/>
              </w:rPr>
              <w:t>- Các nhiệm vụ đột xuất, nhiệm vụ phát sinh cần huy động nhanh, tăng cao nhân sự thực hiện như các dịp lễ, tết, hội trợ…</w:t>
            </w:r>
          </w:p>
          <w:p w14:paraId="3705D98A" w14:textId="77777777" w:rsidR="004039AC" w:rsidRPr="00077EBA" w:rsidRDefault="004039AC" w:rsidP="00F1249E">
            <w:pPr>
              <w:spacing w:before="60" w:after="60"/>
              <w:rPr>
                <w:sz w:val="26"/>
                <w:szCs w:val="26"/>
                <w:lang w:val="vi-VN"/>
              </w:rPr>
            </w:pPr>
            <w:r w:rsidRPr="00077EBA">
              <w:rPr>
                <w:sz w:val="26"/>
                <w:szCs w:val="26"/>
                <w:lang w:val="vi-VN"/>
              </w:rPr>
              <w:t xml:space="preserve">- Việc phối hợp trong quá trình thực hiện dịch </w:t>
            </w:r>
            <w:r w:rsidRPr="00077EBA">
              <w:rPr>
                <w:sz w:val="26"/>
                <w:szCs w:val="26"/>
                <w:lang w:val="vi-VN"/>
              </w:rPr>
              <w:lastRenderedPageBreak/>
              <w:t>vụ theo yêu cầu chỉ đạo của Chủ đầu tư, công kiểm tra nghiệm thu, thanh tra, báo cáo …</w:t>
            </w:r>
          </w:p>
          <w:p w14:paraId="76774E48" w14:textId="77777777" w:rsidR="004039AC" w:rsidRPr="00077EBA" w:rsidRDefault="004039AC" w:rsidP="00F1249E">
            <w:pPr>
              <w:tabs>
                <w:tab w:val="left" w:pos="851"/>
              </w:tabs>
              <w:spacing w:line="209" w:lineRule="auto"/>
              <w:ind w:left="-18"/>
              <w:rPr>
                <w:sz w:val="26"/>
                <w:szCs w:val="26"/>
                <w:lang w:val="vi-VN"/>
              </w:rPr>
            </w:pPr>
            <w:r w:rsidRPr="00077EBA">
              <w:rPr>
                <w:sz w:val="26"/>
                <w:szCs w:val="26"/>
                <w:lang w:val="vi-VN"/>
              </w:rPr>
              <w:t>- Việc xử lý đối với các phát sinh không lường trước được trong quá trình thực hiện hợp đồng như sự cố, tai nạn không mong muốn…</w:t>
            </w:r>
          </w:p>
        </w:tc>
      </w:tr>
      <w:tr w:rsidR="00077EBA" w:rsidRPr="00077EBA" w14:paraId="34AF4A45" w14:textId="77777777" w:rsidTr="00F1249E">
        <w:trPr>
          <w:trHeight w:val="20"/>
          <w:jc w:val="center"/>
        </w:trPr>
        <w:tc>
          <w:tcPr>
            <w:tcW w:w="1667" w:type="pct"/>
            <w:gridSpan w:val="2"/>
            <w:vMerge w:val="restart"/>
            <w:tcBorders>
              <w:top w:val="single" w:sz="2" w:space="0" w:color="auto"/>
              <w:left w:val="single" w:sz="2" w:space="0" w:color="auto"/>
              <w:right w:val="single" w:sz="2" w:space="0" w:color="auto"/>
            </w:tcBorders>
            <w:vAlign w:val="center"/>
          </w:tcPr>
          <w:p w14:paraId="460E4EF5" w14:textId="77777777" w:rsidR="004039AC" w:rsidRPr="00077EBA" w:rsidRDefault="004039AC" w:rsidP="00F1249E">
            <w:pPr>
              <w:widowControl w:val="0"/>
              <w:tabs>
                <w:tab w:val="left" w:pos="851"/>
              </w:tabs>
              <w:spacing w:line="209" w:lineRule="auto"/>
              <w:jc w:val="center"/>
              <w:outlineLvl w:val="0"/>
              <w:rPr>
                <w:sz w:val="26"/>
                <w:szCs w:val="26"/>
              </w:rPr>
            </w:pPr>
            <w:r w:rsidRPr="00077EBA">
              <w:rPr>
                <w:b/>
                <w:sz w:val="26"/>
                <w:szCs w:val="26"/>
              </w:rPr>
              <w:lastRenderedPageBreak/>
              <w:t>Kết luận</w:t>
            </w:r>
          </w:p>
        </w:tc>
        <w:tc>
          <w:tcPr>
            <w:tcW w:w="1817" w:type="pct"/>
            <w:tcBorders>
              <w:top w:val="single" w:sz="2" w:space="0" w:color="auto"/>
              <w:left w:val="single" w:sz="2" w:space="0" w:color="auto"/>
              <w:bottom w:val="single" w:sz="2" w:space="0" w:color="auto"/>
              <w:right w:val="single" w:sz="2" w:space="0" w:color="auto"/>
            </w:tcBorders>
            <w:vAlign w:val="center"/>
          </w:tcPr>
          <w:p w14:paraId="2DF7EC77" w14:textId="77777777" w:rsidR="004039AC" w:rsidRPr="00077EBA" w:rsidRDefault="004039AC" w:rsidP="00F1249E">
            <w:pPr>
              <w:widowControl w:val="0"/>
              <w:tabs>
                <w:tab w:val="left" w:pos="851"/>
              </w:tabs>
              <w:spacing w:line="209" w:lineRule="auto"/>
              <w:ind w:left="-18"/>
              <w:rPr>
                <w:sz w:val="26"/>
                <w:szCs w:val="26"/>
              </w:rPr>
            </w:pPr>
            <w:r w:rsidRPr="00077EBA">
              <w:rPr>
                <w:sz w:val="26"/>
                <w:szCs w:val="26"/>
              </w:rPr>
              <w:t>Tất cả các tiêu chí trên đều được xác định là đạt.</w:t>
            </w:r>
          </w:p>
        </w:tc>
        <w:tc>
          <w:tcPr>
            <w:tcW w:w="1516" w:type="pct"/>
            <w:tcBorders>
              <w:top w:val="single" w:sz="2" w:space="0" w:color="auto"/>
              <w:left w:val="single" w:sz="2" w:space="0" w:color="auto"/>
              <w:bottom w:val="single" w:sz="2" w:space="0" w:color="auto"/>
              <w:right w:val="single" w:sz="2" w:space="0" w:color="auto"/>
            </w:tcBorders>
            <w:vAlign w:val="center"/>
          </w:tcPr>
          <w:p w14:paraId="1B375472" w14:textId="77777777" w:rsidR="004039AC" w:rsidRPr="00077EBA" w:rsidRDefault="004039AC" w:rsidP="00F1249E">
            <w:pPr>
              <w:widowControl w:val="0"/>
              <w:tabs>
                <w:tab w:val="left" w:pos="851"/>
              </w:tabs>
              <w:spacing w:line="209" w:lineRule="auto"/>
              <w:jc w:val="center"/>
              <w:outlineLvl w:val="2"/>
              <w:rPr>
                <w:b/>
                <w:sz w:val="26"/>
                <w:szCs w:val="26"/>
              </w:rPr>
            </w:pPr>
            <w:r w:rsidRPr="00077EBA">
              <w:rPr>
                <w:sz w:val="26"/>
                <w:szCs w:val="26"/>
              </w:rPr>
              <w:t>Có 1 tiêu ch</w:t>
            </w:r>
            <w:r w:rsidRPr="00077EBA">
              <w:rPr>
                <w:sz w:val="26"/>
                <w:szCs w:val="26"/>
                <w:lang w:val="vi-VN"/>
              </w:rPr>
              <w:t>í</w:t>
            </w:r>
            <w:r w:rsidRPr="00077EBA">
              <w:rPr>
                <w:sz w:val="26"/>
                <w:szCs w:val="26"/>
              </w:rPr>
              <w:t xml:space="preserve"> chi tiết được xác định là không đạt.</w:t>
            </w:r>
          </w:p>
        </w:tc>
      </w:tr>
      <w:tr w:rsidR="00077EBA" w:rsidRPr="00077EBA" w14:paraId="31E45EED" w14:textId="77777777" w:rsidTr="00F1249E">
        <w:trPr>
          <w:trHeight w:val="111"/>
          <w:jc w:val="center"/>
        </w:trPr>
        <w:tc>
          <w:tcPr>
            <w:tcW w:w="1667" w:type="pct"/>
            <w:gridSpan w:val="2"/>
            <w:vMerge/>
            <w:tcBorders>
              <w:left w:val="single" w:sz="2" w:space="0" w:color="auto"/>
              <w:bottom w:val="single" w:sz="2" w:space="0" w:color="auto"/>
              <w:right w:val="single" w:sz="2" w:space="0" w:color="auto"/>
            </w:tcBorders>
            <w:vAlign w:val="center"/>
          </w:tcPr>
          <w:p w14:paraId="43C0FD07" w14:textId="77777777" w:rsidR="004039AC" w:rsidRPr="00077EBA" w:rsidRDefault="004039AC" w:rsidP="00F1249E">
            <w:pPr>
              <w:widowControl w:val="0"/>
              <w:tabs>
                <w:tab w:val="left" w:pos="851"/>
              </w:tabs>
              <w:spacing w:line="209" w:lineRule="auto"/>
              <w:outlineLvl w:val="2"/>
              <w:rPr>
                <w:sz w:val="26"/>
                <w:szCs w:val="26"/>
              </w:rPr>
            </w:pPr>
          </w:p>
        </w:tc>
        <w:tc>
          <w:tcPr>
            <w:tcW w:w="1817" w:type="pct"/>
            <w:tcBorders>
              <w:top w:val="single" w:sz="2" w:space="0" w:color="auto"/>
              <w:left w:val="single" w:sz="2" w:space="0" w:color="auto"/>
              <w:bottom w:val="single" w:sz="2" w:space="0" w:color="auto"/>
              <w:right w:val="single" w:sz="2" w:space="0" w:color="auto"/>
            </w:tcBorders>
            <w:vAlign w:val="center"/>
          </w:tcPr>
          <w:p w14:paraId="5DB7C5B7" w14:textId="77777777" w:rsidR="004039AC" w:rsidRPr="00077EBA" w:rsidRDefault="004039AC" w:rsidP="00F1249E">
            <w:pPr>
              <w:tabs>
                <w:tab w:val="left" w:pos="851"/>
              </w:tabs>
              <w:spacing w:line="209" w:lineRule="auto"/>
              <w:ind w:left="-18"/>
              <w:jc w:val="center"/>
              <w:rPr>
                <w:sz w:val="26"/>
                <w:szCs w:val="26"/>
                <w:lang w:val="vi-VN"/>
              </w:rPr>
            </w:pPr>
            <w:r w:rsidRPr="00077EBA">
              <w:rPr>
                <w:b/>
                <w:sz w:val="26"/>
                <w:szCs w:val="26"/>
              </w:rPr>
              <w:t>Đạt</w:t>
            </w:r>
          </w:p>
        </w:tc>
        <w:tc>
          <w:tcPr>
            <w:tcW w:w="1516" w:type="pct"/>
            <w:tcBorders>
              <w:top w:val="single" w:sz="2" w:space="0" w:color="auto"/>
              <w:left w:val="single" w:sz="2" w:space="0" w:color="auto"/>
              <w:bottom w:val="single" w:sz="2" w:space="0" w:color="auto"/>
              <w:right w:val="single" w:sz="2" w:space="0" w:color="auto"/>
            </w:tcBorders>
            <w:vAlign w:val="center"/>
          </w:tcPr>
          <w:p w14:paraId="6E28E4F4" w14:textId="77777777" w:rsidR="004039AC" w:rsidRPr="00077EBA" w:rsidRDefault="004039AC" w:rsidP="00F1249E">
            <w:pPr>
              <w:tabs>
                <w:tab w:val="left" w:pos="851"/>
              </w:tabs>
              <w:spacing w:line="209" w:lineRule="auto"/>
              <w:ind w:left="-18"/>
              <w:jc w:val="center"/>
              <w:rPr>
                <w:sz w:val="26"/>
                <w:szCs w:val="26"/>
              </w:rPr>
            </w:pPr>
            <w:r w:rsidRPr="00077EBA">
              <w:rPr>
                <w:b/>
                <w:sz w:val="26"/>
                <w:szCs w:val="26"/>
              </w:rPr>
              <w:t>Không đạt</w:t>
            </w:r>
          </w:p>
        </w:tc>
      </w:tr>
    </w:tbl>
    <w:p w14:paraId="211A6E5C" w14:textId="77777777" w:rsidR="004039AC" w:rsidRPr="00077EBA" w:rsidRDefault="004039AC" w:rsidP="004039AC">
      <w:pPr>
        <w:spacing w:before="120" w:after="120"/>
        <w:ind w:firstLine="709"/>
        <w:rPr>
          <w:sz w:val="26"/>
          <w:szCs w:val="26"/>
          <w:lang w:val="es-ES"/>
        </w:rPr>
      </w:pPr>
      <w:r w:rsidRPr="00077EBA">
        <w:rPr>
          <w:sz w:val="26"/>
          <w:szCs w:val="26"/>
          <w:lang w:val="es-ES"/>
        </w:rPr>
        <w:t>Tiêu chí tổng quát được đánh giá là đạt khi tất cả các tiêu chí chi tiết được đánh giá là đạt</w:t>
      </w:r>
    </w:p>
    <w:p w14:paraId="0E08851C" w14:textId="77777777" w:rsidR="004039AC" w:rsidRPr="00077EBA" w:rsidRDefault="004039AC" w:rsidP="004039AC">
      <w:pPr>
        <w:spacing w:before="120" w:after="120"/>
        <w:ind w:firstLine="709"/>
        <w:rPr>
          <w:sz w:val="26"/>
          <w:szCs w:val="26"/>
          <w:lang w:val="vi-VN"/>
        </w:rPr>
      </w:pPr>
      <w:r w:rsidRPr="00077EBA">
        <w:rPr>
          <w:sz w:val="26"/>
          <w:szCs w:val="26"/>
          <w:lang w:val="es-ES"/>
        </w:rPr>
        <w:t>E-HSDT được đánh giá là đáp ứng yêu cầu về kỹ thuật khi có tất cả các tiêu chí tổng quát đều được đánh giá là đạt.</w:t>
      </w:r>
    </w:p>
    <w:p w14:paraId="4200D5D2" w14:textId="77777777" w:rsidR="002A2DDA" w:rsidRPr="00077EBA" w:rsidRDefault="002A2DDA">
      <w:pPr>
        <w:rPr>
          <w:sz w:val="26"/>
          <w:szCs w:val="26"/>
        </w:rPr>
      </w:pPr>
    </w:p>
    <w:sectPr w:rsidR="002A2DDA" w:rsidRPr="00077E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AC"/>
    <w:rsid w:val="00077EBA"/>
    <w:rsid w:val="002A2DDA"/>
    <w:rsid w:val="00403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A232"/>
  <w15:chartTrackingRefBased/>
  <w15:docId w15:val="{9B8F9A13-309B-4642-966D-F32537BF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9AC"/>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1361</Words>
  <Characters>7764</Characters>
  <Application>Microsoft Office Word</Application>
  <DocSecurity>0</DocSecurity>
  <Lines>64</Lines>
  <Paragraphs>18</Paragraphs>
  <ScaleCrop>false</ScaleCrop>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Nga</dc:creator>
  <cp:keywords/>
  <dc:description/>
  <cp:lastModifiedBy>Hoàng Nga</cp:lastModifiedBy>
  <cp:revision>2</cp:revision>
  <dcterms:created xsi:type="dcterms:W3CDTF">2025-12-10T05:09:00Z</dcterms:created>
  <dcterms:modified xsi:type="dcterms:W3CDTF">2025-12-10T05:10:00Z</dcterms:modified>
</cp:coreProperties>
</file>