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93A4" w14:textId="77777777" w:rsidR="007F5F63" w:rsidRPr="00C930CE" w:rsidRDefault="007F5F63" w:rsidP="00C81DCB">
      <w:pPr>
        <w:widowControl w:val="0"/>
        <w:spacing w:line="276" w:lineRule="auto"/>
        <w:ind w:firstLine="567"/>
        <w:contextualSpacing/>
        <w:jc w:val="center"/>
        <w:rPr>
          <w:b/>
          <w:sz w:val="28"/>
          <w:szCs w:val="28"/>
          <w:lang w:val="nl-NL"/>
        </w:rPr>
      </w:pPr>
      <w:r w:rsidRPr="00C930CE">
        <w:rPr>
          <w:b/>
          <w:sz w:val="28"/>
          <w:szCs w:val="28"/>
          <w:lang w:val="nl-NL"/>
        </w:rPr>
        <w:t>Phần 2. YÊU CẦU VỀ KỸ THUẬT</w:t>
      </w:r>
    </w:p>
    <w:p w14:paraId="645893A5" w14:textId="77777777" w:rsidR="007F5F63" w:rsidRPr="00C930CE" w:rsidRDefault="007F5F63" w:rsidP="00C81DCB">
      <w:pPr>
        <w:spacing w:line="276" w:lineRule="auto"/>
        <w:ind w:firstLine="567"/>
        <w:contextualSpacing/>
        <w:jc w:val="center"/>
        <w:rPr>
          <w:b/>
          <w:sz w:val="28"/>
          <w:szCs w:val="28"/>
          <w:lang w:val="nl-NL"/>
        </w:rPr>
      </w:pPr>
      <w:r w:rsidRPr="00C930CE">
        <w:rPr>
          <w:b/>
          <w:sz w:val="28"/>
          <w:szCs w:val="28"/>
          <w:lang w:val="nl-NL"/>
        </w:rPr>
        <w:t>Chương V. YÊU CẦU VỀ KỸ THUẬT</w:t>
      </w:r>
    </w:p>
    <w:p w14:paraId="645893A6" w14:textId="77777777" w:rsidR="007F5F63" w:rsidRPr="00C930CE" w:rsidRDefault="007F5F63" w:rsidP="00C81DCB">
      <w:pPr>
        <w:spacing w:line="276" w:lineRule="auto"/>
        <w:ind w:firstLine="567"/>
        <w:contextualSpacing/>
        <w:rPr>
          <w:b/>
          <w:spacing w:val="-6"/>
          <w:sz w:val="6"/>
          <w:szCs w:val="28"/>
          <w:lang w:val="nl-NL"/>
        </w:rPr>
      </w:pPr>
    </w:p>
    <w:p w14:paraId="645893A7" w14:textId="77777777" w:rsidR="007F5F63" w:rsidRPr="00C930CE" w:rsidRDefault="007F5F63" w:rsidP="00C81DCB">
      <w:pPr>
        <w:spacing w:line="276" w:lineRule="auto"/>
        <w:ind w:firstLine="709"/>
        <w:contextualSpacing/>
        <w:rPr>
          <w:i/>
          <w:sz w:val="28"/>
          <w:szCs w:val="28"/>
          <w:lang w:val="nl-NL"/>
        </w:rPr>
      </w:pPr>
      <w:r w:rsidRPr="00C930CE">
        <w:rPr>
          <w:i/>
          <w:sz w:val="28"/>
          <w:szCs w:val="28"/>
          <w:lang w:val="nl-NL"/>
        </w:rPr>
        <w:t xml:space="preserve">Yêu cầu về kỹ thuật bao gồm các nội dung cơ bản như sau: </w:t>
      </w:r>
    </w:p>
    <w:p w14:paraId="645893A8" w14:textId="0F71DED1" w:rsidR="007F5F63" w:rsidRPr="00C930CE" w:rsidRDefault="007F5F63" w:rsidP="00C81DCB">
      <w:pPr>
        <w:tabs>
          <w:tab w:val="right" w:pos="9360"/>
        </w:tabs>
        <w:spacing w:line="276" w:lineRule="auto"/>
        <w:ind w:firstLine="709"/>
        <w:contextualSpacing/>
        <w:rPr>
          <w:b/>
          <w:sz w:val="28"/>
          <w:szCs w:val="28"/>
          <w:lang w:val="nl-NL"/>
        </w:rPr>
      </w:pPr>
      <w:r w:rsidRPr="00C930CE">
        <w:rPr>
          <w:b/>
          <w:sz w:val="28"/>
          <w:szCs w:val="28"/>
          <w:lang w:val="nl-NL"/>
        </w:rPr>
        <w:t>1. Giới thiệu chung về dự án, gói thầu:</w:t>
      </w:r>
    </w:p>
    <w:p w14:paraId="645893A9" w14:textId="304D32A5" w:rsidR="00786F55" w:rsidRPr="00C930CE" w:rsidRDefault="00786F55" w:rsidP="00C81DCB">
      <w:pPr>
        <w:spacing w:line="276" w:lineRule="auto"/>
        <w:contextualSpacing/>
        <w:rPr>
          <w:sz w:val="28"/>
          <w:szCs w:val="28"/>
        </w:rPr>
      </w:pPr>
      <w:r w:rsidRPr="00C930CE">
        <w:rPr>
          <w:sz w:val="28"/>
        </w:rPr>
        <w:tab/>
        <w:t>Gói thầu “</w:t>
      </w:r>
      <w:r w:rsidR="00BB4313">
        <w:rPr>
          <w:sz w:val="28"/>
        </w:rPr>
        <w:t>Cung cấp dịch vụ bốc xếp than bằng cẩu nổi và cẩu tàu tại khu vực Quảng Ninh năm 2026 của Tổng công ty Đông Bắc</w:t>
      </w:r>
      <w:r w:rsidRPr="00C930CE">
        <w:rPr>
          <w:sz w:val="28"/>
        </w:rPr>
        <w:t xml:space="preserve">” được Tổng công ty Đông Bắc triển khai nhằm phục vụ công tác </w:t>
      </w:r>
      <w:r w:rsidR="00F0674A" w:rsidRPr="00C930CE">
        <w:rPr>
          <w:sz w:val="28"/>
        </w:rPr>
        <w:t>bốc xếp hàng</w:t>
      </w:r>
      <w:r w:rsidR="00190944" w:rsidRPr="00C930CE">
        <w:rPr>
          <w:sz w:val="28"/>
        </w:rPr>
        <w:t xml:space="preserve"> than chuyển t</w:t>
      </w:r>
      <w:r w:rsidR="009617D5" w:rsidRPr="00C930CE">
        <w:rPr>
          <w:sz w:val="28"/>
        </w:rPr>
        <w:t>ải tiêu thụ nội địa và xuất khẩu</w:t>
      </w:r>
      <w:r w:rsidR="00F0674A" w:rsidRPr="00C930CE">
        <w:rPr>
          <w:sz w:val="28"/>
        </w:rPr>
        <w:t xml:space="preserve">; </w:t>
      </w:r>
      <w:r w:rsidR="009617D5" w:rsidRPr="00C930CE">
        <w:rPr>
          <w:sz w:val="28"/>
        </w:rPr>
        <w:t>dỡ hàng t</w:t>
      </w:r>
      <w:r w:rsidR="00844ECE" w:rsidRPr="00C930CE">
        <w:rPr>
          <w:sz w:val="28"/>
        </w:rPr>
        <w:t>han từ tàu nhập khẩu (tàu mẹ).</w:t>
      </w:r>
    </w:p>
    <w:p w14:paraId="4E56F395" w14:textId="2BCAB9F2" w:rsidR="00FD478C" w:rsidRPr="00C930CE" w:rsidRDefault="00FD478C" w:rsidP="00C81DCB">
      <w:pPr>
        <w:spacing w:line="276" w:lineRule="auto"/>
        <w:contextualSpacing/>
        <w:rPr>
          <w:sz w:val="28"/>
          <w:szCs w:val="28"/>
        </w:rPr>
      </w:pPr>
      <w:r w:rsidRPr="00C930CE">
        <w:rPr>
          <w:sz w:val="28"/>
          <w:szCs w:val="28"/>
        </w:rPr>
        <w:tab/>
      </w:r>
      <w:r w:rsidR="00AF4368" w:rsidRPr="00C930CE">
        <w:rPr>
          <w:sz w:val="28"/>
          <w:szCs w:val="28"/>
        </w:rPr>
        <w:t>Đ</w:t>
      </w:r>
      <w:r w:rsidRPr="00C930CE">
        <w:rPr>
          <w:sz w:val="28"/>
          <w:szCs w:val="28"/>
        </w:rPr>
        <w:t xml:space="preserve">ịa điểm cung cấp dịch vụ là: </w:t>
      </w:r>
      <w:r w:rsidR="0003388C" w:rsidRPr="00C930CE">
        <w:rPr>
          <w:sz w:val="28"/>
          <w:szCs w:val="28"/>
        </w:rPr>
        <w:t xml:space="preserve">Tất cả các cảng, vùng neo chuyển tải tại khu vực tỉnh Quảng Ninh </w:t>
      </w:r>
      <w:r w:rsidR="009617D5" w:rsidRPr="00C930CE">
        <w:rPr>
          <w:sz w:val="28"/>
          <w:szCs w:val="28"/>
        </w:rPr>
        <w:t>căn cứ đề nghị của Tổng công ty Đông Bắc</w:t>
      </w:r>
      <w:r w:rsidR="0003388C" w:rsidRPr="00C930CE">
        <w:rPr>
          <w:sz w:val="28"/>
          <w:szCs w:val="28"/>
        </w:rPr>
        <w:t>,</w:t>
      </w:r>
      <w:r w:rsidR="009617D5" w:rsidRPr="00C930CE">
        <w:rPr>
          <w:sz w:val="28"/>
          <w:szCs w:val="28"/>
        </w:rPr>
        <w:t xml:space="preserve"> trong đó chủ yếu là khu neo </w:t>
      </w:r>
      <w:r w:rsidR="00EC39FB" w:rsidRPr="00C930CE">
        <w:rPr>
          <w:sz w:val="28"/>
          <w:szCs w:val="28"/>
        </w:rPr>
        <w:t xml:space="preserve">Hòn Miều, cảng Hòn Gai và Khu neo </w:t>
      </w:r>
      <w:r w:rsidR="00203C7B" w:rsidRPr="00C930CE">
        <w:rPr>
          <w:sz w:val="28"/>
          <w:szCs w:val="28"/>
        </w:rPr>
        <w:t xml:space="preserve">Hòn Nét - </w:t>
      </w:r>
      <w:r w:rsidR="009617D5" w:rsidRPr="00C930CE">
        <w:rPr>
          <w:sz w:val="28"/>
          <w:szCs w:val="28"/>
        </w:rPr>
        <w:t>Con Ong</w:t>
      </w:r>
      <w:r w:rsidR="00EC39FB" w:rsidRPr="00C930CE">
        <w:rPr>
          <w:sz w:val="28"/>
          <w:szCs w:val="28"/>
        </w:rPr>
        <w:t xml:space="preserve">, cảng </w:t>
      </w:r>
      <w:r w:rsidR="00A852BD" w:rsidRPr="00C930CE">
        <w:rPr>
          <w:sz w:val="28"/>
          <w:szCs w:val="28"/>
        </w:rPr>
        <w:t>Cẩm</w:t>
      </w:r>
      <w:r w:rsidR="00EC39FB" w:rsidRPr="00C930CE">
        <w:rPr>
          <w:sz w:val="28"/>
          <w:szCs w:val="28"/>
        </w:rPr>
        <w:t xml:space="preserve"> Phả.</w:t>
      </w:r>
    </w:p>
    <w:p w14:paraId="645893AA" w14:textId="75653295" w:rsidR="002531A9" w:rsidRPr="00C930CE" w:rsidRDefault="007F5F63" w:rsidP="00C81DCB">
      <w:pPr>
        <w:spacing w:line="276" w:lineRule="auto"/>
        <w:ind w:firstLine="709"/>
        <w:contextualSpacing/>
        <w:rPr>
          <w:b/>
          <w:sz w:val="28"/>
          <w:szCs w:val="28"/>
          <w:lang w:val="nl-NL"/>
        </w:rPr>
      </w:pPr>
      <w:r w:rsidRPr="00C930CE">
        <w:rPr>
          <w:b/>
          <w:sz w:val="28"/>
          <w:szCs w:val="28"/>
          <w:lang w:val="nl-NL"/>
        </w:rPr>
        <w:t>2. Mục tiêu công việc:</w:t>
      </w:r>
      <w:r w:rsidR="005E06C7" w:rsidRPr="00C930CE">
        <w:rPr>
          <w:b/>
          <w:sz w:val="28"/>
          <w:szCs w:val="28"/>
          <w:lang w:val="nl-NL"/>
        </w:rPr>
        <w:t xml:space="preserve"> </w:t>
      </w:r>
      <w:r w:rsidR="002531A9" w:rsidRPr="00C930CE">
        <w:rPr>
          <w:sz w:val="28"/>
          <w:szCs w:val="28"/>
          <w:lang w:val="nl-NL"/>
        </w:rPr>
        <w:t>Đảm bảo</w:t>
      </w:r>
      <w:r w:rsidR="009617D5" w:rsidRPr="00C930CE">
        <w:rPr>
          <w:sz w:val="28"/>
          <w:szCs w:val="28"/>
          <w:lang w:val="nl-NL"/>
        </w:rPr>
        <w:t xml:space="preserve"> công tác xếp/dỡ kịp theo đúng tiến độ Tổng công ty Đông Bắc đã ký kết với khách hàng, không ảnh hưởng gây chậm trễ đến công tác cung cấp than cho các khách hàng, trọng tâm là các NMNĐ.</w:t>
      </w:r>
      <w:r w:rsidR="002531A9" w:rsidRPr="00C930CE">
        <w:rPr>
          <w:sz w:val="28"/>
          <w:szCs w:val="28"/>
          <w:lang w:val="nl-NL"/>
        </w:rPr>
        <w:t xml:space="preserve"> </w:t>
      </w:r>
    </w:p>
    <w:p w14:paraId="645893AC" w14:textId="3FE88A42" w:rsidR="00C34C04" w:rsidRPr="00C930CE" w:rsidRDefault="005736EA" w:rsidP="00C81DCB">
      <w:pPr>
        <w:spacing w:line="276" w:lineRule="auto"/>
        <w:contextualSpacing/>
        <w:rPr>
          <w:i/>
          <w:sz w:val="26"/>
        </w:rPr>
      </w:pPr>
      <w:r w:rsidRPr="00C930CE">
        <w:rPr>
          <w:sz w:val="28"/>
          <w:szCs w:val="28"/>
          <w:lang w:val="nl-NL"/>
        </w:rPr>
        <w:t>Tiến độ thực hiện dự kiến:</w:t>
      </w:r>
    </w:p>
    <w:tbl>
      <w:tblPr>
        <w:tblStyle w:val="TableGrid"/>
        <w:tblW w:w="5000" w:type="pct"/>
        <w:tblLook w:val="04A0" w:firstRow="1" w:lastRow="0" w:firstColumn="1" w:lastColumn="0" w:noHBand="0" w:noVBand="1"/>
      </w:tblPr>
      <w:tblGrid>
        <w:gridCol w:w="1713"/>
        <w:gridCol w:w="2148"/>
        <w:gridCol w:w="2005"/>
        <w:gridCol w:w="1862"/>
        <w:gridCol w:w="1667"/>
      </w:tblGrid>
      <w:tr w:rsidR="00C930CE" w:rsidRPr="00C930CE" w14:paraId="3B60D92D" w14:textId="77777777" w:rsidTr="00C4538D">
        <w:tc>
          <w:tcPr>
            <w:tcW w:w="912" w:type="pct"/>
          </w:tcPr>
          <w:p w14:paraId="420DAEB4" w14:textId="77777777" w:rsidR="0032008D" w:rsidRPr="00C930CE" w:rsidRDefault="0032008D" w:rsidP="00C81DCB">
            <w:pPr>
              <w:spacing w:line="276" w:lineRule="auto"/>
              <w:contextualSpacing/>
              <w:jc w:val="center"/>
              <w:rPr>
                <w:b/>
                <w:sz w:val="26"/>
                <w:szCs w:val="26"/>
              </w:rPr>
            </w:pPr>
            <w:r w:rsidRPr="00C930CE">
              <w:rPr>
                <w:b/>
                <w:sz w:val="26"/>
                <w:szCs w:val="26"/>
              </w:rPr>
              <w:t>Quý I</w:t>
            </w:r>
          </w:p>
        </w:tc>
        <w:tc>
          <w:tcPr>
            <w:tcW w:w="1143" w:type="pct"/>
          </w:tcPr>
          <w:p w14:paraId="21F3FA79" w14:textId="77777777" w:rsidR="0032008D" w:rsidRPr="00C930CE" w:rsidRDefault="0032008D" w:rsidP="00C81DCB">
            <w:pPr>
              <w:spacing w:line="276" w:lineRule="auto"/>
              <w:contextualSpacing/>
              <w:jc w:val="center"/>
              <w:rPr>
                <w:b/>
                <w:sz w:val="26"/>
                <w:szCs w:val="26"/>
              </w:rPr>
            </w:pPr>
            <w:r w:rsidRPr="00C930CE">
              <w:rPr>
                <w:b/>
                <w:sz w:val="26"/>
                <w:szCs w:val="26"/>
              </w:rPr>
              <w:t>Quý II</w:t>
            </w:r>
          </w:p>
        </w:tc>
        <w:tc>
          <w:tcPr>
            <w:tcW w:w="1067" w:type="pct"/>
          </w:tcPr>
          <w:p w14:paraId="27DCA796" w14:textId="77777777" w:rsidR="0032008D" w:rsidRPr="00C930CE" w:rsidRDefault="0032008D" w:rsidP="00C81DCB">
            <w:pPr>
              <w:spacing w:line="276" w:lineRule="auto"/>
              <w:contextualSpacing/>
              <w:jc w:val="center"/>
              <w:rPr>
                <w:b/>
                <w:sz w:val="26"/>
                <w:szCs w:val="26"/>
              </w:rPr>
            </w:pPr>
            <w:r w:rsidRPr="00C930CE">
              <w:rPr>
                <w:b/>
                <w:sz w:val="26"/>
                <w:szCs w:val="26"/>
              </w:rPr>
              <w:t>Quý III</w:t>
            </w:r>
          </w:p>
        </w:tc>
        <w:tc>
          <w:tcPr>
            <w:tcW w:w="991" w:type="pct"/>
          </w:tcPr>
          <w:p w14:paraId="5715DEBC" w14:textId="77777777" w:rsidR="0032008D" w:rsidRPr="00C930CE" w:rsidRDefault="0032008D" w:rsidP="00C81DCB">
            <w:pPr>
              <w:spacing w:line="276" w:lineRule="auto"/>
              <w:contextualSpacing/>
              <w:jc w:val="center"/>
              <w:rPr>
                <w:b/>
                <w:sz w:val="26"/>
                <w:szCs w:val="26"/>
              </w:rPr>
            </w:pPr>
            <w:r w:rsidRPr="00C930CE">
              <w:rPr>
                <w:b/>
                <w:sz w:val="26"/>
                <w:szCs w:val="26"/>
              </w:rPr>
              <w:t>Quý IV</w:t>
            </w:r>
          </w:p>
        </w:tc>
        <w:tc>
          <w:tcPr>
            <w:tcW w:w="887" w:type="pct"/>
          </w:tcPr>
          <w:p w14:paraId="7D0EC9CE" w14:textId="055C11E3" w:rsidR="0032008D" w:rsidRPr="00C930CE" w:rsidRDefault="0032008D" w:rsidP="00C81DCB">
            <w:pPr>
              <w:spacing w:line="276" w:lineRule="auto"/>
              <w:contextualSpacing/>
              <w:jc w:val="center"/>
              <w:rPr>
                <w:b/>
                <w:sz w:val="26"/>
                <w:szCs w:val="26"/>
              </w:rPr>
            </w:pPr>
            <w:r w:rsidRPr="00C930CE">
              <w:rPr>
                <w:b/>
                <w:sz w:val="26"/>
                <w:szCs w:val="26"/>
              </w:rPr>
              <w:t>Năm 202</w:t>
            </w:r>
            <w:r w:rsidR="00814D7A">
              <w:rPr>
                <w:b/>
                <w:sz w:val="26"/>
                <w:szCs w:val="26"/>
              </w:rPr>
              <w:t>5</w:t>
            </w:r>
          </w:p>
        </w:tc>
      </w:tr>
      <w:tr w:rsidR="00C930CE" w:rsidRPr="00C930CE" w14:paraId="37566E7D" w14:textId="77777777" w:rsidTr="00C4538D">
        <w:tc>
          <w:tcPr>
            <w:tcW w:w="912" w:type="pct"/>
          </w:tcPr>
          <w:p w14:paraId="3EBF4D12" w14:textId="3B5C7E07" w:rsidR="0032008D" w:rsidRPr="00C930CE" w:rsidRDefault="0030472F" w:rsidP="00C81DCB">
            <w:pPr>
              <w:spacing w:line="276" w:lineRule="auto"/>
              <w:contextualSpacing/>
              <w:jc w:val="center"/>
              <w:rPr>
                <w:sz w:val="26"/>
                <w:szCs w:val="26"/>
              </w:rPr>
            </w:pPr>
            <w:r w:rsidRPr="00C930CE">
              <w:rPr>
                <w:sz w:val="26"/>
                <w:szCs w:val="26"/>
              </w:rPr>
              <w:t>2</w:t>
            </w:r>
            <w:r w:rsidR="00C00B07">
              <w:rPr>
                <w:sz w:val="26"/>
                <w:szCs w:val="26"/>
              </w:rPr>
              <w:t>6</w:t>
            </w:r>
            <w:r w:rsidRPr="00C930CE">
              <w:rPr>
                <w:sz w:val="26"/>
                <w:szCs w:val="26"/>
              </w:rPr>
              <w:t>%</w:t>
            </w:r>
          </w:p>
        </w:tc>
        <w:tc>
          <w:tcPr>
            <w:tcW w:w="1143" w:type="pct"/>
          </w:tcPr>
          <w:p w14:paraId="4BFC8108" w14:textId="627BA51B" w:rsidR="0032008D" w:rsidRPr="00C930CE" w:rsidRDefault="0030472F" w:rsidP="00C81DCB">
            <w:pPr>
              <w:spacing w:line="276" w:lineRule="auto"/>
              <w:contextualSpacing/>
              <w:jc w:val="center"/>
              <w:rPr>
                <w:sz w:val="26"/>
                <w:szCs w:val="26"/>
              </w:rPr>
            </w:pPr>
            <w:r w:rsidRPr="00C930CE">
              <w:rPr>
                <w:sz w:val="26"/>
                <w:szCs w:val="26"/>
              </w:rPr>
              <w:t>2</w:t>
            </w:r>
            <w:r w:rsidR="00C00B07">
              <w:rPr>
                <w:sz w:val="26"/>
                <w:szCs w:val="26"/>
              </w:rPr>
              <w:t>7</w:t>
            </w:r>
            <w:r w:rsidRPr="00C930CE">
              <w:rPr>
                <w:sz w:val="26"/>
                <w:szCs w:val="26"/>
              </w:rPr>
              <w:t>%</w:t>
            </w:r>
          </w:p>
        </w:tc>
        <w:tc>
          <w:tcPr>
            <w:tcW w:w="1067" w:type="pct"/>
          </w:tcPr>
          <w:p w14:paraId="30EEF36A" w14:textId="4292D652" w:rsidR="0032008D" w:rsidRPr="00C930CE" w:rsidRDefault="0030472F" w:rsidP="00C81DCB">
            <w:pPr>
              <w:spacing w:line="276" w:lineRule="auto"/>
              <w:contextualSpacing/>
              <w:jc w:val="center"/>
              <w:rPr>
                <w:sz w:val="26"/>
                <w:szCs w:val="26"/>
              </w:rPr>
            </w:pPr>
            <w:r w:rsidRPr="00C930CE">
              <w:rPr>
                <w:sz w:val="26"/>
                <w:szCs w:val="26"/>
              </w:rPr>
              <w:t>20%</w:t>
            </w:r>
          </w:p>
        </w:tc>
        <w:tc>
          <w:tcPr>
            <w:tcW w:w="991" w:type="pct"/>
          </w:tcPr>
          <w:p w14:paraId="59FCE560" w14:textId="3D2A9BD6" w:rsidR="0032008D" w:rsidRPr="00C930CE" w:rsidRDefault="0030472F" w:rsidP="00C81DCB">
            <w:pPr>
              <w:spacing w:line="276" w:lineRule="auto"/>
              <w:contextualSpacing/>
              <w:jc w:val="center"/>
              <w:rPr>
                <w:sz w:val="26"/>
                <w:szCs w:val="26"/>
              </w:rPr>
            </w:pPr>
            <w:r w:rsidRPr="00C930CE">
              <w:rPr>
                <w:sz w:val="26"/>
                <w:szCs w:val="26"/>
              </w:rPr>
              <w:t>27%</w:t>
            </w:r>
          </w:p>
        </w:tc>
        <w:tc>
          <w:tcPr>
            <w:tcW w:w="887" w:type="pct"/>
          </w:tcPr>
          <w:p w14:paraId="55F872BC" w14:textId="07B4D8A9" w:rsidR="0032008D" w:rsidRPr="00C930CE" w:rsidRDefault="0030472F" w:rsidP="00C81DCB">
            <w:pPr>
              <w:spacing w:line="276" w:lineRule="auto"/>
              <w:contextualSpacing/>
              <w:jc w:val="center"/>
              <w:rPr>
                <w:sz w:val="26"/>
                <w:szCs w:val="26"/>
              </w:rPr>
            </w:pPr>
            <w:r w:rsidRPr="00C930CE">
              <w:rPr>
                <w:sz w:val="26"/>
                <w:szCs w:val="26"/>
              </w:rPr>
              <w:t>100%</w:t>
            </w:r>
          </w:p>
        </w:tc>
      </w:tr>
    </w:tbl>
    <w:p w14:paraId="645893C9" w14:textId="77777777" w:rsidR="00C34C04" w:rsidRPr="00C930CE" w:rsidRDefault="00C34C04" w:rsidP="00C81DCB">
      <w:pPr>
        <w:spacing w:line="276" w:lineRule="auto"/>
        <w:contextualSpacing/>
        <w:rPr>
          <w:b/>
          <w:i/>
          <w:sz w:val="28"/>
          <w:szCs w:val="28"/>
          <w:u w:val="single"/>
        </w:rPr>
      </w:pPr>
      <w:r w:rsidRPr="00C930CE">
        <w:rPr>
          <w:sz w:val="28"/>
          <w:szCs w:val="28"/>
        </w:rPr>
        <w:tab/>
      </w:r>
      <w:r w:rsidRPr="00C930CE">
        <w:rPr>
          <w:b/>
          <w:i/>
          <w:sz w:val="28"/>
          <w:szCs w:val="28"/>
          <w:u w:val="single"/>
        </w:rPr>
        <w:t xml:space="preserve">Ghi chú: </w:t>
      </w:r>
    </w:p>
    <w:p w14:paraId="645893CA" w14:textId="6B5036E6" w:rsidR="00C34C04" w:rsidRPr="00C930CE" w:rsidRDefault="00C34C04" w:rsidP="00C81DCB">
      <w:pPr>
        <w:spacing w:line="276" w:lineRule="auto"/>
        <w:contextualSpacing/>
        <w:rPr>
          <w:sz w:val="28"/>
          <w:szCs w:val="28"/>
        </w:rPr>
      </w:pPr>
      <w:r w:rsidRPr="00C930CE">
        <w:rPr>
          <w:sz w:val="28"/>
          <w:szCs w:val="28"/>
        </w:rPr>
        <w:tab/>
        <w:t xml:space="preserve">- Tiến độ nêu trên là dự kiến. </w:t>
      </w:r>
      <w:r w:rsidR="00F27B0E" w:rsidRPr="00C930CE">
        <w:rPr>
          <w:sz w:val="28"/>
          <w:szCs w:val="28"/>
        </w:rPr>
        <w:t xml:space="preserve">Nhu cầu thực tế </w:t>
      </w:r>
      <w:r w:rsidRPr="00C930CE">
        <w:rPr>
          <w:sz w:val="28"/>
          <w:szCs w:val="28"/>
        </w:rPr>
        <w:t xml:space="preserve">có thể thay đổi theo </w:t>
      </w:r>
      <w:r w:rsidR="005736EA" w:rsidRPr="00C930CE">
        <w:rPr>
          <w:sz w:val="28"/>
          <w:szCs w:val="28"/>
        </w:rPr>
        <w:t>yêu cầu thực tế của</w:t>
      </w:r>
      <w:r w:rsidR="00F27B0E" w:rsidRPr="00C930CE">
        <w:rPr>
          <w:sz w:val="28"/>
          <w:szCs w:val="28"/>
        </w:rPr>
        <w:t xml:space="preserve"> Bên mời thầu</w:t>
      </w:r>
      <w:r w:rsidR="005736EA" w:rsidRPr="00C930CE">
        <w:rPr>
          <w:sz w:val="28"/>
          <w:szCs w:val="28"/>
        </w:rPr>
        <w:t xml:space="preserve">. </w:t>
      </w:r>
      <w:r w:rsidRPr="00C930CE">
        <w:rPr>
          <w:sz w:val="28"/>
          <w:szCs w:val="28"/>
        </w:rPr>
        <w:t>Trong quá trình thực hiện, Bên mời thầu sẽ thông báo cho Nhà thầu khối lượng chính xác và kế hoạch giao hàng của từng tháng để Nhà thầu cân đối bố trí phương tiện.</w:t>
      </w:r>
      <w:r w:rsidR="005736EA" w:rsidRPr="00C930CE">
        <w:rPr>
          <w:sz w:val="28"/>
          <w:szCs w:val="28"/>
        </w:rPr>
        <w:t xml:space="preserve"> </w:t>
      </w:r>
    </w:p>
    <w:p w14:paraId="645893CB" w14:textId="2FE7FFFD" w:rsidR="00C34C04" w:rsidRPr="00C930CE" w:rsidRDefault="00C34C04" w:rsidP="00C81DCB">
      <w:pPr>
        <w:spacing w:line="276" w:lineRule="auto"/>
        <w:contextualSpacing/>
        <w:rPr>
          <w:sz w:val="28"/>
          <w:szCs w:val="28"/>
        </w:rPr>
      </w:pPr>
      <w:r w:rsidRPr="00C930CE">
        <w:rPr>
          <w:sz w:val="28"/>
          <w:szCs w:val="28"/>
        </w:rPr>
        <w:tab/>
        <w:t>- Nhà thầu cam kết</w:t>
      </w:r>
      <w:r w:rsidR="00F27B0E" w:rsidRPr="00C930CE">
        <w:rPr>
          <w:sz w:val="28"/>
          <w:szCs w:val="28"/>
        </w:rPr>
        <w:t xml:space="preserve"> trong mọi trường hợp phải</w:t>
      </w:r>
      <w:r w:rsidRPr="00C930CE">
        <w:rPr>
          <w:sz w:val="28"/>
          <w:szCs w:val="28"/>
        </w:rPr>
        <w:t xml:space="preserve"> bố trí</w:t>
      </w:r>
      <w:r w:rsidR="00F27B0E" w:rsidRPr="00C930CE">
        <w:rPr>
          <w:sz w:val="28"/>
          <w:szCs w:val="28"/>
        </w:rPr>
        <w:t xml:space="preserve"> đủ thiết bị và nhân sự</w:t>
      </w:r>
      <w:r w:rsidRPr="00C930CE">
        <w:rPr>
          <w:sz w:val="28"/>
          <w:szCs w:val="28"/>
        </w:rPr>
        <w:t xml:space="preserve"> đảm bảo theo kế hoạch do Bên mời thầu yêu cầu. </w:t>
      </w:r>
    </w:p>
    <w:p w14:paraId="484B0BC5" w14:textId="4B1A2986" w:rsidR="00903F35" w:rsidRPr="00C930CE" w:rsidRDefault="00903F35" w:rsidP="00C81DCB">
      <w:pPr>
        <w:spacing w:line="276" w:lineRule="auto"/>
        <w:contextualSpacing/>
        <w:rPr>
          <w:sz w:val="28"/>
          <w:szCs w:val="28"/>
        </w:rPr>
      </w:pPr>
      <w:r w:rsidRPr="00C930CE">
        <w:rPr>
          <w:sz w:val="28"/>
          <w:szCs w:val="28"/>
        </w:rPr>
        <w:tab/>
        <w:t xml:space="preserve">- Căn cứ tình hình điều hành sản xuất kinh doanh thực tế, Bên mời thầu có thể điều chỉnh khối lượng công việc </w:t>
      </w:r>
      <w:r w:rsidR="00C860C9" w:rsidRPr="00C930CE">
        <w:rPr>
          <w:sz w:val="28"/>
          <w:szCs w:val="28"/>
        </w:rPr>
        <w:t>bốc xếp bằng cẩu nổi thay thế cho bốc xếp bằng cẩu tàu hoặc ngược lại.</w:t>
      </w:r>
    </w:p>
    <w:p w14:paraId="645893CC" w14:textId="77777777" w:rsidR="007F5F63" w:rsidRPr="00C930CE" w:rsidRDefault="007F5F63" w:rsidP="00C81DCB">
      <w:pPr>
        <w:spacing w:line="276" w:lineRule="auto"/>
        <w:ind w:firstLine="709"/>
        <w:contextualSpacing/>
        <w:rPr>
          <w:b/>
          <w:sz w:val="28"/>
          <w:szCs w:val="28"/>
          <w:lang w:val="nl-NL"/>
        </w:rPr>
      </w:pPr>
      <w:r w:rsidRPr="00C930CE">
        <w:rPr>
          <w:b/>
          <w:sz w:val="28"/>
          <w:szCs w:val="28"/>
          <w:lang w:val="nl-NL"/>
        </w:rPr>
        <w:t>3. Yêu cầu kỹ thuật của gói thầu:</w:t>
      </w:r>
    </w:p>
    <w:p w14:paraId="3E09CEB9" w14:textId="33429A3E" w:rsidR="00AD54B7" w:rsidRPr="00C930CE" w:rsidRDefault="00677C2D" w:rsidP="00C81DCB">
      <w:pPr>
        <w:pStyle w:val="BodyText"/>
        <w:spacing w:line="276" w:lineRule="auto"/>
        <w:ind w:right="0"/>
        <w:contextualSpacing/>
        <w:rPr>
          <w:rFonts w:eastAsia="Courier New"/>
          <w:b/>
          <w:spacing w:val="0"/>
          <w:sz w:val="28"/>
          <w:szCs w:val="28"/>
          <w:lang w:val="en-US" w:eastAsia="vi-VN"/>
        </w:rPr>
      </w:pPr>
      <w:r w:rsidRPr="00C930CE">
        <w:rPr>
          <w:rFonts w:eastAsia="Courier New"/>
          <w:spacing w:val="0"/>
          <w:sz w:val="28"/>
          <w:szCs w:val="28"/>
          <w:lang w:val="vi-VN" w:eastAsia="vi-VN"/>
        </w:rPr>
        <w:tab/>
      </w:r>
      <w:r w:rsidR="00AD54B7" w:rsidRPr="00C930CE">
        <w:rPr>
          <w:rFonts w:eastAsia="Courier New"/>
          <w:b/>
          <w:spacing w:val="0"/>
          <w:sz w:val="28"/>
          <w:szCs w:val="28"/>
          <w:lang w:val="en-US" w:eastAsia="vi-VN"/>
        </w:rPr>
        <w:t>3.1. Yêu cầu về thiết bị của gói thầ</w:t>
      </w:r>
      <w:r w:rsidR="0072282A" w:rsidRPr="00C930CE">
        <w:rPr>
          <w:rFonts w:eastAsia="Courier New"/>
          <w:b/>
          <w:spacing w:val="0"/>
          <w:sz w:val="28"/>
          <w:szCs w:val="28"/>
          <w:lang w:val="en-US" w:eastAsia="vi-VN"/>
        </w:rPr>
        <w:t>u</w:t>
      </w:r>
    </w:p>
    <w:p w14:paraId="645893CD" w14:textId="29211D19" w:rsidR="00677C2D" w:rsidRPr="00C930CE" w:rsidRDefault="00AD54B7" w:rsidP="00C81DCB">
      <w:pPr>
        <w:pStyle w:val="BodyText"/>
        <w:spacing w:line="276" w:lineRule="auto"/>
        <w:ind w:right="0"/>
        <w:contextualSpacing/>
        <w:rPr>
          <w:rFonts w:eastAsia="Courier New"/>
          <w:spacing w:val="0"/>
          <w:sz w:val="28"/>
          <w:szCs w:val="28"/>
          <w:lang w:val="en-US" w:eastAsia="vi-VN"/>
        </w:rPr>
      </w:pPr>
      <w:r w:rsidRPr="00C930CE">
        <w:rPr>
          <w:rFonts w:eastAsia="Courier New"/>
          <w:spacing w:val="0"/>
          <w:sz w:val="28"/>
          <w:szCs w:val="28"/>
          <w:lang w:val="en-US" w:eastAsia="vi-VN"/>
        </w:rPr>
        <w:tab/>
      </w:r>
      <w:r w:rsidR="009E1A23" w:rsidRPr="00C930CE">
        <w:rPr>
          <w:rFonts w:eastAsia="Courier New"/>
          <w:spacing w:val="0"/>
          <w:sz w:val="28"/>
          <w:szCs w:val="28"/>
          <w:lang w:val="en-US" w:eastAsia="vi-VN"/>
        </w:rPr>
        <w:t>Nhà thầu đảm bảo các phương tiện vận chuyển có đặc tính kỹ thuật theo đúng yêu cầu của Bên mời thầu tại</w:t>
      </w:r>
      <w:r w:rsidR="009C4E53" w:rsidRPr="00C930CE">
        <w:rPr>
          <w:rFonts w:eastAsia="Courier New"/>
          <w:spacing w:val="0"/>
          <w:sz w:val="28"/>
          <w:szCs w:val="28"/>
          <w:lang w:val="en-US" w:eastAsia="vi-VN"/>
        </w:rPr>
        <w:t xml:space="preserve"> M</w:t>
      </w:r>
      <w:r w:rsidR="00757AF7" w:rsidRPr="00C930CE">
        <w:rPr>
          <w:rFonts w:eastAsia="Courier New"/>
          <w:spacing w:val="0"/>
          <w:sz w:val="28"/>
          <w:szCs w:val="28"/>
          <w:lang w:val="en-US" w:eastAsia="vi-VN"/>
        </w:rPr>
        <w:t>ục 2.2</w:t>
      </w:r>
      <w:r w:rsidR="00363DDE" w:rsidRPr="00C930CE">
        <w:rPr>
          <w:rFonts w:eastAsia="Courier New"/>
          <w:spacing w:val="0"/>
          <w:sz w:val="28"/>
          <w:szCs w:val="28"/>
          <w:lang w:val="en-US" w:eastAsia="vi-VN"/>
        </w:rPr>
        <w:t>b</w:t>
      </w:r>
      <w:r w:rsidR="00757AF7" w:rsidRPr="00C930CE">
        <w:rPr>
          <w:rFonts w:eastAsia="Courier New"/>
          <w:spacing w:val="0"/>
          <w:sz w:val="28"/>
          <w:szCs w:val="28"/>
          <w:lang w:val="en-US" w:eastAsia="vi-VN"/>
        </w:rPr>
        <w:t xml:space="preserve"> </w:t>
      </w:r>
      <w:r w:rsidR="009E1A23" w:rsidRPr="00C930CE">
        <w:rPr>
          <w:rFonts w:eastAsia="Courier New"/>
          <w:spacing w:val="0"/>
          <w:sz w:val="28"/>
          <w:szCs w:val="28"/>
          <w:lang w:val="en-US" w:eastAsia="vi-VN"/>
        </w:rPr>
        <w:t xml:space="preserve">Chương III – mục </w:t>
      </w:r>
      <w:r w:rsidR="006D41EF" w:rsidRPr="00C930CE">
        <w:rPr>
          <w:rFonts w:eastAsia="Courier New"/>
          <w:spacing w:val="0"/>
          <w:sz w:val="28"/>
          <w:szCs w:val="28"/>
          <w:lang w:val="en-US" w:eastAsia="vi-VN"/>
        </w:rPr>
        <w:t xml:space="preserve">Tiêu chuẩn đánh giá về thiết bị chủ yếu </w:t>
      </w:r>
      <w:r w:rsidR="009E1A23" w:rsidRPr="00C930CE">
        <w:rPr>
          <w:rFonts w:eastAsia="Courier New"/>
          <w:spacing w:val="0"/>
          <w:sz w:val="28"/>
          <w:szCs w:val="28"/>
          <w:lang w:val="en-US" w:eastAsia="vi-VN"/>
        </w:rPr>
        <w:t>dự kiến huy động để thực hiện gói thầu.</w:t>
      </w:r>
    </w:p>
    <w:p w14:paraId="42E0F2E5" w14:textId="6887EC62" w:rsidR="008E4C65" w:rsidRPr="00C930CE" w:rsidRDefault="008E4C65" w:rsidP="00C81DCB">
      <w:pPr>
        <w:spacing w:line="276" w:lineRule="auto"/>
        <w:contextualSpacing/>
        <w:rPr>
          <w:sz w:val="28"/>
          <w:szCs w:val="28"/>
        </w:rPr>
      </w:pPr>
      <w:r w:rsidRPr="00C930CE">
        <w:rPr>
          <w:sz w:val="28"/>
          <w:szCs w:val="28"/>
        </w:rPr>
        <w:tab/>
        <w:t xml:space="preserve">Trường hợp không cân đối bố trí được thiết bị, Nhà thầu được phép sử dụng phương tiện thay thế có đặc tính kỹ thuật tương đương với các phương tiện đề xuất trong </w:t>
      </w:r>
      <w:r w:rsidR="00756E34" w:rsidRPr="00C930CE">
        <w:rPr>
          <w:sz w:val="28"/>
          <w:szCs w:val="28"/>
        </w:rPr>
        <w:t>HSDT</w:t>
      </w:r>
      <w:r w:rsidRPr="00C930CE">
        <w:rPr>
          <w:sz w:val="28"/>
          <w:szCs w:val="28"/>
        </w:rPr>
        <w:t xml:space="preserve"> nhưng phải được sự đồng ý của </w:t>
      </w:r>
      <w:r w:rsidR="00B41B93" w:rsidRPr="00C930CE">
        <w:rPr>
          <w:sz w:val="28"/>
          <w:szCs w:val="28"/>
        </w:rPr>
        <w:t>Bên mời thầu.</w:t>
      </w:r>
    </w:p>
    <w:p w14:paraId="5921E7B3" w14:textId="77777777" w:rsidR="00AD54B7" w:rsidRPr="00C930CE" w:rsidRDefault="00AD54B7" w:rsidP="00C81DCB">
      <w:pPr>
        <w:spacing w:line="276" w:lineRule="auto"/>
        <w:ind w:firstLine="720"/>
        <w:contextualSpacing/>
        <w:rPr>
          <w:rFonts w:eastAsia="Courier New"/>
          <w:b/>
          <w:sz w:val="28"/>
          <w:szCs w:val="28"/>
          <w:lang w:eastAsia="vi-VN"/>
        </w:rPr>
      </w:pPr>
      <w:r w:rsidRPr="00C930CE">
        <w:rPr>
          <w:rFonts w:eastAsia="Courier New"/>
          <w:b/>
          <w:sz w:val="28"/>
          <w:szCs w:val="28"/>
          <w:lang w:eastAsia="vi-VN"/>
        </w:rPr>
        <w:t>3.2 Yêu cầu về quy trình bốc xếp</w:t>
      </w:r>
    </w:p>
    <w:p w14:paraId="04C29D44" w14:textId="77777777" w:rsidR="00AD54B7" w:rsidRPr="00C930CE" w:rsidRDefault="00AD54B7"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lastRenderedPageBreak/>
        <w:t>Nhà thầu phải tổ chức, bố trí thiết bị liên tục tương ứng theo nhu cầu của Bên mời thầu trên cơ sở thông báo hàng tháng của Bên mời thầu. Nhà thầu phải đưa ra quy trình bốc xếp đảm bảo đáp ứng được nội dung công việc của gói thầu.</w:t>
      </w:r>
    </w:p>
    <w:p w14:paraId="36AF949E" w14:textId="3B8E41AE" w:rsidR="00C2378F" w:rsidRPr="00C930CE" w:rsidRDefault="00677C2D" w:rsidP="00C81DCB">
      <w:pPr>
        <w:spacing w:line="276" w:lineRule="auto"/>
        <w:contextualSpacing/>
        <w:rPr>
          <w:rFonts w:eastAsia="Courier New"/>
          <w:b/>
          <w:sz w:val="28"/>
          <w:szCs w:val="28"/>
          <w:lang w:eastAsia="vi-VN"/>
        </w:rPr>
      </w:pPr>
      <w:r w:rsidRPr="00C930CE">
        <w:rPr>
          <w:rFonts w:eastAsia="Courier New"/>
          <w:sz w:val="28"/>
          <w:szCs w:val="28"/>
          <w:lang w:eastAsia="vi-VN"/>
        </w:rPr>
        <w:tab/>
      </w:r>
      <w:r w:rsidR="00C2378F" w:rsidRPr="00C930CE">
        <w:rPr>
          <w:rFonts w:eastAsia="Courier New"/>
          <w:b/>
          <w:sz w:val="28"/>
          <w:szCs w:val="28"/>
          <w:lang w:eastAsia="vi-VN"/>
        </w:rPr>
        <w:t>3.3 Yêu cầu về bố trí thiết bị bốc xếp</w:t>
      </w:r>
    </w:p>
    <w:p w14:paraId="08E531D7" w14:textId="651355A6"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Nhà thầu phải bố trí các cần cẩu nổi, thiết bị phục vụ công tác vun đống đánh tẩy và phương tiện ăn nghỉ, chuyên chở thiết bị và con người đảm bảo phục vụ tốt cho gói thầu.</w:t>
      </w:r>
    </w:p>
    <w:p w14:paraId="5BB5C0AC" w14:textId="7777777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Nhà thầu phải tự khảo sát điều kiện tiếp nhận đối với các cảng tại địa phận Quảng Ninh, tự đảm bảo việc bố trí cẩu nổi làm hàng được tại tất cả các cảng trên.</w:t>
      </w:r>
    </w:p>
    <w:p w14:paraId="66AD6FD5" w14:textId="7777777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Nhà thầu phải đảm bảo quá trình làm hàng cho tàu diễn ra liên tục 24h /ngày, tất cả các ngày làm việc trong tuần kể cả ngày lễ, thứ bảy và chủ nhật (khi có đầy đủ các điều kiện để xếp dỡ hàng hóa).</w:t>
      </w:r>
    </w:p>
    <w:p w14:paraId="26A8270E" w14:textId="77777777" w:rsidR="00C2378F" w:rsidRPr="00C930CE" w:rsidRDefault="00C2378F" w:rsidP="00C81DCB">
      <w:pPr>
        <w:spacing w:line="276" w:lineRule="auto"/>
        <w:ind w:firstLine="720"/>
        <w:contextualSpacing/>
        <w:rPr>
          <w:rFonts w:eastAsia="Courier New"/>
          <w:b/>
          <w:sz w:val="28"/>
          <w:szCs w:val="28"/>
          <w:lang w:eastAsia="vi-VN"/>
        </w:rPr>
      </w:pPr>
      <w:r w:rsidRPr="00C930CE">
        <w:rPr>
          <w:rFonts w:eastAsia="Courier New"/>
          <w:b/>
          <w:sz w:val="28"/>
          <w:szCs w:val="28"/>
          <w:lang w:eastAsia="vi-VN"/>
        </w:rPr>
        <w:t>3.4. Yêu cầu về công tác quản lý khối lượng</w:t>
      </w:r>
    </w:p>
    <w:p w14:paraId="1BEF1469" w14:textId="7777777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Tỷ lệ hao hụt trong quá trình bốc xếp không vượt quá 0,15%. Trường hợp tỷ lệ hao hụt vượt quá 0,15% Nhà thầu phải thanh toán 100% giá trị phần hao hụt vượt quá cho Bên mời thầu.</w:t>
      </w:r>
    </w:p>
    <w:p w14:paraId="3DEECF32" w14:textId="1875CE0E"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xml:space="preserve">- Tỷ lệ hao hụt bốc xếp = </w:t>
      </w:r>
      <w:r w:rsidR="00C01931" w:rsidRPr="00C930CE">
        <w:rPr>
          <w:rFonts w:eastAsia="Courier New"/>
          <w:sz w:val="28"/>
          <w:szCs w:val="28"/>
          <w:lang w:eastAsia="vi-VN"/>
        </w:rPr>
        <w:t>(</w:t>
      </w:r>
      <w:r w:rsidRPr="00C930CE">
        <w:rPr>
          <w:rFonts w:eastAsia="Courier New"/>
          <w:sz w:val="28"/>
          <w:szCs w:val="28"/>
          <w:lang w:eastAsia="vi-VN"/>
        </w:rPr>
        <w:t>Khối lượng than trước khi bốc – Khối lượng than sau khi bốc</w:t>
      </w:r>
      <w:r w:rsidR="00C01931" w:rsidRPr="00C930CE">
        <w:rPr>
          <w:rFonts w:eastAsia="Courier New"/>
          <w:sz w:val="28"/>
          <w:szCs w:val="28"/>
          <w:lang w:eastAsia="vi-VN"/>
        </w:rPr>
        <w:t>)</w:t>
      </w:r>
      <w:r w:rsidRPr="00C930CE">
        <w:rPr>
          <w:rFonts w:eastAsia="Courier New"/>
          <w:sz w:val="28"/>
          <w:szCs w:val="28"/>
          <w:lang w:eastAsia="vi-VN"/>
        </w:rPr>
        <w:t>/Khối lượng than trước khi bốc</w:t>
      </w:r>
    </w:p>
    <w:p w14:paraId="0D8F7CD8" w14:textId="58ED428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Khối lượng than</w:t>
      </w:r>
      <w:r w:rsidR="00C01931" w:rsidRPr="00C930CE">
        <w:rPr>
          <w:rFonts w:eastAsia="Courier New"/>
          <w:sz w:val="28"/>
          <w:szCs w:val="28"/>
          <w:lang w:eastAsia="vi-VN"/>
        </w:rPr>
        <w:t>: Là</w:t>
      </w:r>
      <w:r w:rsidRPr="00C930CE">
        <w:rPr>
          <w:rFonts w:eastAsia="Courier New"/>
          <w:sz w:val="28"/>
          <w:szCs w:val="28"/>
          <w:lang w:eastAsia="vi-VN"/>
        </w:rPr>
        <w:t xml:space="preserve"> khối lượng than tính theo ẩm thực tế căn cứ chứng thư do đơn vị giám định của Bên mời thầu cung cấp.</w:t>
      </w:r>
    </w:p>
    <w:p w14:paraId="54B52F7A" w14:textId="77777777" w:rsidR="00C2378F" w:rsidRPr="00C930CE" w:rsidRDefault="00C2378F" w:rsidP="00C81DCB">
      <w:pPr>
        <w:spacing w:line="276" w:lineRule="auto"/>
        <w:ind w:firstLine="720"/>
        <w:contextualSpacing/>
        <w:rPr>
          <w:rFonts w:eastAsia="Courier New"/>
          <w:b/>
          <w:sz w:val="28"/>
          <w:szCs w:val="28"/>
          <w:lang w:eastAsia="vi-VN"/>
        </w:rPr>
      </w:pPr>
      <w:r w:rsidRPr="00C930CE">
        <w:rPr>
          <w:rFonts w:eastAsia="Courier New"/>
          <w:b/>
          <w:sz w:val="28"/>
          <w:szCs w:val="28"/>
          <w:lang w:eastAsia="vi-VN"/>
        </w:rPr>
        <w:t>3.5 Yêu cầu năng suất bốc xếp</w:t>
      </w:r>
    </w:p>
    <w:p w14:paraId="45EB4053" w14:textId="293F236E"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Năng suất xếp dỡ (được tính trung bình theo tàu mẹ) khi có đầy đủ các điều kiện xếp dỡ hàng hóa</w:t>
      </w:r>
      <w:r w:rsidR="004E17B1" w:rsidRPr="00C930CE">
        <w:rPr>
          <w:rFonts w:eastAsia="Courier New"/>
          <w:sz w:val="28"/>
          <w:szCs w:val="28"/>
          <w:lang w:eastAsia="vi-VN"/>
        </w:rPr>
        <w:t xml:space="preserve"> (thời tiết, phương tiện chuyển tải,..)</w:t>
      </w:r>
      <w:r w:rsidRPr="00C930CE">
        <w:rPr>
          <w:rFonts w:eastAsia="Courier New"/>
          <w:sz w:val="28"/>
          <w:szCs w:val="28"/>
          <w:lang w:eastAsia="vi-VN"/>
        </w:rPr>
        <w:t xml:space="preserve"> tối thiểu như sau:</w:t>
      </w:r>
    </w:p>
    <w:p w14:paraId="6D0F844B" w14:textId="2FFEC54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Đối với tàu trọng tải trên 20.000 tấn: Tối thiể</w:t>
      </w:r>
      <w:r w:rsidR="00E57F27" w:rsidRPr="00C930CE">
        <w:rPr>
          <w:rFonts w:eastAsia="Courier New"/>
          <w:sz w:val="28"/>
          <w:szCs w:val="28"/>
          <w:lang w:eastAsia="vi-VN"/>
        </w:rPr>
        <w:t>u 7.5</w:t>
      </w:r>
      <w:r w:rsidRPr="00C930CE">
        <w:rPr>
          <w:rFonts w:eastAsia="Courier New"/>
          <w:sz w:val="28"/>
          <w:szCs w:val="28"/>
          <w:lang w:eastAsia="vi-VN"/>
        </w:rPr>
        <w:t>00 tấn/ngày.</w:t>
      </w:r>
    </w:p>
    <w:p w14:paraId="075330C7" w14:textId="19519064"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Đối với tàu trọng tải dưới 20.000 tấn: Tối thiể</w:t>
      </w:r>
      <w:r w:rsidR="008F0F75" w:rsidRPr="00C930CE">
        <w:rPr>
          <w:rFonts w:eastAsia="Courier New"/>
          <w:sz w:val="28"/>
          <w:szCs w:val="28"/>
          <w:lang w:eastAsia="vi-VN"/>
        </w:rPr>
        <w:t>u 4</w:t>
      </w:r>
      <w:r w:rsidRPr="00C930CE">
        <w:rPr>
          <w:rFonts w:eastAsia="Courier New"/>
          <w:sz w:val="28"/>
          <w:szCs w:val="28"/>
          <w:lang w:eastAsia="vi-VN"/>
        </w:rPr>
        <w:t>.000 tấn/ngày</w:t>
      </w:r>
      <w:bookmarkStart w:id="0" w:name="_Toc174354619"/>
      <w:bookmarkStart w:id="1" w:name="_Toc174354715"/>
      <w:bookmarkStart w:id="2" w:name="_Toc174358104"/>
      <w:bookmarkStart w:id="3" w:name="_Toc174358216"/>
      <w:bookmarkStart w:id="4" w:name="_Toc174358835"/>
      <w:bookmarkEnd w:id="0"/>
      <w:bookmarkEnd w:id="1"/>
      <w:bookmarkEnd w:id="2"/>
      <w:bookmarkEnd w:id="3"/>
      <w:bookmarkEnd w:id="4"/>
      <w:r w:rsidRPr="00C930CE">
        <w:rPr>
          <w:rFonts w:eastAsia="Courier New"/>
          <w:sz w:val="28"/>
          <w:szCs w:val="28"/>
          <w:lang w:eastAsia="vi-VN"/>
        </w:rPr>
        <w:t>.</w:t>
      </w:r>
    </w:p>
    <w:p w14:paraId="1D82FBC4" w14:textId="7777777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Trường hợp vì nguyên nhân không bố trí được thiết bị bốc xếp hoặc các nguyên nhân khác do lỗi của Nhà thầu dẫn đến việc Bên mời thầu bị phạt tiến độ thì Nhà thầu có nghĩa vụ và trách nhiệm phải bồi thường phần thiệt hại cho Bên mời thầu.</w:t>
      </w:r>
    </w:p>
    <w:p w14:paraId="45014DE4" w14:textId="77777777" w:rsidR="00C2378F" w:rsidRPr="00C930CE" w:rsidRDefault="00C2378F" w:rsidP="00C81DCB">
      <w:pPr>
        <w:spacing w:line="276" w:lineRule="auto"/>
        <w:ind w:firstLine="720"/>
        <w:contextualSpacing/>
        <w:rPr>
          <w:rFonts w:eastAsia="Courier New"/>
          <w:b/>
          <w:sz w:val="28"/>
          <w:szCs w:val="28"/>
          <w:lang w:eastAsia="vi-VN"/>
        </w:rPr>
      </w:pPr>
      <w:r w:rsidRPr="00C930CE">
        <w:rPr>
          <w:rFonts w:eastAsia="Courier New"/>
          <w:b/>
          <w:sz w:val="28"/>
          <w:szCs w:val="28"/>
          <w:lang w:eastAsia="vi-VN"/>
        </w:rPr>
        <w:t>3.6 Yêu cầu về con người, phương tiện và hàng hóa</w:t>
      </w:r>
    </w:p>
    <w:p w14:paraId="5E160CCD" w14:textId="6F1A2B6F"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xml:space="preserve">- </w:t>
      </w:r>
      <w:r w:rsidR="00B44CFE" w:rsidRPr="00C930CE">
        <w:rPr>
          <w:rFonts w:eastAsia="Courier New"/>
          <w:sz w:val="28"/>
          <w:szCs w:val="28"/>
          <w:lang w:eastAsia="vi-VN"/>
        </w:rPr>
        <w:t>Nhà thầu mua bảo hiểm trách nhiệm dân sự theo quy định của pháp luật</w:t>
      </w:r>
      <w:r w:rsidR="00412A09" w:rsidRPr="00C930CE">
        <w:rPr>
          <w:rFonts w:eastAsia="Courier New"/>
          <w:sz w:val="28"/>
          <w:szCs w:val="28"/>
          <w:lang w:eastAsia="vi-VN"/>
        </w:rPr>
        <w:t xml:space="preserve">. </w:t>
      </w:r>
      <w:r w:rsidRPr="00C930CE">
        <w:rPr>
          <w:rFonts w:eastAsia="Courier New"/>
          <w:sz w:val="28"/>
          <w:szCs w:val="28"/>
          <w:lang w:eastAsia="vi-VN"/>
        </w:rPr>
        <w:t>Người lao động làm việc trên phương tiện phải được đào tạo, có chứng chỉ bằng cấp nghề nghiệp theo quy định. Nhà thầu chịu trách nhiệm an toàn về người và thiết bị trong quá trình bốc xếp than.</w:t>
      </w:r>
    </w:p>
    <w:p w14:paraId="0EF600AC" w14:textId="77777777" w:rsidR="00C2378F" w:rsidRPr="00C930CE" w:rsidRDefault="00C2378F" w:rsidP="00C81DCB">
      <w:pPr>
        <w:spacing w:line="276" w:lineRule="auto"/>
        <w:ind w:firstLine="720"/>
        <w:contextualSpacing/>
        <w:rPr>
          <w:rFonts w:eastAsia="Courier New"/>
          <w:sz w:val="28"/>
          <w:szCs w:val="28"/>
          <w:lang w:eastAsia="vi-VN"/>
        </w:rPr>
      </w:pPr>
      <w:r w:rsidRPr="00C930CE">
        <w:rPr>
          <w:rFonts w:eastAsia="Courier New"/>
          <w:sz w:val="28"/>
          <w:szCs w:val="28"/>
          <w:lang w:eastAsia="vi-VN"/>
        </w:rPr>
        <w:t>- Nhà thầu tuân thủ Luật Bảo vệ môi trường theo các quy định hiện hành của nhà nước về môi trường.</w:t>
      </w:r>
    </w:p>
    <w:p w14:paraId="0E84850E" w14:textId="77777777" w:rsidR="00C2378F" w:rsidRPr="00C930CE" w:rsidRDefault="00C2378F" w:rsidP="00C81DCB">
      <w:pPr>
        <w:spacing w:line="276" w:lineRule="auto"/>
        <w:ind w:firstLine="720"/>
        <w:contextualSpacing/>
        <w:rPr>
          <w:rFonts w:eastAsia="Courier New"/>
          <w:b/>
          <w:sz w:val="28"/>
          <w:szCs w:val="28"/>
          <w:lang w:eastAsia="vi-VN"/>
        </w:rPr>
      </w:pPr>
      <w:r w:rsidRPr="00C930CE">
        <w:rPr>
          <w:rFonts w:eastAsia="Courier New"/>
          <w:b/>
          <w:sz w:val="28"/>
          <w:szCs w:val="28"/>
          <w:lang w:eastAsia="vi-VN"/>
        </w:rPr>
        <w:lastRenderedPageBreak/>
        <w:t>4. Giải pháp và phương pháp luận:</w:t>
      </w:r>
    </w:p>
    <w:p w14:paraId="0CF110E7" w14:textId="77777777" w:rsidR="00C2378F" w:rsidRPr="00C930CE" w:rsidRDefault="00C2378F" w:rsidP="00C81DCB">
      <w:pPr>
        <w:spacing w:line="276" w:lineRule="auto"/>
        <w:ind w:firstLine="709"/>
        <w:contextualSpacing/>
        <w:rPr>
          <w:rFonts w:eastAsia="Courier New"/>
          <w:i/>
          <w:sz w:val="28"/>
          <w:szCs w:val="28"/>
          <w:lang w:eastAsia="vi-VN"/>
        </w:rPr>
      </w:pPr>
      <w:r w:rsidRPr="00C930CE">
        <w:rPr>
          <w:rFonts w:eastAsia="Courier New"/>
          <w:i/>
          <w:sz w:val="28"/>
          <w:szCs w:val="28"/>
          <w:lang w:eastAsia="vi-VN"/>
        </w:rPr>
        <w:t xml:space="preserve">Nhà thầu chuẩn bị đề xuất giải pháp, phương pháp luận tổng quát thực hiện dịch vụ theo các nội dung quy định tại Chương V, gồm các phần như sau: </w:t>
      </w:r>
    </w:p>
    <w:p w14:paraId="172224D8" w14:textId="77777777" w:rsidR="00C2378F" w:rsidRPr="00C930CE" w:rsidRDefault="00C2378F" w:rsidP="00C81DCB">
      <w:pPr>
        <w:spacing w:line="276" w:lineRule="auto"/>
        <w:ind w:firstLine="709"/>
        <w:contextualSpacing/>
        <w:rPr>
          <w:rFonts w:eastAsia="Courier New"/>
          <w:i/>
          <w:sz w:val="28"/>
          <w:szCs w:val="28"/>
          <w:lang w:eastAsia="vi-VN"/>
        </w:rPr>
      </w:pPr>
      <w:r w:rsidRPr="00C930CE">
        <w:rPr>
          <w:rFonts w:eastAsia="Courier New"/>
          <w:i/>
          <w:sz w:val="28"/>
          <w:szCs w:val="28"/>
          <w:lang w:eastAsia="vi-VN"/>
        </w:rPr>
        <w:t>1. Giải pháp và phương pháp luận;</w:t>
      </w:r>
    </w:p>
    <w:p w14:paraId="645893DB" w14:textId="0AC446C4" w:rsidR="00492125" w:rsidRPr="00C930CE" w:rsidRDefault="00C2378F" w:rsidP="00C81DCB">
      <w:pPr>
        <w:spacing w:line="276" w:lineRule="auto"/>
        <w:ind w:firstLine="709"/>
        <w:contextualSpacing/>
        <w:rPr>
          <w:rFonts w:eastAsia="Courier New"/>
          <w:i/>
          <w:sz w:val="28"/>
          <w:szCs w:val="28"/>
          <w:lang w:eastAsia="vi-VN"/>
        </w:rPr>
      </w:pPr>
      <w:r w:rsidRPr="00C930CE">
        <w:rPr>
          <w:rFonts w:eastAsia="Courier New"/>
          <w:i/>
          <w:sz w:val="28"/>
          <w:szCs w:val="28"/>
          <w:lang w:eastAsia="vi-VN"/>
        </w:rPr>
        <w:t>2. Kế hoạ</w:t>
      </w:r>
      <w:r w:rsidR="008F0F75" w:rsidRPr="00C930CE">
        <w:rPr>
          <w:rFonts w:eastAsia="Courier New"/>
          <w:i/>
          <w:sz w:val="28"/>
          <w:szCs w:val="28"/>
          <w:lang w:eastAsia="vi-VN"/>
        </w:rPr>
        <w:t>ch công tác.</w:t>
      </w:r>
    </w:p>
    <w:sectPr w:rsidR="00492125" w:rsidRPr="00C930CE" w:rsidSect="005D0AC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F63"/>
    <w:rsid w:val="0003388C"/>
    <w:rsid w:val="0009206F"/>
    <w:rsid w:val="000B2C7D"/>
    <w:rsid w:val="00106866"/>
    <w:rsid w:val="001074C0"/>
    <w:rsid w:val="00190944"/>
    <w:rsid w:val="001A2273"/>
    <w:rsid w:val="00203C7B"/>
    <w:rsid w:val="002531A9"/>
    <w:rsid w:val="0030472F"/>
    <w:rsid w:val="0032008D"/>
    <w:rsid w:val="00363DDE"/>
    <w:rsid w:val="003D18C4"/>
    <w:rsid w:val="00412A09"/>
    <w:rsid w:val="00417438"/>
    <w:rsid w:val="00444F91"/>
    <w:rsid w:val="00446465"/>
    <w:rsid w:val="00492125"/>
    <w:rsid w:val="004A627D"/>
    <w:rsid w:val="004D3A7C"/>
    <w:rsid w:val="004E17B1"/>
    <w:rsid w:val="00501EEB"/>
    <w:rsid w:val="0057313A"/>
    <w:rsid w:val="005736EA"/>
    <w:rsid w:val="005B26D8"/>
    <w:rsid w:val="005D0ACC"/>
    <w:rsid w:val="005E06C7"/>
    <w:rsid w:val="00603094"/>
    <w:rsid w:val="0062545F"/>
    <w:rsid w:val="00677C2D"/>
    <w:rsid w:val="006D41EF"/>
    <w:rsid w:val="0072282A"/>
    <w:rsid w:val="00730CC3"/>
    <w:rsid w:val="00756E34"/>
    <w:rsid w:val="00757AF7"/>
    <w:rsid w:val="00786F55"/>
    <w:rsid w:val="007E5A85"/>
    <w:rsid w:val="007F5F63"/>
    <w:rsid w:val="008103C8"/>
    <w:rsid w:val="00814D7A"/>
    <w:rsid w:val="00844ECE"/>
    <w:rsid w:val="008B6A17"/>
    <w:rsid w:val="008C2FDA"/>
    <w:rsid w:val="008E4C65"/>
    <w:rsid w:val="008F0F75"/>
    <w:rsid w:val="00903F35"/>
    <w:rsid w:val="009617D5"/>
    <w:rsid w:val="009C4E53"/>
    <w:rsid w:val="009E1A23"/>
    <w:rsid w:val="00A73280"/>
    <w:rsid w:val="00A852BD"/>
    <w:rsid w:val="00AB45CE"/>
    <w:rsid w:val="00AD54B7"/>
    <w:rsid w:val="00AF4368"/>
    <w:rsid w:val="00B41B93"/>
    <w:rsid w:val="00B44CFE"/>
    <w:rsid w:val="00B531EA"/>
    <w:rsid w:val="00BB4313"/>
    <w:rsid w:val="00C00B07"/>
    <w:rsid w:val="00C01931"/>
    <w:rsid w:val="00C03FB8"/>
    <w:rsid w:val="00C2378F"/>
    <w:rsid w:val="00C34C04"/>
    <w:rsid w:val="00C4538D"/>
    <w:rsid w:val="00C60E31"/>
    <w:rsid w:val="00C81DCB"/>
    <w:rsid w:val="00C860C9"/>
    <w:rsid w:val="00C930CE"/>
    <w:rsid w:val="00D001DD"/>
    <w:rsid w:val="00DA0FF7"/>
    <w:rsid w:val="00E57F27"/>
    <w:rsid w:val="00EC39FB"/>
    <w:rsid w:val="00F0674A"/>
    <w:rsid w:val="00F27B0E"/>
    <w:rsid w:val="00F73CB8"/>
    <w:rsid w:val="00FD478C"/>
    <w:rsid w:val="00FE17B9"/>
    <w:rsid w:val="6EF0D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93A4"/>
  <w15:chartTrackingRefBased/>
  <w15:docId w15:val="{CD9E47CA-7894-4F7C-B3AB-00A70AEF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6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E31"/>
    <w:pPr>
      <w:suppressAutoHyphens/>
      <w:ind w:right="-72"/>
    </w:pPr>
    <w:rPr>
      <w:spacing w:val="-4"/>
      <w:lang w:val="x-none" w:eastAsia="x-none"/>
    </w:rPr>
  </w:style>
  <w:style w:type="character" w:customStyle="1" w:styleId="BodyTextChar">
    <w:name w:val="Body Text Char"/>
    <w:basedOn w:val="DefaultParagraphFont"/>
    <w:link w:val="BodyText"/>
    <w:rsid w:val="00C60E31"/>
    <w:rPr>
      <w:rFonts w:eastAsia="Times New Roman" w:cs="Times New Roman"/>
      <w:spacing w:val="-4"/>
      <w:sz w:val="24"/>
      <w:szCs w:val="20"/>
      <w:lang w:val="x-none" w:eastAsia="x-none"/>
    </w:rPr>
  </w:style>
  <w:style w:type="character" w:styleId="CommentReference">
    <w:name w:val="annotation reference"/>
    <w:basedOn w:val="DefaultParagraphFont"/>
    <w:uiPriority w:val="99"/>
    <w:semiHidden/>
    <w:unhideWhenUsed/>
    <w:rsid w:val="007E5A85"/>
    <w:rPr>
      <w:sz w:val="16"/>
      <w:szCs w:val="16"/>
    </w:rPr>
  </w:style>
  <w:style w:type="paragraph" w:styleId="CommentText">
    <w:name w:val="annotation text"/>
    <w:basedOn w:val="Normal"/>
    <w:link w:val="CommentTextChar"/>
    <w:uiPriority w:val="99"/>
    <w:semiHidden/>
    <w:unhideWhenUsed/>
    <w:rsid w:val="007E5A85"/>
    <w:rPr>
      <w:sz w:val="20"/>
    </w:rPr>
  </w:style>
  <w:style w:type="character" w:customStyle="1" w:styleId="CommentTextChar">
    <w:name w:val="Comment Text Char"/>
    <w:basedOn w:val="DefaultParagraphFont"/>
    <w:link w:val="CommentText"/>
    <w:uiPriority w:val="99"/>
    <w:semiHidden/>
    <w:rsid w:val="007E5A8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A85"/>
    <w:rPr>
      <w:b/>
      <w:bCs/>
    </w:rPr>
  </w:style>
  <w:style w:type="character" w:customStyle="1" w:styleId="CommentSubjectChar">
    <w:name w:val="Comment Subject Char"/>
    <w:basedOn w:val="CommentTextChar"/>
    <w:link w:val="CommentSubject"/>
    <w:uiPriority w:val="99"/>
    <w:semiHidden/>
    <w:rsid w:val="007E5A85"/>
    <w:rPr>
      <w:rFonts w:eastAsia="Times New Roman" w:cs="Times New Roman"/>
      <w:b/>
      <w:bCs/>
      <w:sz w:val="20"/>
      <w:szCs w:val="20"/>
    </w:rPr>
  </w:style>
  <w:style w:type="paragraph" w:styleId="BalloonText">
    <w:name w:val="Balloon Text"/>
    <w:basedOn w:val="Normal"/>
    <w:link w:val="BalloonTextChar"/>
    <w:uiPriority w:val="99"/>
    <w:semiHidden/>
    <w:unhideWhenUsed/>
    <w:rsid w:val="009C4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2DC6-4DAC-4A4F-AF15-C53A6B2B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KD-HANH</dc:creator>
  <cp:keywords/>
  <dc:description/>
  <cp:lastModifiedBy>Jaden Bui</cp:lastModifiedBy>
  <cp:revision>17</cp:revision>
  <dcterms:created xsi:type="dcterms:W3CDTF">2025-12-02T08:43:00Z</dcterms:created>
  <dcterms:modified xsi:type="dcterms:W3CDTF">2025-12-15T02:33:00Z</dcterms:modified>
</cp:coreProperties>
</file>