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5FF" w:rsidRPr="00FD3946" w:rsidRDefault="006445FF" w:rsidP="006445FF">
      <w:pPr>
        <w:widowControl w:val="0"/>
        <w:jc w:val="center"/>
        <w:outlineLvl w:val="1"/>
        <w:rPr>
          <w:sz w:val="28"/>
          <w:szCs w:val="28"/>
          <w:lang w:val="nl-NL"/>
        </w:rPr>
      </w:pPr>
      <w:r w:rsidRPr="00FD3946">
        <w:rPr>
          <w:b/>
          <w:sz w:val="28"/>
          <w:szCs w:val="28"/>
          <w:lang w:val="nl-NL"/>
        </w:rPr>
        <w:t>Chương V. YÊU CẦU VỀ KỸ THUẬT</w:t>
      </w:r>
    </w:p>
    <w:p w:rsidR="006445FF" w:rsidRPr="00FD3946" w:rsidRDefault="006445FF" w:rsidP="006445FF">
      <w:pPr>
        <w:pStyle w:val="Subtitle"/>
        <w:rPr>
          <w:sz w:val="20"/>
          <w:szCs w:val="32"/>
          <w:lang w:val="nl-NL"/>
        </w:rPr>
      </w:pPr>
    </w:p>
    <w:p w:rsidR="006445FF" w:rsidRPr="00FD3946" w:rsidRDefault="006445FF" w:rsidP="006445FF">
      <w:pPr>
        <w:pStyle w:val="SectionVIHeader"/>
        <w:widowControl w:val="0"/>
        <w:spacing w:before="0" w:after="0"/>
        <w:jc w:val="both"/>
        <w:rPr>
          <w:rFonts w:asciiTheme="majorHAnsi" w:hAnsiTheme="majorHAnsi" w:cstheme="majorHAnsi"/>
          <w:sz w:val="28"/>
          <w:szCs w:val="26"/>
          <w:lang w:val="nl-NL"/>
        </w:rPr>
      </w:pPr>
      <w:r w:rsidRPr="00FD3946">
        <w:rPr>
          <w:rFonts w:asciiTheme="majorHAnsi" w:hAnsiTheme="majorHAnsi" w:cstheme="majorHAnsi"/>
          <w:sz w:val="28"/>
          <w:szCs w:val="26"/>
          <w:lang w:val="nl-NL"/>
        </w:rPr>
        <w:t>Mục 1. Yêu cầu về kỹ thuật</w:t>
      </w:r>
    </w:p>
    <w:p w:rsidR="006445FF" w:rsidRPr="00FD3946" w:rsidRDefault="006445FF" w:rsidP="006445FF">
      <w:pPr>
        <w:widowControl w:val="0"/>
        <w:rPr>
          <w:rFonts w:asciiTheme="majorHAnsi" w:hAnsiTheme="majorHAnsi" w:cstheme="majorHAnsi"/>
          <w:b/>
          <w:sz w:val="26"/>
          <w:szCs w:val="26"/>
          <w:lang w:val="nl-NL"/>
        </w:rPr>
      </w:pPr>
      <w:r w:rsidRPr="00FD3946">
        <w:rPr>
          <w:rFonts w:asciiTheme="majorHAnsi" w:hAnsiTheme="majorHAnsi" w:cstheme="majorHAnsi"/>
          <w:b/>
          <w:sz w:val="26"/>
          <w:szCs w:val="26"/>
          <w:lang w:val="nl-NL"/>
        </w:rPr>
        <w:tab/>
        <w:t>1. Giới thiệu chung về dự án/</w:t>
      </w:r>
      <w:r w:rsidRPr="00FD3946">
        <w:rPr>
          <w:rFonts w:asciiTheme="majorHAnsi" w:hAnsiTheme="majorHAnsi" w:cstheme="majorHAnsi"/>
          <w:b/>
          <w:sz w:val="26"/>
          <w:szCs w:val="26"/>
        </w:rPr>
        <w:t>dự toán mua sắm</w:t>
      </w:r>
      <w:r w:rsidRPr="00FD3946">
        <w:rPr>
          <w:rFonts w:asciiTheme="majorHAnsi" w:hAnsiTheme="majorHAnsi" w:cstheme="majorHAnsi"/>
          <w:b/>
          <w:sz w:val="26"/>
          <w:szCs w:val="26"/>
          <w:lang w:val="nl-NL"/>
        </w:rPr>
        <w:t>, gói thầu</w:t>
      </w:r>
    </w:p>
    <w:p w:rsidR="006445FF" w:rsidRPr="00FD3946" w:rsidRDefault="006445FF" w:rsidP="006445FF">
      <w:pPr>
        <w:rPr>
          <w:spacing w:val="-4"/>
          <w:sz w:val="26"/>
          <w:szCs w:val="28"/>
          <w:lang w:val="nl-NL"/>
        </w:rPr>
      </w:pPr>
      <w:r w:rsidRPr="00FD3946">
        <w:rPr>
          <w:spacing w:val="-4"/>
          <w:sz w:val="26"/>
          <w:szCs w:val="28"/>
          <w:lang w:val="nl-NL"/>
        </w:rPr>
        <w:tab/>
        <w:t>- Chủ đầu tư/ Bên mời thầu: Phòng Kinh tế xã Phú Thiện.</w:t>
      </w:r>
    </w:p>
    <w:p w:rsidR="006445FF" w:rsidRPr="00FD3946" w:rsidRDefault="006445FF" w:rsidP="006445FF">
      <w:pPr>
        <w:rPr>
          <w:spacing w:val="-4"/>
          <w:sz w:val="26"/>
          <w:szCs w:val="28"/>
          <w:lang w:val="nl-NL"/>
        </w:rPr>
      </w:pPr>
      <w:r w:rsidRPr="00FD3946">
        <w:rPr>
          <w:spacing w:val="-4"/>
          <w:sz w:val="26"/>
          <w:szCs w:val="28"/>
          <w:lang w:val="nl-NL"/>
        </w:rPr>
        <w:tab/>
        <w:t>- Tên gói thầu: Mua sắm con giống chồn vòi mốc.</w:t>
      </w:r>
    </w:p>
    <w:p w:rsidR="006445FF" w:rsidRPr="00FD3946" w:rsidRDefault="006445FF" w:rsidP="006445FF">
      <w:pPr>
        <w:rPr>
          <w:spacing w:val="-4"/>
          <w:sz w:val="26"/>
          <w:szCs w:val="28"/>
          <w:lang w:val="nl-NL"/>
        </w:rPr>
      </w:pPr>
      <w:r w:rsidRPr="00FD3946">
        <w:rPr>
          <w:spacing w:val="-4"/>
          <w:sz w:val="26"/>
          <w:szCs w:val="28"/>
          <w:lang w:val="nl-NL"/>
        </w:rPr>
        <w:tab/>
        <w:t xml:space="preserve">- Tên dự án: </w:t>
      </w:r>
      <w:r>
        <w:rPr>
          <w:spacing w:val="-4"/>
          <w:sz w:val="26"/>
          <w:szCs w:val="28"/>
          <w:lang w:val="nl-NL"/>
        </w:rPr>
        <w:t>Dự án nuôi chồn vòi mốc thương phẩm ứng dụng công nghệ cao trên địa bàn xã Phú Thiện</w:t>
      </w:r>
      <w:r w:rsidRPr="00FD3946">
        <w:rPr>
          <w:spacing w:val="-4"/>
          <w:sz w:val="26"/>
          <w:szCs w:val="28"/>
          <w:lang w:val="nl-NL"/>
        </w:rPr>
        <w:t>.</w:t>
      </w:r>
    </w:p>
    <w:p w:rsidR="006445FF" w:rsidRPr="00FD3946" w:rsidRDefault="006445FF" w:rsidP="006445FF">
      <w:pPr>
        <w:rPr>
          <w:spacing w:val="-4"/>
          <w:sz w:val="26"/>
          <w:szCs w:val="28"/>
          <w:lang w:val="nl-NL"/>
        </w:rPr>
      </w:pPr>
      <w:r w:rsidRPr="00FD3946">
        <w:rPr>
          <w:spacing w:val="-4"/>
          <w:sz w:val="26"/>
          <w:szCs w:val="28"/>
          <w:lang w:val="nl-NL"/>
        </w:rPr>
        <w:tab/>
        <w:t xml:space="preserve">- Địa điểm thực hiện: </w:t>
      </w:r>
      <w:r w:rsidRPr="00FD3946">
        <w:rPr>
          <w:sz w:val="26"/>
          <w:szCs w:val="24"/>
        </w:rPr>
        <w:t>Xã Phú Thiện, tỉnh Gia Lai.</w:t>
      </w:r>
    </w:p>
    <w:p w:rsidR="006445FF" w:rsidRPr="00FD3946" w:rsidRDefault="006445FF" w:rsidP="006445FF">
      <w:pPr>
        <w:rPr>
          <w:spacing w:val="-4"/>
          <w:sz w:val="26"/>
          <w:szCs w:val="28"/>
          <w:lang w:val="nl-NL"/>
        </w:rPr>
      </w:pPr>
      <w:r w:rsidRPr="00FD3946">
        <w:rPr>
          <w:spacing w:val="-4"/>
          <w:sz w:val="26"/>
          <w:szCs w:val="28"/>
          <w:lang w:val="nl-NL"/>
        </w:rPr>
        <w:tab/>
        <w:t>- Phương thức lựa chọn nhà thầu: Một giai đoạn 1 túi hồ sơ.</w:t>
      </w:r>
    </w:p>
    <w:p w:rsidR="006445FF" w:rsidRPr="00FD3946" w:rsidRDefault="006445FF" w:rsidP="006445FF">
      <w:pPr>
        <w:rPr>
          <w:spacing w:val="-4"/>
          <w:sz w:val="26"/>
          <w:szCs w:val="28"/>
          <w:lang w:val="nl-NL"/>
        </w:rPr>
      </w:pPr>
      <w:r w:rsidRPr="00FD3946">
        <w:rPr>
          <w:spacing w:val="-4"/>
          <w:sz w:val="26"/>
          <w:szCs w:val="28"/>
          <w:lang w:val="nl-NL"/>
        </w:rPr>
        <w:tab/>
        <w:t xml:space="preserve">- Hình thức lựa chọn nhà thầu: </w:t>
      </w:r>
      <w:r>
        <w:rPr>
          <w:spacing w:val="-4"/>
          <w:sz w:val="26"/>
          <w:szCs w:val="28"/>
          <w:lang w:val="nl-NL"/>
        </w:rPr>
        <w:t>Đấu thầu rộng rãi</w:t>
      </w:r>
      <w:r w:rsidRPr="00FD3946">
        <w:rPr>
          <w:spacing w:val="-4"/>
          <w:sz w:val="26"/>
          <w:szCs w:val="28"/>
          <w:lang w:val="nl-NL"/>
        </w:rPr>
        <w:t>, qua mạng.</w:t>
      </w:r>
    </w:p>
    <w:p w:rsidR="006445FF" w:rsidRPr="00FD3946" w:rsidRDefault="006445FF" w:rsidP="006445FF">
      <w:pPr>
        <w:rPr>
          <w:spacing w:val="-4"/>
          <w:sz w:val="26"/>
          <w:szCs w:val="28"/>
          <w:lang w:val="nl-NL"/>
        </w:rPr>
      </w:pPr>
      <w:r w:rsidRPr="00FD3946">
        <w:rPr>
          <w:spacing w:val="-4"/>
          <w:sz w:val="26"/>
          <w:szCs w:val="28"/>
          <w:lang w:val="nl-NL"/>
        </w:rPr>
        <w:tab/>
        <w:t>- Thời gian thực hiện hợp đồng: 10 ngày;</w:t>
      </w:r>
    </w:p>
    <w:p w:rsidR="006445FF" w:rsidRPr="00FD3946" w:rsidRDefault="006445FF" w:rsidP="006445FF">
      <w:pPr>
        <w:rPr>
          <w:spacing w:val="-4"/>
          <w:sz w:val="26"/>
          <w:szCs w:val="28"/>
          <w:lang w:val="nl-NL"/>
        </w:rPr>
      </w:pPr>
      <w:r w:rsidRPr="00FD3946">
        <w:rPr>
          <w:spacing w:val="-4"/>
          <w:sz w:val="26"/>
          <w:szCs w:val="28"/>
          <w:lang w:val="nl-NL"/>
        </w:rPr>
        <w:tab/>
        <w:t>- Nguồn vốn: Nguồn vốn sự nghiệp Chương trình MTQG xây dựng nông thôn mới năm 2025 (tại Quyết định số 64/QĐ-UBND ngày 06/8/2025 của UBND xã Phú Thiện).</w:t>
      </w:r>
    </w:p>
    <w:p w:rsidR="006445FF" w:rsidRPr="00FD3946" w:rsidRDefault="006445FF" w:rsidP="006445FF">
      <w:pPr>
        <w:rPr>
          <w:spacing w:val="-4"/>
          <w:sz w:val="26"/>
          <w:szCs w:val="28"/>
          <w:lang w:val="nl-NL"/>
        </w:rPr>
      </w:pPr>
      <w:r w:rsidRPr="00FD3946">
        <w:rPr>
          <w:spacing w:val="-4"/>
          <w:sz w:val="26"/>
          <w:szCs w:val="28"/>
          <w:lang w:val="nl-NL"/>
        </w:rPr>
        <w:tab/>
        <w:t>- Loại hợp đồng: Trọn gói.</w:t>
      </w:r>
    </w:p>
    <w:p w:rsidR="006445FF" w:rsidRPr="00FD3946" w:rsidRDefault="006445FF" w:rsidP="006445FF">
      <w:pPr>
        <w:widowControl w:val="0"/>
        <w:rPr>
          <w:rFonts w:asciiTheme="majorHAnsi" w:hAnsiTheme="majorHAnsi" w:cstheme="majorHAnsi"/>
          <w:b/>
          <w:sz w:val="26"/>
          <w:szCs w:val="26"/>
          <w:lang w:val="nl-NL"/>
        </w:rPr>
      </w:pPr>
      <w:r w:rsidRPr="00FD3946">
        <w:rPr>
          <w:rFonts w:asciiTheme="majorHAnsi" w:hAnsiTheme="majorHAnsi" w:cstheme="majorHAnsi"/>
          <w:b/>
          <w:sz w:val="26"/>
          <w:szCs w:val="26"/>
          <w:lang w:val="nl-NL"/>
        </w:rPr>
        <w:t>2. Yêu cầu về kỹ thuật</w:t>
      </w:r>
    </w:p>
    <w:p w:rsidR="006445FF" w:rsidRPr="00FD3946" w:rsidRDefault="006445FF" w:rsidP="006445FF">
      <w:pPr>
        <w:rPr>
          <w:rFonts w:asciiTheme="majorHAnsi" w:hAnsiTheme="majorHAnsi" w:cstheme="majorHAnsi"/>
          <w:spacing w:val="-2"/>
          <w:sz w:val="26"/>
          <w:szCs w:val="26"/>
          <w:lang w:val="nl-NL"/>
        </w:rPr>
      </w:pPr>
      <w:r w:rsidRPr="00FD3946">
        <w:rPr>
          <w:rFonts w:asciiTheme="majorHAnsi" w:hAnsiTheme="majorHAnsi" w:cstheme="majorHAnsi"/>
          <w:spacing w:val="-2"/>
          <w:sz w:val="26"/>
          <w:szCs w:val="26"/>
          <w:lang w:val="nl-NL"/>
        </w:rPr>
        <w:tab/>
        <w:t>Yêu cầu về kỹ thuật bao gồm yêu cầu về kỹ thuật chung và yêu cầu về kỹ thuật chi tiết đối với hàng hóa thuộc phạm vi cung cấp của gói thầu, cụ thể:</w:t>
      </w:r>
    </w:p>
    <w:p w:rsidR="006445FF" w:rsidRPr="00FD3946" w:rsidRDefault="006445FF" w:rsidP="006445FF">
      <w:pPr>
        <w:rPr>
          <w:rFonts w:asciiTheme="majorHAnsi" w:hAnsiTheme="majorHAnsi" w:cstheme="majorHAnsi"/>
          <w:b/>
          <w:spacing w:val="-2"/>
          <w:sz w:val="26"/>
          <w:szCs w:val="26"/>
          <w:lang w:val="nl-NL"/>
        </w:rPr>
      </w:pPr>
      <w:r w:rsidRPr="00FD3946">
        <w:rPr>
          <w:rFonts w:asciiTheme="majorHAnsi" w:hAnsiTheme="majorHAnsi" w:cstheme="majorHAnsi"/>
          <w:b/>
          <w:spacing w:val="-2"/>
          <w:sz w:val="26"/>
          <w:szCs w:val="26"/>
          <w:lang w:val="nl-NL"/>
        </w:rPr>
        <w:t>2.1. Yêu cầu về kỹ thuật chung</w:t>
      </w:r>
    </w:p>
    <w:p w:rsidR="006445FF" w:rsidRPr="00FD3946" w:rsidRDefault="006445FF" w:rsidP="006445FF">
      <w:pPr>
        <w:rPr>
          <w:rFonts w:asciiTheme="majorHAnsi" w:hAnsiTheme="majorHAnsi" w:cstheme="majorHAnsi"/>
          <w:spacing w:val="-2"/>
          <w:sz w:val="26"/>
          <w:szCs w:val="26"/>
          <w:lang w:val="nl-NL"/>
        </w:rPr>
      </w:pPr>
      <w:r w:rsidRPr="00FD3946">
        <w:rPr>
          <w:rFonts w:asciiTheme="majorHAnsi" w:hAnsiTheme="majorHAnsi" w:cstheme="majorHAnsi"/>
          <w:spacing w:val="-2"/>
          <w:sz w:val="26"/>
          <w:szCs w:val="26"/>
          <w:lang w:val="nl-NL"/>
        </w:rPr>
        <w:tab/>
        <w:t>- Hàng hoá (con giống) cung cấp phải đảm bảo đồng bộ về chủng loại, số lượng; Hàng hoá (con giống) lưu thông trên thị trường.</w:t>
      </w:r>
    </w:p>
    <w:p w:rsidR="006445FF" w:rsidRPr="00FD3946" w:rsidRDefault="006445FF" w:rsidP="006445FF">
      <w:pPr>
        <w:rPr>
          <w:rFonts w:asciiTheme="majorHAnsi" w:hAnsiTheme="majorHAnsi" w:cstheme="majorHAnsi"/>
          <w:spacing w:val="-2"/>
          <w:sz w:val="26"/>
          <w:szCs w:val="26"/>
          <w:lang w:val="nl-NL"/>
        </w:rPr>
      </w:pPr>
      <w:r w:rsidRPr="00FD3946">
        <w:rPr>
          <w:rFonts w:asciiTheme="majorHAnsi" w:hAnsiTheme="majorHAnsi" w:cstheme="majorHAnsi"/>
          <w:spacing w:val="-2"/>
          <w:sz w:val="26"/>
          <w:szCs w:val="26"/>
          <w:lang w:val="nl-NL"/>
        </w:rPr>
        <w:tab/>
        <w:t>- Tài liệu kỹ thuật phù hợp về đặc tính, thông số kỹ thuật, tiêu chuẩn chất lượng... thể hiện các thông số của hàng hoá (con giống).</w:t>
      </w:r>
    </w:p>
    <w:p w:rsidR="006445FF" w:rsidRPr="00FD3946" w:rsidRDefault="006445FF" w:rsidP="006445FF">
      <w:pPr>
        <w:rPr>
          <w:rFonts w:asciiTheme="majorHAnsi" w:hAnsiTheme="majorHAnsi" w:cstheme="majorHAnsi"/>
          <w:spacing w:val="-2"/>
          <w:sz w:val="26"/>
          <w:szCs w:val="26"/>
          <w:lang w:val="nl-NL"/>
        </w:rPr>
      </w:pPr>
      <w:r w:rsidRPr="00FD3946">
        <w:rPr>
          <w:rFonts w:asciiTheme="majorHAnsi" w:hAnsiTheme="majorHAnsi" w:cstheme="majorHAnsi"/>
          <w:spacing w:val="-2"/>
          <w:sz w:val="26"/>
          <w:szCs w:val="26"/>
          <w:lang w:val="nl-NL"/>
        </w:rPr>
        <w:tab/>
        <w:t>- Hàng hoá (con giống) đảm bảo an toàn về dịch bệnh.</w:t>
      </w:r>
    </w:p>
    <w:p w:rsidR="006445FF" w:rsidRPr="00FD3946" w:rsidRDefault="006445FF" w:rsidP="006445FF">
      <w:pPr>
        <w:rPr>
          <w:rFonts w:asciiTheme="majorHAnsi" w:hAnsiTheme="majorHAnsi" w:cstheme="majorHAnsi"/>
          <w:spacing w:val="-2"/>
          <w:sz w:val="26"/>
          <w:szCs w:val="26"/>
          <w:lang w:val="nl-NL"/>
        </w:rPr>
      </w:pPr>
      <w:r w:rsidRPr="00FD3946">
        <w:rPr>
          <w:rFonts w:asciiTheme="majorHAnsi" w:hAnsiTheme="majorHAnsi" w:cstheme="majorHAnsi"/>
          <w:spacing w:val="-2"/>
          <w:sz w:val="26"/>
          <w:szCs w:val="26"/>
          <w:lang w:val="nl-NL"/>
        </w:rPr>
        <w:tab/>
        <w:t>- Nhà thầu đủ điều kiện sản xuất, mua bán con giống vật nuôi theo quy định. Giấy chứng nhận đăng ký kinh doanh có mã ngành kinh doanh phù hợp với gói thầu đang xét.</w:t>
      </w:r>
    </w:p>
    <w:p w:rsidR="006445FF" w:rsidRPr="00FD3946" w:rsidRDefault="006445FF" w:rsidP="006445FF">
      <w:pPr>
        <w:rPr>
          <w:rFonts w:asciiTheme="majorHAnsi" w:hAnsiTheme="majorHAnsi" w:cstheme="majorHAnsi"/>
          <w:b/>
          <w:spacing w:val="-2"/>
          <w:sz w:val="26"/>
          <w:szCs w:val="26"/>
          <w:lang w:val="nl-NL"/>
        </w:rPr>
      </w:pPr>
      <w:r w:rsidRPr="00FD3946">
        <w:rPr>
          <w:rFonts w:asciiTheme="majorHAnsi" w:hAnsiTheme="majorHAnsi" w:cstheme="majorHAnsi"/>
          <w:b/>
          <w:spacing w:val="-2"/>
          <w:sz w:val="26"/>
          <w:szCs w:val="26"/>
          <w:lang w:val="nl-NL"/>
        </w:rPr>
        <w:t>2.2. Yêu cầu về kỹ thuật chi tiết</w:t>
      </w:r>
    </w:p>
    <w:p w:rsidR="006445FF" w:rsidRPr="00FD3946" w:rsidRDefault="006445FF" w:rsidP="006445FF">
      <w:pPr>
        <w:rPr>
          <w:rFonts w:asciiTheme="majorHAnsi" w:hAnsiTheme="majorHAnsi" w:cstheme="majorHAnsi"/>
          <w:spacing w:val="-2"/>
          <w:sz w:val="26"/>
          <w:szCs w:val="26"/>
          <w:lang w:val="nl-NL"/>
        </w:rPr>
      </w:pPr>
      <w:r w:rsidRPr="00FD3946">
        <w:rPr>
          <w:rFonts w:asciiTheme="majorHAnsi" w:hAnsiTheme="majorHAnsi" w:cstheme="majorHAnsi"/>
          <w:spacing w:val="-2"/>
          <w:sz w:val="26"/>
          <w:szCs w:val="26"/>
          <w:lang w:val="nl-NL"/>
        </w:rPr>
        <w:tab/>
        <w:t>- Nhà thầu cung cấp đầy đủ tài liệu về hàng hoá (con giống) phù hợp với yêu cầu kỹ thuật. Đặc tính kỹ thuật của hàng hoá phải “tương đương” hoặc “ưu việt hơn” so với yêu cầu tối thiểu về thông số kỹ thuật và các tiêu chuẩn được quy định.</w:t>
      </w:r>
    </w:p>
    <w:p w:rsidR="006445FF" w:rsidRPr="00FD3946" w:rsidRDefault="006445FF" w:rsidP="006445FF">
      <w:pPr>
        <w:rPr>
          <w:rFonts w:asciiTheme="majorHAnsi" w:hAnsiTheme="majorHAnsi" w:cstheme="majorHAnsi"/>
          <w:spacing w:val="-2"/>
          <w:sz w:val="26"/>
          <w:szCs w:val="26"/>
          <w:lang w:val="nl-NL"/>
        </w:rPr>
      </w:pPr>
      <w:r w:rsidRPr="00FD3946">
        <w:rPr>
          <w:rFonts w:asciiTheme="majorHAnsi" w:hAnsiTheme="majorHAnsi" w:cstheme="majorHAnsi"/>
          <w:spacing w:val="-2"/>
          <w:sz w:val="26"/>
          <w:szCs w:val="26"/>
          <w:lang w:val="nl-NL"/>
        </w:rPr>
        <w:tab/>
        <w:t>- Đề xuất kỹ thuật được đánh giá đạt khi đáp ứng tất cả các yêu cầu về kỹ thuật. Đề xuất kỹ thuật được đánh giá không đạt khi có đề xuất không đáp ứng yêu cầu kỹ thuật.</w:t>
      </w:r>
    </w:p>
    <w:p w:rsidR="006445FF" w:rsidRPr="00FD3946" w:rsidRDefault="006445FF" w:rsidP="006445FF">
      <w:pPr>
        <w:rPr>
          <w:rFonts w:asciiTheme="majorHAnsi" w:hAnsiTheme="majorHAnsi" w:cstheme="majorHAnsi"/>
          <w:spacing w:val="-2"/>
          <w:sz w:val="26"/>
          <w:szCs w:val="26"/>
          <w:lang w:val="nl-NL"/>
        </w:rPr>
      </w:pPr>
      <w:r w:rsidRPr="00FD3946">
        <w:rPr>
          <w:rFonts w:asciiTheme="majorHAnsi" w:hAnsiTheme="majorHAnsi" w:cstheme="majorHAnsi"/>
          <w:spacing w:val="-2"/>
          <w:sz w:val="26"/>
          <w:szCs w:val="26"/>
          <w:lang w:val="nl-NL"/>
        </w:rPr>
        <w:tab/>
        <w:t>Tóm tắt thông số kỹ thuật của hàng hoá (con giống), dịch vụ liênn quan. Hàng hoá (con giống), dịch vụ liên quan phải tuân thủ các thông số kỹ thuật và tiêu chuẩn sau đây:</w:t>
      </w:r>
    </w:p>
    <w:tbl>
      <w:tblPr>
        <w:tblStyle w:val="TableGrid"/>
        <w:tblW w:w="0" w:type="auto"/>
        <w:tblLook w:val="04A0" w:firstRow="1" w:lastRow="0" w:firstColumn="1" w:lastColumn="0" w:noHBand="0" w:noVBand="1"/>
      </w:tblPr>
      <w:tblGrid>
        <w:gridCol w:w="702"/>
        <w:gridCol w:w="2383"/>
        <w:gridCol w:w="6946"/>
      </w:tblGrid>
      <w:tr w:rsidR="006445FF" w:rsidRPr="00FD3946" w:rsidTr="00297416">
        <w:tc>
          <w:tcPr>
            <w:tcW w:w="702" w:type="dxa"/>
          </w:tcPr>
          <w:p w:rsidR="006445FF" w:rsidRPr="00FD3946" w:rsidRDefault="006445FF" w:rsidP="00297416">
            <w:pPr>
              <w:jc w:val="center"/>
              <w:rPr>
                <w:rFonts w:asciiTheme="majorHAnsi" w:hAnsiTheme="majorHAnsi" w:cstheme="majorHAnsi"/>
                <w:b/>
                <w:spacing w:val="-2"/>
                <w:sz w:val="26"/>
                <w:szCs w:val="26"/>
                <w:lang w:val="nl-NL"/>
              </w:rPr>
            </w:pPr>
            <w:r w:rsidRPr="00FD3946">
              <w:rPr>
                <w:rFonts w:asciiTheme="majorHAnsi" w:hAnsiTheme="majorHAnsi" w:cstheme="majorHAnsi"/>
                <w:b/>
                <w:spacing w:val="-2"/>
                <w:sz w:val="26"/>
                <w:szCs w:val="26"/>
                <w:lang w:val="nl-NL"/>
              </w:rPr>
              <w:t>STT</w:t>
            </w:r>
          </w:p>
        </w:tc>
        <w:tc>
          <w:tcPr>
            <w:tcW w:w="2383" w:type="dxa"/>
          </w:tcPr>
          <w:p w:rsidR="006445FF" w:rsidRPr="00FD3946" w:rsidRDefault="006445FF" w:rsidP="00297416">
            <w:pPr>
              <w:jc w:val="center"/>
              <w:rPr>
                <w:rFonts w:asciiTheme="majorHAnsi" w:hAnsiTheme="majorHAnsi" w:cstheme="majorHAnsi"/>
                <w:b/>
                <w:spacing w:val="-2"/>
                <w:sz w:val="26"/>
                <w:szCs w:val="26"/>
                <w:lang w:val="nl-NL"/>
              </w:rPr>
            </w:pPr>
            <w:r w:rsidRPr="00FD3946">
              <w:rPr>
                <w:rFonts w:asciiTheme="majorHAnsi" w:hAnsiTheme="majorHAnsi" w:cstheme="majorHAnsi"/>
                <w:b/>
                <w:spacing w:val="-2"/>
                <w:sz w:val="26"/>
                <w:szCs w:val="26"/>
                <w:lang w:val="nl-NL"/>
              </w:rPr>
              <w:t>Tên hàng hoá</w:t>
            </w:r>
          </w:p>
        </w:tc>
        <w:tc>
          <w:tcPr>
            <w:tcW w:w="6946" w:type="dxa"/>
          </w:tcPr>
          <w:p w:rsidR="006445FF" w:rsidRPr="00FD3946" w:rsidRDefault="006445FF" w:rsidP="00297416">
            <w:pPr>
              <w:jc w:val="center"/>
              <w:rPr>
                <w:rFonts w:asciiTheme="majorHAnsi" w:hAnsiTheme="majorHAnsi" w:cstheme="majorHAnsi"/>
                <w:b/>
                <w:spacing w:val="-2"/>
                <w:sz w:val="26"/>
                <w:szCs w:val="26"/>
                <w:lang w:val="nl-NL"/>
              </w:rPr>
            </w:pPr>
            <w:r w:rsidRPr="00FD3946">
              <w:rPr>
                <w:rFonts w:asciiTheme="majorHAnsi" w:hAnsiTheme="majorHAnsi" w:cstheme="majorHAnsi"/>
                <w:b/>
                <w:spacing w:val="-2"/>
                <w:sz w:val="26"/>
                <w:szCs w:val="26"/>
                <w:lang w:val="nl-NL"/>
              </w:rPr>
              <w:t>Thông số kỹ thuật</w:t>
            </w:r>
          </w:p>
        </w:tc>
      </w:tr>
      <w:tr w:rsidR="006445FF" w:rsidRPr="00FD3946" w:rsidTr="00297416">
        <w:tc>
          <w:tcPr>
            <w:tcW w:w="702" w:type="dxa"/>
          </w:tcPr>
          <w:p w:rsidR="006445FF" w:rsidRPr="00FD3946" w:rsidRDefault="006445FF" w:rsidP="00297416">
            <w:pPr>
              <w:jc w:val="center"/>
              <w:rPr>
                <w:rFonts w:asciiTheme="majorHAnsi" w:hAnsiTheme="majorHAnsi" w:cstheme="majorHAnsi"/>
                <w:spacing w:val="-2"/>
                <w:sz w:val="26"/>
                <w:szCs w:val="26"/>
                <w:lang w:val="nl-NL"/>
              </w:rPr>
            </w:pPr>
            <w:r w:rsidRPr="00FD3946">
              <w:rPr>
                <w:rFonts w:asciiTheme="majorHAnsi" w:hAnsiTheme="majorHAnsi" w:cstheme="majorHAnsi"/>
                <w:spacing w:val="-2"/>
                <w:sz w:val="26"/>
                <w:szCs w:val="26"/>
                <w:lang w:val="nl-NL"/>
              </w:rPr>
              <w:t>1</w:t>
            </w:r>
          </w:p>
        </w:tc>
        <w:tc>
          <w:tcPr>
            <w:tcW w:w="2383" w:type="dxa"/>
          </w:tcPr>
          <w:p w:rsidR="006445FF" w:rsidRPr="00FD3946" w:rsidRDefault="006445FF" w:rsidP="00297416">
            <w:pPr>
              <w:rPr>
                <w:rFonts w:asciiTheme="majorHAnsi" w:hAnsiTheme="majorHAnsi" w:cstheme="majorHAnsi"/>
                <w:spacing w:val="-2"/>
                <w:sz w:val="26"/>
                <w:szCs w:val="26"/>
                <w:lang w:val="nl-NL"/>
              </w:rPr>
            </w:pPr>
            <w:r w:rsidRPr="00FD3946">
              <w:rPr>
                <w:rFonts w:asciiTheme="majorHAnsi" w:hAnsiTheme="majorHAnsi" w:cstheme="majorHAnsi"/>
                <w:spacing w:val="-2"/>
                <w:sz w:val="26"/>
                <w:szCs w:val="26"/>
                <w:lang w:val="nl-NL"/>
              </w:rPr>
              <w:t>Chồn cái</w:t>
            </w:r>
          </w:p>
        </w:tc>
        <w:tc>
          <w:tcPr>
            <w:tcW w:w="6946" w:type="dxa"/>
          </w:tcPr>
          <w:p w:rsidR="006445FF" w:rsidRPr="00FD3946" w:rsidRDefault="006445FF" w:rsidP="00297416">
            <w:pPr>
              <w:rPr>
                <w:rFonts w:asciiTheme="majorHAnsi" w:hAnsiTheme="majorHAnsi" w:cstheme="majorHAnsi"/>
                <w:spacing w:val="-2"/>
                <w:sz w:val="26"/>
                <w:szCs w:val="26"/>
                <w:lang w:val="nl-NL"/>
              </w:rPr>
            </w:pPr>
            <w:r w:rsidRPr="00FD3946">
              <w:rPr>
                <w:rFonts w:asciiTheme="majorHAnsi" w:hAnsiTheme="majorHAnsi" w:cstheme="majorHAnsi"/>
                <w:spacing w:val="-2"/>
                <w:sz w:val="26"/>
                <w:szCs w:val="26"/>
                <w:lang w:val="nl-NL"/>
              </w:rPr>
              <w:t>- 12 tháng tuổi</w:t>
            </w:r>
          </w:p>
          <w:p w:rsidR="006445FF" w:rsidRPr="00FD3946" w:rsidRDefault="006445FF" w:rsidP="00297416">
            <w:pPr>
              <w:rPr>
                <w:rFonts w:asciiTheme="majorHAnsi" w:hAnsiTheme="majorHAnsi" w:cstheme="majorHAnsi"/>
                <w:spacing w:val="-2"/>
                <w:sz w:val="26"/>
                <w:szCs w:val="26"/>
                <w:lang w:val="nl-NL"/>
              </w:rPr>
            </w:pPr>
            <w:r w:rsidRPr="00FD3946">
              <w:rPr>
                <w:rFonts w:asciiTheme="majorHAnsi" w:hAnsiTheme="majorHAnsi" w:cstheme="majorHAnsi"/>
                <w:spacing w:val="-2"/>
                <w:sz w:val="26"/>
                <w:szCs w:val="26"/>
                <w:lang w:val="nl-NL"/>
              </w:rPr>
              <w:t>- Trọng lượng 3-6 kg</w:t>
            </w:r>
          </w:p>
          <w:p w:rsidR="006445FF" w:rsidRPr="00FD3946" w:rsidRDefault="006445FF" w:rsidP="00297416">
            <w:pPr>
              <w:rPr>
                <w:rFonts w:asciiTheme="majorHAnsi" w:hAnsiTheme="majorHAnsi" w:cstheme="majorHAnsi"/>
                <w:spacing w:val="-2"/>
                <w:sz w:val="26"/>
                <w:szCs w:val="26"/>
                <w:lang w:val="nl-NL"/>
              </w:rPr>
            </w:pPr>
            <w:r w:rsidRPr="00FD3946">
              <w:rPr>
                <w:rFonts w:asciiTheme="majorHAnsi" w:hAnsiTheme="majorHAnsi" w:cstheme="majorHAnsi"/>
                <w:spacing w:val="-2"/>
                <w:sz w:val="26"/>
                <w:szCs w:val="26"/>
                <w:lang w:val="nl-NL"/>
              </w:rPr>
              <w:t>- Chồn trưởng thành, đạt độ tuổi sinh sản</w:t>
            </w:r>
          </w:p>
          <w:p w:rsidR="006445FF" w:rsidRPr="00FD3946" w:rsidRDefault="006445FF" w:rsidP="00297416">
            <w:pPr>
              <w:rPr>
                <w:rFonts w:asciiTheme="majorHAnsi" w:hAnsiTheme="majorHAnsi" w:cstheme="majorHAnsi"/>
                <w:spacing w:val="-2"/>
                <w:sz w:val="26"/>
                <w:szCs w:val="26"/>
                <w:lang w:val="nl-NL"/>
              </w:rPr>
            </w:pPr>
            <w:r w:rsidRPr="00FD3946">
              <w:rPr>
                <w:rFonts w:asciiTheme="majorHAnsi" w:hAnsiTheme="majorHAnsi" w:cstheme="majorHAnsi"/>
                <w:spacing w:val="-2"/>
                <w:sz w:val="26"/>
                <w:szCs w:val="26"/>
                <w:lang w:val="nl-NL"/>
              </w:rPr>
              <w:t>- Con giống được tiêm phòng, kiểm dịch đầy đủ, bảo hành sinh sản.</w:t>
            </w:r>
          </w:p>
          <w:p w:rsidR="006445FF" w:rsidRPr="00FD3946" w:rsidRDefault="006445FF" w:rsidP="00297416">
            <w:pPr>
              <w:rPr>
                <w:rFonts w:asciiTheme="majorHAnsi" w:hAnsiTheme="majorHAnsi" w:cstheme="majorHAnsi"/>
                <w:spacing w:val="-2"/>
                <w:sz w:val="26"/>
                <w:szCs w:val="26"/>
                <w:lang w:val="nl-NL"/>
              </w:rPr>
            </w:pPr>
            <w:r w:rsidRPr="00FD3946">
              <w:rPr>
                <w:rFonts w:asciiTheme="majorHAnsi" w:hAnsiTheme="majorHAnsi" w:cstheme="majorHAnsi"/>
                <w:spacing w:val="-2"/>
                <w:sz w:val="26"/>
                <w:szCs w:val="26"/>
                <w:lang w:val="nl-NL"/>
              </w:rPr>
              <w:t>- Con giống khoẻ mạnh, không bị dị tật</w:t>
            </w:r>
          </w:p>
        </w:tc>
      </w:tr>
      <w:tr w:rsidR="006445FF" w:rsidRPr="00FD3946" w:rsidTr="00297416">
        <w:tc>
          <w:tcPr>
            <w:tcW w:w="702" w:type="dxa"/>
          </w:tcPr>
          <w:p w:rsidR="006445FF" w:rsidRPr="00FD3946" w:rsidRDefault="006445FF" w:rsidP="00297416">
            <w:pPr>
              <w:jc w:val="center"/>
              <w:rPr>
                <w:rFonts w:asciiTheme="majorHAnsi" w:hAnsiTheme="majorHAnsi" w:cstheme="majorHAnsi"/>
                <w:spacing w:val="-2"/>
                <w:sz w:val="26"/>
                <w:szCs w:val="26"/>
                <w:lang w:val="nl-NL"/>
              </w:rPr>
            </w:pPr>
            <w:r w:rsidRPr="00FD3946">
              <w:rPr>
                <w:rFonts w:asciiTheme="majorHAnsi" w:hAnsiTheme="majorHAnsi" w:cstheme="majorHAnsi"/>
                <w:spacing w:val="-2"/>
                <w:sz w:val="26"/>
                <w:szCs w:val="26"/>
                <w:lang w:val="nl-NL"/>
              </w:rPr>
              <w:t>2</w:t>
            </w:r>
          </w:p>
        </w:tc>
        <w:tc>
          <w:tcPr>
            <w:tcW w:w="2383" w:type="dxa"/>
          </w:tcPr>
          <w:p w:rsidR="006445FF" w:rsidRPr="00FD3946" w:rsidRDefault="006445FF" w:rsidP="00297416">
            <w:pPr>
              <w:rPr>
                <w:rFonts w:asciiTheme="majorHAnsi" w:hAnsiTheme="majorHAnsi" w:cstheme="majorHAnsi"/>
                <w:spacing w:val="-2"/>
                <w:sz w:val="26"/>
                <w:szCs w:val="26"/>
                <w:lang w:val="nl-NL"/>
              </w:rPr>
            </w:pPr>
            <w:r w:rsidRPr="00FD3946">
              <w:rPr>
                <w:rFonts w:asciiTheme="majorHAnsi" w:hAnsiTheme="majorHAnsi" w:cstheme="majorHAnsi"/>
                <w:spacing w:val="-2"/>
                <w:sz w:val="26"/>
                <w:szCs w:val="26"/>
                <w:lang w:val="nl-NL"/>
              </w:rPr>
              <w:t>Chồn đực</w:t>
            </w:r>
          </w:p>
        </w:tc>
        <w:tc>
          <w:tcPr>
            <w:tcW w:w="6946" w:type="dxa"/>
          </w:tcPr>
          <w:p w:rsidR="006445FF" w:rsidRPr="00FD3946" w:rsidRDefault="006445FF" w:rsidP="00297416">
            <w:pPr>
              <w:rPr>
                <w:rFonts w:asciiTheme="majorHAnsi" w:hAnsiTheme="majorHAnsi" w:cstheme="majorHAnsi"/>
                <w:spacing w:val="-2"/>
                <w:sz w:val="26"/>
                <w:szCs w:val="26"/>
                <w:lang w:val="nl-NL"/>
              </w:rPr>
            </w:pPr>
            <w:r w:rsidRPr="00FD3946">
              <w:rPr>
                <w:rFonts w:asciiTheme="majorHAnsi" w:hAnsiTheme="majorHAnsi" w:cstheme="majorHAnsi"/>
                <w:spacing w:val="-2"/>
                <w:sz w:val="26"/>
                <w:szCs w:val="26"/>
                <w:lang w:val="nl-NL"/>
              </w:rPr>
              <w:t>- 12 tháng tuổi</w:t>
            </w:r>
          </w:p>
          <w:p w:rsidR="006445FF" w:rsidRPr="00FD3946" w:rsidRDefault="006445FF" w:rsidP="00297416">
            <w:pPr>
              <w:rPr>
                <w:rFonts w:asciiTheme="majorHAnsi" w:hAnsiTheme="majorHAnsi" w:cstheme="majorHAnsi"/>
                <w:spacing w:val="-2"/>
                <w:sz w:val="26"/>
                <w:szCs w:val="26"/>
                <w:lang w:val="nl-NL"/>
              </w:rPr>
            </w:pPr>
            <w:r w:rsidRPr="00FD3946">
              <w:rPr>
                <w:rFonts w:asciiTheme="majorHAnsi" w:hAnsiTheme="majorHAnsi" w:cstheme="majorHAnsi"/>
                <w:spacing w:val="-2"/>
                <w:sz w:val="26"/>
                <w:szCs w:val="26"/>
                <w:lang w:val="nl-NL"/>
              </w:rPr>
              <w:t>- Trọng lượng 3-6 kg</w:t>
            </w:r>
          </w:p>
          <w:p w:rsidR="006445FF" w:rsidRPr="00FD3946" w:rsidRDefault="006445FF" w:rsidP="00297416">
            <w:pPr>
              <w:rPr>
                <w:rFonts w:asciiTheme="majorHAnsi" w:hAnsiTheme="majorHAnsi" w:cstheme="majorHAnsi"/>
                <w:spacing w:val="-2"/>
                <w:sz w:val="26"/>
                <w:szCs w:val="26"/>
                <w:lang w:val="nl-NL"/>
              </w:rPr>
            </w:pPr>
            <w:r w:rsidRPr="00FD3946">
              <w:rPr>
                <w:rFonts w:asciiTheme="majorHAnsi" w:hAnsiTheme="majorHAnsi" w:cstheme="majorHAnsi"/>
                <w:spacing w:val="-2"/>
                <w:sz w:val="26"/>
                <w:szCs w:val="26"/>
                <w:lang w:val="nl-NL"/>
              </w:rPr>
              <w:t>- Chồn trưởng thành, đạt độ tuổi sinh sản</w:t>
            </w:r>
          </w:p>
          <w:p w:rsidR="006445FF" w:rsidRPr="00FD3946" w:rsidRDefault="006445FF" w:rsidP="00297416">
            <w:pPr>
              <w:rPr>
                <w:rFonts w:asciiTheme="majorHAnsi" w:hAnsiTheme="majorHAnsi" w:cstheme="majorHAnsi"/>
                <w:spacing w:val="-2"/>
                <w:sz w:val="26"/>
                <w:szCs w:val="26"/>
                <w:lang w:val="nl-NL"/>
              </w:rPr>
            </w:pPr>
            <w:r w:rsidRPr="00FD3946">
              <w:rPr>
                <w:rFonts w:asciiTheme="majorHAnsi" w:hAnsiTheme="majorHAnsi" w:cstheme="majorHAnsi"/>
                <w:spacing w:val="-2"/>
                <w:sz w:val="26"/>
                <w:szCs w:val="26"/>
                <w:lang w:val="nl-NL"/>
              </w:rPr>
              <w:t>- Con giống được tiêm phòng, kiểm dịch đầy đủ, bảo hành sinh sản.</w:t>
            </w:r>
          </w:p>
          <w:p w:rsidR="006445FF" w:rsidRPr="00FD3946" w:rsidRDefault="006445FF" w:rsidP="00297416">
            <w:pPr>
              <w:rPr>
                <w:rFonts w:asciiTheme="majorHAnsi" w:hAnsiTheme="majorHAnsi" w:cstheme="majorHAnsi"/>
                <w:spacing w:val="-2"/>
                <w:sz w:val="26"/>
                <w:szCs w:val="26"/>
                <w:lang w:val="nl-NL"/>
              </w:rPr>
            </w:pPr>
            <w:r w:rsidRPr="00FD3946">
              <w:rPr>
                <w:rFonts w:asciiTheme="majorHAnsi" w:hAnsiTheme="majorHAnsi" w:cstheme="majorHAnsi"/>
                <w:spacing w:val="-2"/>
                <w:sz w:val="26"/>
                <w:szCs w:val="26"/>
                <w:lang w:val="nl-NL"/>
              </w:rPr>
              <w:t>- Con giống khoẻ mạnh, không bị dị tật</w:t>
            </w:r>
          </w:p>
        </w:tc>
      </w:tr>
    </w:tbl>
    <w:p w:rsidR="006445FF" w:rsidRPr="00FD3946" w:rsidRDefault="006445FF" w:rsidP="006445FF">
      <w:pPr>
        <w:rPr>
          <w:rFonts w:asciiTheme="majorHAnsi" w:hAnsiTheme="majorHAnsi" w:cstheme="majorHAnsi"/>
          <w:spacing w:val="-2"/>
          <w:sz w:val="26"/>
          <w:szCs w:val="26"/>
          <w:lang w:val="nl-NL"/>
        </w:rPr>
      </w:pPr>
      <w:r w:rsidRPr="00FD3946">
        <w:rPr>
          <w:rFonts w:asciiTheme="majorHAnsi" w:hAnsiTheme="majorHAnsi" w:cstheme="majorHAnsi"/>
          <w:spacing w:val="-2"/>
          <w:sz w:val="26"/>
          <w:szCs w:val="26"/>
          <w:lang w:val="nl-NL"/>
        </w:rPr>
        <w:tab/>
        <w:t xml:space="preserve">Bất kỳ thương hiệu, mã hiệu (nếu có) trong bảng yêu cầu kỹ thuật là để minh họa các tiêu chuẩn chất lượng, tính năng kỹ thuật yêu cầu, nhà thầu có thể lựa chọn dự thầu hàng </w:t>
      </w:r>
      <w:r w:rsidRPr="00FD3946">
        <w:rPr>
          <w:rFonts w:asciiTheme="majorHAnsi" w:hAnsiTheme="majorHAnsi" w:cstheme="majorHAnsi"/>
          <w:spacing w:val="-2"/>
          <w:sz w:val="26"/>
          <w:szCs w:val="26"/>
          <w:lang w:val="nl-NL"/>
        </w:rPr>
        <w:lastRenderedPageBreak/>
        <w:t xml:space="preserve">hóa có nguồn gốc, xuất xứ, nhà sản xuất, thương hiệu, mã hiệu phù hợp với điều kiện cung cấp nhưng phải đảm bảo yêu cầu có tiêu chuẩn kỹ thuật, đặc tính kỹ thuật, tính năng sử dụng tương đương hoặc ưu việt hơn so với các yêu cầu tối thiểu. </w:t>
      </w:r>
    </w:p>
    <w:p w:rsidR="006445FF" w:rsidRPr="00FD3946" w:rsidRDefault="006445FF" w:rsidP="006445FF">
      <w:pPr>
        <w:rPr>
          <w:rFonts w:asciiTheme="majorHAnsi" w:hAnsiTheme="majorHAnsi" w:cstheme="majorHAnsi"/>
          <w:spacing w:val="-2"/>
          <w:sz w:val="26"/>
          <w:szCs w:val="26"/>
          <w:lang w:val="nl-NL"/>
        </w:rPr>
      </w:pPr>
      <w:r w:rsidRPr="00FD3946">
        <w:rPr>
          <w:rFonts w:asciiTheme="majorHAnsi" w:hAnsiTheme="majorHAnsi" w:cstheme="majorHAnsi"/>
          <w:spacing w:val="-2"/>
          <w:sz w:val="26"/>
          <w:szCs w:val="26"/>
          <w:lang w:val="nl-NL"/>
        </w:rPr>
        <w:tab/>
        <w:t>Trường hợp nhà thầu chào hàng hóa tương đương hoặc ưu việt hơn nhà thầu phải cung cấp tài liệu kèm theo để chứng minh.</w:t>
      </w:r>
    </w:p>
    <w:p w:rsidR="006445FF" w:rsidRPr="00FD3946" w:rsidRDefault="006445FF" w:rsidP="006445FF">
      <w:pPr>
        <w:rPr>
          <w:rFonts w:asciiTheme="majorHAnsi" w:hAnsiTheme="majorHAnsi" w:cstheme="majorHAnsi"/>
          <w:spacing w:val="-2"/>
          <w:sz w:val="26"/>
          <w:szCs w:val="26"/>
          <w:lang w:val="nl-NL"/>
        </w:rPr>
      </w:pPr>
      <w:r w:rsidRPr="00FD3946">
        <w:rPr>
          <w:rFonts w:asciiTheme="majorHAnsi" w:hAnsiTheme="majorHAnsi" w:cstheme="majorHAnsi"/>
          <w:spacing w:val="-2"/>
          <w:sz w:val="26"/>
          <w:szCs w:val="26"/>
          <w:lang w:val="nl-NL"/>
        </w:rPr>
        <w:tab/>
        <w:t>- Tất cả thông số kỹ thuật nêu trong HSMT dựa trên các tài liệu được chủ đầu tư cung cấp và được chủ đầu tư xét duyệt.</w:t>
      </w:r>
    </w:p>
    <w:p w:rsidR="006445FF" w:rsidRPr="00FD3946" w:rsidRDefault="006445FF" w:rsidP="006445FF">
      <w:pPr>
        <w:rPr>
          <w:rFonts w:asciiTheme="majorHAnsi" w:hAnsiTheme="majorHAnsi" w:cstheme="majorHAnsi"/>
          <w:spacing w:val="-2"/>
          <w:sz w:val="26"/>
          <w:szCs w:val="26"/>
          <w:lang w:val="nl-NL"/>
        </w:rPr>
      </w:pPr>
      <w:r w:rsidRPr="00FD3946">
        <w:rPr>
          <w:rFonts w:asciiTheme="majorHAnsi" w:hAnsiTheme="majorHAnsi" w:cstheme="majorHAnsi"/>
          <w:spacing w:val="-2"/>
          <w:sz w:val="26"/>
          <w:szCs w:val="26"/>
          <w:lang w:val="nl-NL"/>
        </w:rPr>
        <w:tab/>
        <w:t>- Sai số về kích thước, trọng lượng (nếu có) cho phép không quá ± 5%.</w:t>
      </w:r>
    </w:p>
    <w:p w:rsidR="006445FF" w:rsidRPr="00FD3946" w:rsidRDefault="006445FF" w:rsidP="006445FF">
      <w:pPr>
        <w:rPr>
          <w:rFonts w:asciiTheme="majorHAnsi" w:hAnsiTheme="majorHAnsi" w:cstheme="majorHAnsi"/>
          <w:b/>
          <w:sz w:val="26"/>
          <w:szCs w:val="26"/>
          <w:lang w:val="nl-NL"/>
        </w:rPr>
      </w:pPr>
      <w:r w:rsidRPr="00FD3946">
        <w:rPr>
          <w:rFonts w:asciiTheme="majorHAnsi" w:hAnsiTheme="majorHAnsi" w:cstheme="majorHAnsi"/>
          <w:b/>
          <w:sz w:val="26"/>
          <w:szCs w:val="26"/>
          <w:lang w:val="nl-NL"/>
        </w:rPr>
        <w:t>1.3. Các yêu cầu khác</w:t>
      </w:r>
    </w:p>
    <w:p w:rsidR="006445FF" w:rsidRPr="00FD3946" w:rsidRDefault="006445FF" w:rsidP="006445FF">
      <w:pPr>
        <w:widowControl w:val="0"/>
        <w:rPr>
          <w:rFonts w:asciiTheme="majorHAnsi" w:hAnsiTheme="majorHAnsi" w:cstheme="majorHAnsi"/>
          <w:sz w:val="26"/>
          <w:szCs w:val="26"/>
          <w:lang w:val="nl-NL"/>
        </w:rPr>
      </w:pPr>
      <w:r w:rsidRPr="00FD3946">
        <w:rPr>
          <w:rFonts w:asciiTheme="majorHAnsi" w:hAnsiTheme="majorHAnsi" w:cstheme="majorHAnsi"/>
          <w:sz w:val="26"/>
          <w:szCs w:val="26"/>
          <w:lang w:val="nl-NL"/>
        </w:rPr>
        <w:tab/>
        <w:t>- Thu hồi hàng hoá (con giống) trong trường hợp hàng hoá (con giống) không đảm bảo chất lượng và cung cấp thay thế trong vòng 03 ngày, kể từ khi nhận được yêu cầu của chủ đầu tư.</w:t>
      </w:r>
    </w:p>
    <w:p w:rsidR="006445FF" w:rsidRPr="00FD3946" w:rsidRDefault="006445FF" w:rsidP="006445FF">
      <w:pPr>
        <w:widowControl w:val="0"/>
        <w:rPr>
          <w:rFonts w:asciiTheme="majorHAnsi" w:hAnsiTheme="majorHAnsi" w:cstheme="majorHAnsi"/>
          <w:sz w:val="26"/>
          <w:szCs w:val="26"/>
          <w:lang w:val="nl-NL"/>
        </w:rPr>
      </w:pPr>
      <w:r w:rsidRPr="00FD3946">
        <w:rPr>
          <w:rFonts w:asciiTheme="majorHAnsi" w:hAnsiTheme="majorHAnsi" w:cstheme="majorHAnsi"/>
          <w:sz w:val="26"/>
          <w:szCs w:val="26"/>
          <w:lang w:val="nl-NL"/>
        </w:rPr>
        <w:tab/>
        <w:t>- Nhà thầu vận chuyển và bàn giao con giống và nuôi nhốt ổn định cho hộ tham gia mô hình: Xuống hàng; chăm sóc và chịu trách nhiệm theo dõi kỹ thuật theo quy định đảm bảo an toàn không gây ảnh hưởng cho người và vật nuôi. Đảm bảo tỷ lệ sống trên 95% trong thời gian 30 ngày (tính từ khi giao hàng). Nếu xảy ra dịch bệnh hoặc chất lượng giống kém, con giống có biểu hiện chết, bệnh trong thời gian bảo hành Nhà thầu phải bồi thường, cung cấp lại số lượng con giống theo quy định.</w:t>
      </w:r>
    </w:p>
    <w:p w:rsidR="006445FF" w:rsidRPr="00FD3946" w:rsidRDefault="006445FF" w:rsidP="006445FF">
      <w:pPr>
        <w:widowControl w:val="0"/>
        <w:rPr>
          <w:rFonts w:asciiTheme="majorHAnsi" w:hAnsiTheme="majorHAnsi" w:cstheme="majorHAnsi"/>
          <w:sz w:val="26"/>
          <w:szCs w:val="26"/>
          <w:lang w:val="nl-NL"/>
        </w:rPr>
      </w:pPr>
      <w:r w:rsidRPr="00FD3946">
        <w:rPr>
          <w:rFonts w:asciiTheme="majorHAnsi" w:hAnsiTheme="majorHAnsi" w:cstheme="majorHAnsi"/>
          <w:sz w:val="26"/>
          <w:szCs w:val="26"/>
          <w:lang w:val="nl-NL"/>
        </w:rPr>
        <w:tab/>
        <w:t>- Biện pháp để đảm bảo hàng hoá (con giống) không tác động ảnh hưởng đến môi trường (nếu có).</w:t>
      </w:r>
    </w:p>
    <w:p w:rsidR="006445FF" w:rsidRPr="00FD3946" w:rsidRDefault="006445FF" w:rsidP="006445FF">
      <w:pPr>
        <w:widowControl w:val="0"/>
        <w:rPr>
          <w:rFonts w:asciiTheme="majorHAnsi" w:hAnsiTheme="majorHAnsi" w:cstheme="majorHAnsi"/>
          <w:sz w:val="26"/>
          <w:szCs w:val="26"/>
          <w:lang w:val="nl-NL"/>
        </w:rPr>
      </w:pPr>
      <w:r w:rsidRPr="00FD3946">
        <w:rPr>
          <w:rFonts w:asciiTheme="majorHAnsi" w:hAnsiTheme="majorHAnsi" w:cstheme="majorHAnsi"/>
          <w:sz w:val="26"/>
          <w:szCs w:val="26"/>
          <w:lang w:val="nl-NL"/>
        </w:rPr>
        <w:tab/>
        <w:t xml:space="preserve">- Phương thức thanh toán: </w:t>
      </w:r>
    </w:p>
    <w:p w:rsidR="006445FF" w:rsidRPr="00FD3946" w:rsidRDefault="006445FF" w:rsidP="006445FF">
      <w:pPr>
        <w:widowControl w:val="0"/>
        <w:rPr>
          <w:rFonts w:asciiTheme="majorHAnsi" w:hAnsiTheme="majorHAnsi" w:cstheme="majorHAnsi"/>
          <w:sz w:val="26"/>
          <w:szCs w:val="26"/>
          <w:lang w:val="nl-NL"/>
        </w:rPr>
      </w:pPr>
      <w:r w:rsidRPr="00FD3946">
        <w:rPr>
          <w:rFonts w:asciiTheme="majorHAnsi" w:hAnsiTheme="majorHAnsi" w:cstheme="majorHAnsi"/>
          <w:sz w:val="26"/>
          <w:szCs w:val="26"/>
          <w:lang w:val="nl-NL"/>
        </w:rPr>
        <w:tab/>
        <w:t>+ Sau khi cung cấp hàng hoá (con giống), Chủ đầu tư sẽ thanh toán cho nhà thầu theo khối lượng nghiệm thu thực tế với đối tượng thụ hưởng (người nông dân).</w:t>
      </w:r>
    </w:p>
    <w:p w:rsidR="006445FF" w:rsidRDefault="006445FF" w:rsidP="006445FF">
      <w:pPr>
        <w:widowControl w:val="0"/>
        <w:rPr>
          <w:rFonts w:asciiTheme="majorHAnsi" w:hAnsiTheme="majorHAnsi" w:cstheme="majorHAnsi"/>
          <w:sz w:val="26"/>
          <w:szCs w:val="26"/>
          <w:lang w:val="nl-NL"/>
        </w:rPr>
      </w:pPr>
      <w:r w:rsidRPr="00FD3946">
        <w:rPr>
          <w:rFonts w:asciiTheme="majorHAnsi" w:hAnsiTheme="majorHAnsi" w:cstheme="majorHAnsi"/>
          <w:sz w:val="26"/>
          <w:szCs w:val="26"/>
          <w:lang w:val="nl-NL"/>
        </w:rPr>
        <w:tab/>
        <w:t>+ Chủ đầu tư sẽ thanh toán cho nhà thầu khối lượng (thuộc phần vốn Ngân sách nhà nước). Các đợt thanh toán sau sẽ theo kế hoạch vốn và khả năng vốn tự huy động của dự án.</w:t>
      </w:r>
    </w:p>
    <w:p w:rsidR="006445FF" w:rsidRPr="00FD3946" w:rsidRDefault="006445FF" w:rsidP="006445FF">
      <w:pPr>
        <w:widowControl w:val="0"/>
        <w:rPr>
          <w:rFonts w:asciiTheme="majorHAnsi" w:hAnsiTheme="majorHAnsi" w:cstheme="majorHAnsi"/>
          <w:sz w:val="26"/>
          <w:szCs w:val="26"/>
          <w:lang w:val="nl-NL"/>
        </w:rPr>
      </w:pPr>
    </w:p>
    <w:p w:rsidR="006445FF" w:rsidRPr="00FD3946" w:rsidRDefault="006445FF" w:rsidP="006445FF">
      <w:pPr>
        <w:pStyle w:val="SectionVIHeader"/>
        <w:spacing w:before="0" w:after="0"/>
        <w:jc w:val="both"/>
        <w:rPr>
          <w:rFonts w:asciiTheme="majorHAnsi" w:hAnsiTheme="majorHAnsi" w:cstheme="majorHAnsi"/>
          <w:sz w:val="28"/>
          <w:szCs w:val="26"/>
          <w:lang w:val="nl-NL"/>
        </w:rPr>
      </w:pPr>
      <w:r w:rsidRPr="00FD3946">
        <w:rPr>
          <w:rFonts w:asciiTheme="majorHAnsi" w:hAnsiTheme="majorHAnsi" w:cstheme="majorHAnsi"/>
          <w:sz w:val="28"/>
          <w:szCs w:val="26"/>
          <w:lang w:val="nl-NL"/>
        </w:rPr>
        <w:t>Mục 2. Bản vẽ</w:t>
      </w:r>
    </w:p>
    <w:p w:rsidR="006445FF" w:rsidRDefault="006445FF" w:rsidP="006445FF">
      <w:pPr>
        <w:rPr>
          <w:rFonts w:asciiTheme="majorHAnsi" w:hAnsiTheme="majorHAnsi" w:cstheme="majorHAnsi"/>
          <w:spacing w:val="-4"/>
          <w:sz w:val="26"/>
          <w:szCs w:val="26"/>
          <w:lang w:val="nl-NL"/>
        </w:rPr>
      </w:pPr>
      <w:r w:rsidRPr="00FD3946">
        <w:rPr>
          <w:rFonts w:asciiTheme="majorHAnsi" w:hAnsiTheme="majorHAnsi" w:cstheme="majorHAnsi"/>
          <w:spacing w:val="-4"/>
          <w:sz w:val="26"/>
          <w:szCs w:val="26"/>
          <w:lang w:val="nl-NL"/>
        </w:rPr>
        <w:tab/>
        <w:t>E-HSMT này gồm có các bản vẽ trong danh mục sau đây: Không có bản vẽ.</w:t>
      </w:r>
    </w:p>
    <w:p w:rsidR="006445FF" w:rsidRPr="00FD3946" w:rsidRDefault="006445FF" w:rsidP="006445FF">
      <w:pPr>
        <w:rPr>
          <w:rFonts w:asciiTheme="majorHAnsi" w:hAnsiTheme="majorHAnsi" w:cstheme="majorHAnsi"/>
          <w:b/>
          <w:sz w:val="26"/>
          <w:szCs w:val="26"/>
        </w:rPr>
      </w:pPr>
    </w:p>
    <w:p w:rsidR="006445FF" w:rsidRPr="00FD3946" w:rsidRDefault="006445FF" w:rsidP="006445FF">
      <w:pPr>
        <w:pStyle w:val="SectionVIHeader"/>
        <w:widowControl w:val="0"/>
        <w:spacing w:before="0" w:after="0"/>
        <w:jc w:val="both"/>
        <w:rPr>
          <w:rFonts w:asciiTheme="majorHAnsi" w:hAnsiTheme="majorHAnsi" w:cstheme="majorHAnsi"/>
          <w:sz w:val="28"/>
          <w:szCs w:val="26"/>
        </w:rPr>
      </w:pPr>
      <w:r w:rsidRPr="00FD3946">
        <w:rPr>
          <w:rFonts w:asciiTheme="majorHAnsi" w:hAnsiTheme="majorHAnsi" w:cstheme="majorHAnsi"/>
          <w:sz w:val="28"/>
          <w:szCs w:val="26"/>
        </w:rPr>
        <w:t>Mục 3. Kiểm tra và thử nghiệm</w:t>
      </w:r>
    </w:p>
    <w:p w:rsidR="006445FF" w:rsidRPr="00FD3946" w:rsidRDefault="006445FF" w:rsidP="006445FF">
      <w:pPr>
        <w:rPr>
          <w:rFonts w:asciiTheme="majorHAnsi" w:hAnsiTheme="majorHAnsi" w:cstheme="majorHAnsi"/>
          <w:sz w:val="26"/>
          <w:szCs w:val="26"/>
        </w:rPr>
      </w:pPr>
      <w:r w:rsidRPr="00FD3946">
        <w:rPr>
          <w:rFonts w:asciiTheme="majorHAnsi" w:hAnsiTheme="majorHAnsi" w:cstheme="majorHAnsi"/>
          <w:sz w:val="26"/>
          <w:szCs w:val="26"/>
        </w:rPr>
        <w:tab/>
        <w:t xml:space="preserve">Các kiểm tra và thử nghiệm cần tiến hành gồm có: </w:t>
      </w:r>
    </w:p>
    <w:p w:rsidR="006445FF" w:rsidRPr="00FD3946" w:rsidRDefault="006445FF" w:rsidP="006445FF">
      <w:pPr>
        <w:rPr>
          <w:rFonts w:asciiTheme="majorHAnsi" w:hAnsiTheme="majorHAnsi" w:cstheme="majorHAnsi"/>
          <w:sz w:val="26"/>
          <w:szCs w:val="26"/>
        </w:rPr>
      </w:pPr>
      <w:r w:rsidRPr="00FD3946">
        <w:rPr>
          <w:rFonts w:asciiTheme="majorHAnsi" w:hAnsiTheme="majorHAnsi" w:cstheme="majorHAnsi"/>
          <w:sz w:val="26"/>
          <w:szCs w:val="26"/>
        </w:rPr>
        <w:tab/>
        <w:t>- Bên mời thầu cùng nhà thầu, đồng thời cùng với các hộ dân tổ chức nghiệm thu hàng hoá (con giống) bằng mắt thường và các dụng cụ đo lường (cân nặng, kích thước).</w:t>
      </w:r>
    </w:p>
    <w:p w:rsidR="006445FF" w:rsidRPr="00FD3946" w:rsidRDefault="006445FF" w:rsidP="006445FF">
      <w:pPr>
        <w:rPr>
          <w:rFonts w:asciiTheme="majorHAnsi" w:hAnsiTheme="majorHAnsi" w:cstheme="majorHAnsi"/>
          <w:sz w:val="26"/>
          <w:szCs w:val="26"/>
        </w:rPr>
      </w:pPr>
      <w:r w:rsidRPr="00FD3946">
        <w:rPr>
          <w:rFonts w:asciiTheme="majorHAnsi" w:hAnsiTheme="majorHAnsi" w:cstheme="majorHAnsi"/>
          <w:sz w:val="26"/>
          <w:szCs w:val="26"/>
        </w:rPr>
        <w:tab/>
        <w:t>- Biên bản nghiệm thu hàng hoá (con giống).</w:t>
      </w:r>
    </w:p>
    <w:p w:rsidR="006445FF" w:rsidRPr="00FD3946" w:rsidRDefault="006445FF" w:rsidP="006445FF">
      <w:pPr>
        <w:rPr>
          <w:rFonts w:asciiTheme="majorHAnsi" w:hAnsiTheme="majorHAnsi" w:cstheme="majorHAnsi"/>
          <w:iCs/>
          <w:sz w:val="26"/>
          <w:szCs w:val="26"/>
        </w:rPr>
      </w:pPr>
      <w:r w:rsidRPr="00FD3946">
        <w:rPr>
          <w:rFonts w:asciiTheme="majorHAnsi" w:hAnsiTheme="majorHAnsi" w:cstheme="majorHAnsi"/>
          <w:sz w:val="26"/>
          <w:szCs w:val="26"/>
        </w:rPr>
        <w:tab/>
        <w:t>- Cung cấp các tài liệu cần thiết cho việc nghiệm thu, kiểm tra, thử nghiệm.</w:t>
      </w:r>
    </w:p>
    <w:p w:rsidR="00FF292D" w:rsidRDefault="00FF292D">
      <w:bookmarkStart w:id="0" w:name="_GoBack"/>
      <w:bookmarkEnd w:id="0"/>
    </w:p>
    <w:sectPr w:rsidR="00FF292D" w:rsidSect="006445FF">
      <w:pgSz w:w="11906" w:h="16838" w:code="9"/>
      <w:pgMar w:top="851" w:right="851" w:bottom="851" w:left="1134" w:header="720" w:footer="198"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45FF"/>
    <w:rsid w:val="00007A0F"/>
    <w:rsid w:val="0002471B"/>
    <w:rsid w:val="00032148"/>
    <w:rsid w:val="00036A7A"/>
    <w:rsid w:val="0004241E"/>
    <w:rsid w:val="00070595"/>
    <w:rsid w:val="0007590F"/>
    <w:rsid w:val="000B3B15"/>
    <w:rsid w:val="000B77D0"/>
    <w:rsid w:val="001553CD"/>
    <w:rsid w:val="001C7479"/>
    <w:rsid w:val="00223069"/>
    <w:rsid w:val="00273D7D"/>
    <w:rsid w:val="002C5463"/>
    <w:rsid w:val="003334F5"/>
    <w:rsid w:val="00391385"/>
    <w:rsid w:val="003D6E6F"/>
    <w:rsid w:val="00427012"/>
    <w:rsid w:val="004B4D16"/>
    <w:rsid w:val="005262BC"/>
    <w:rsid w:val="005A04BE"/>
    <w:rsid w:val="006445FF"/>
    <w:rsid w:val="00657505"/>
    <w:rsid w:val="00671EFA"/>
    <w:rsid w:val="006D00EE"/>
    <w:rsid w:val="006D2496"/>
    <w:rsid w:val="006F3208"/>
    <w:rsid w:val="00704B95"/>
    <w:rsid w:val="00725610"/>
    <w:rsid w:val="00773D29"/>
    <w:rsid w:val="00777F64"/>
    <w:rsid w:val="007905E3"/>
    <w:rsid w:val="007B1FA9"/>
    <w:rsid w:val="007C23F3"/>
    <w:rsid w:val="007F0287"/>
    <w:rsid w:val="008D6767"/>
    <w:rsid w:val="00945ABE"/>
    <w:rsid w:val="0094680C"/>
    <w:rsid w:val="009C05C1"/>
    <w:rsid w:val="009C595A"/>
    <w:rsid w:val="00A11FBC"/>
    <w:rsid w:val="00A53CAB"/>
    <w:rsid w:val="00AA2D47"/>
    <w:rsid w:val="00AB1C49"/>
    <w:rsid w:val="00AB5894"/>
    <w:rsid w:val="00B131E4"/>
    <w:rsid w:val="00BE3BC3"/>
    <w:rsid w:val="00C14F11"/>
    <w:rsid w:val="00C5073D"/>
    <w:rsid w:val="00D577E2"/>
    <w:rsid w:val="00D71C52"/>
    <w:rsid w:val="00D776D2"/>
    <w:rsid w:val="00DF650C"/>
    <w:rsid w:val="00E040B5"/>
    <w:rsid w:val="00E554A3"/>
    <w:rsid w:val="00E641FE"/>
    <w:rsid w:val="00ED4FB7"/>
    <w:rsid w:val="00EF755D"/>
    <w:rsid w:val="00F702FD"/>
    <w:rsid w:val="00FA74C9"/>
    <w:rsid w:val="00FA7B7E"/>
    <w:rsid w:val="00FC224A"/>
    <w:rsid w:val="00FD2191"/>
    <w:rsid w:val="00FF111B"/>
    <w:rsid w:val="00FF2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5FF"/>
    <w:pPr>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445FF"/>
    <w:pPr>
      <w:jc w:val="center"/>
    </w:pPr>
    <w:rPr>
      <w:b/>
      <w:sz w:val="44"/>
    </w:rPr>
  </w:style>
  <w:style w:type="character" w:customStyle="1" w:styleId="SubtitleChar">
    <w:name w:val="Subtitle Char"/>
    <w:basedOn w:val="DefaultParagraphFont"/>
    <w:link w:val="Subtitle"/>
    <w:rsid w:val="006445FF"/>
    <w:rPr>
      <w:rFonts w:eastAsia="Times New Roman" w:cs="Times New Roman"/>
      <w:b/>
      <w:sz w:val="44"/>
      <w:szCs w:val="20"/>
    </w:rPr>
  </w:style>
  <w:style w:type="paragraph" w:customStyle="1" w:styleId="SectionVIHeader">
    <w:name w:val="Section VI. Header"/>
    <w:basedOn w:val="Normal"/>
    <w:rsid w:val="006445FF"/>
    <w:pPr>
      <w:spacing w:before="120" w:after="240"/>
      <w:jc w:val="center"/>
    </w:pPr>
    <w:rPr>
      <w:b/>
      <w:sz w:val="36"/>
    </w:rPr>
  </w:style>
  <w:style w:type="table" w:styleId="TableGrid">
    <w:name w:val="Table Grid"/>
    <w:basedOn w:val="TableNormal"/>
    <w:uiPriority w:val="59"/>
    <w:rsid w:val="006445FF"/>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6"/>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45FF"/>
    <w:pPr>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6445FF"/>
    <w:pPr>
      <w:jc w:val="center"/>
    </w:pPr>
    <w:rPr>
      <w:b/>
      <w:sz w:val="44"/>
    </w:rPr>
  </w:style>
  <w:style w:type="character" w:customStyle="1" w:styleId="SubtitleChar">
    <w:name w:val="Subtitle Char"/>
    <w:basedOn w:val="DefaultParagraphFont"/>
    <w:link w:val="Subtitle"/>
    <w:rsid w:val="006445FF"/>
    <w:rPr>
      <w:rFonts w:eastAsia="Times New Roman" w:cs="Times New Roman"/>
      <w:b/>
      <w:sz w:val="44"/>
      <w:szCs w:val="20"/>
    </w:rPr>
  </w:style>
  <w:style w:type="paragraph" w:customStyle="1" w:styleId="SectionVIHeader">
    <w:name w:val="Section VI. Header"/>
    <w:basedOn w:val="Normal"/>
    <w:rsid w:val="006445FF"/>
    <w:pPr>
      <w:spacing w:before="120" w:after="240"/>
      <w:jc w:val="center"/>
    </w:pPr>
    <w:rPr>
      <w:b/>
      <w:sz w:val="36"/>
    </w:rPr>
  </w:style>
  <w:style w:type="table" w:styleId="TableGrid">
    <w:name w:val="Table Grid"/>
    <w:basedOn w:val="TableNormal"/>
    <w:uiPriority w:val="59"/>
    <w:rsid w:val="006445FF"/>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716</Words>
  <Characters>4083</Characters>
  <Application>Microsoft Office Word</Application>
  <DocSecurity>0</DocSecurity>
  <Lines>34</Lines>
  <Paragraphs>9</Paragraphs>
  <ScaleCrop>false</ScaleCrop>
  <Company/>
  <LinksUpToDate>false</LinksUpToDate>
  <CharactersWithSpaces>4790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2025-11-28T06:19:00Z</dcterms:created>
  <dcterms:modified xsi:type="dcterms:W3CDTF">2025-11-28T06:19:00Z</dcterms:modified>
</cp:coreProperties>
</file>