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50D36D23"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09F67EBA"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E740F0">
        <w:rPr>
          <w:sz w:val="28"/>
          <w:szCs w:val="28"/>
          <w:lang w:val="vi-VN"/>
        </w:rPr>
        <w:t>Nhà xưởng lao động, dạy nghề cho phạm nhân Phân trại số 2 thuộc Trại giam Suối Hai</w:t>
      </w:r>
      <w:r w:rsidRPr="003A318D">
        <w:rPr>
          <w:sz w:val="28"/>
          <w:szCs w:val="28"/>
          <w:lang w:val="vi-VN"/>
        </w:rPr>
        <w:t>.</w:t>
      </w:r>
    </w:p>
    <w:p w14:paraId="591FF2C6" w14:textId="1536BD7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E740F0">
        <w:rPr>
          <w:sz w:val="28"/>
          <w:szCs w:val="28"/>
          <w:lang w:val="vi-VN"/>
        </w:rPr>
        <w:t>Trại giam Suối Hai</w:t>
      </w:r>
      <w:r w:rsidRPr="003A318D">
        <w:rPr>
          <w:sz w:val="28"/>
          <w:szCs w:val="28"/>
          <w:lang w:val="vi-VN"/>
        </w:rPr>
        <w:t>.</w:t>
      </w:r>
    </w:p>
    <w:p w14:paraId="39B17756" w14:textId="7A25399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306F29" w:rsidRPr="00133506">
        <w:rPr>
          <w:sz w:val="28"/>
          <w:szCs w:val="28"/>
          <w:lang w:val="vi-VN"/>
        </w:rPr>
        <w:t>Xây dựng 01 nhà xưởng, quy mô diện tích 564m2 để phục vụ lao động, dạy nghề cho phạm nhân tại Phân trại số 2 thuộc Trại giam Suối Hai.</w:t>
      </w:r>
    </w:p>
    <w:p w14:paraId="683BFD2D" w14:textId="20E68B06"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48421D">
        <w:rPr>
          <w:spacing w:val="-6"/>
          <w:sz w:val="28"/>
          <w:szCs w:val="28"/>
          <w:lang w:val="vi-VN"/>
        </w:rPr>
        <w:t>Xã Bất Bạt, thành phố Hà Nội</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70C930D9" w14:textId="77777777" w:rsidR="00306F29" w:rsidRPr="00133506" w:rsidRDefault="00040CE6" w:rsidP="00306F29">
      <w:pPr>
        <w:spacing w:before="60" w:line="288" w:lineRule="auto"/>
        <w:ind w:firstLine="709"/>
        <w:rPr>
          <w:sz w:val="28"/>
          <w:szCs w:val="28"/>
          <w:lang w:val="vi-VN"/>
        </w:rPr>
      </w:pPr>
      <w:r>
        <w:rPr>
          <w:sz w:val="28"/>
          <w:szCs w:val="28"/>
          <w:lang w:val="vi-VN"/>
        </w:rPr>
        <w:tab/>
      </w:r>
      <w:r w:rsidR="00306F29" w:rsidRPr="00133506">
        <w:rPr>
          <w:sz w:val="28"/>
          <w:szCs w:val="28"/>
          <w:lang w:val="vi-VN"/>
        </w:rPr>
        <w:t>Xây dựng 01 nhà 01 tầng, công trình cấp IV. Diện tích xây dựng 564m2, diện tích sử dụng chính 480m2.</w:t>
      </w:r>
    </w:p>
    <w:p w14:paraId="7163E034" w14:textId="77777777" w:rsidR="00306F29" w:rsidRPr="00133506" w:rsidRDefault="00306F29" w:rsidP="00306F29">
      <w:pPr>
        <w:spacing w:before="60" w:line="288" w:lineRule="auto"/>
        <w:ind w:firstLine="567"/>
        <w:rPr>
          <w:sz w:val="28"/>
          <w:szCs w:val="28"/>
          <w:lang w:val="vi-VN"/>
        </w:rPr>
      </w:pPr>
      <w:r w:rsidRPr="00133506">
        <w:rPr>
          <w:sz w:val="28"/>
          <w:szCs w:val="28"/>
          <w:lang w:val="vi-VN"/>
        </w:rPr>
        <w:t>- Kiến trúc chủ yếu: Bước gian chính 4mx12m, chiều cao nhà 5,0m. Tường xây gạch cao 3,15m, bên trên ốp tường tôn tôn cao 1,85m.</w:t>
      </w:r>
    </w:p>
    <w:p w14:paraId="1F9D0FF9" w14:textId="77777777" w:rsidR="00306F29" w:rsidRPr="00133506" w:rsidRDefault="00306F29" w:rsidP="00306F29">
      <w:pPr>
        <w:spacing w:before="60" w:line="288" w:lineRule="auto"/>
        <w:ind w:firstLine="567"/>
        <w:rPr>
          <w:sz w:val="28"/>
          <w:szCs w:val="28"/>
          <w:lang w:val="vi-VN"/>
        </w:rPr>
      </w:pPr>
      <w:r w:rsidRPr="00133506">
        <w:rPr>
          <w:sz w:val="28"/>
          <w:szCs w:val="28"/>
          <w:lang w:val="vi-VN"/>
        </w:rPr>
        <w:t xml:space="preserve">- Kết cấu: Móng đơn BTCT trên nền đất tự nhiên, cột, dầm BTCT, xà gồ thép hình mái lợp tôn. </w:t>
      </w:r>
    </w:p>
    <w:p w14:paraId="677A7848" w14:textId="77777777" w:rsidR="00306F29" w:rsidRPr="00133506" w:rsidRDefault="00306F29" w:rsidP="00306F29">
      <w:pPr>
        <w:spacing w:before="60" w:line="288" w:lineRule="auto"/>
        <w:ind w:firstLine="567"/>
        <w:rPr>
          <w:sz w:val="28"/>
          <w:szCs w:val="28"/>
          <w:lang w:val="vi-VN"/>
        </w:rPr>
      </w:pPr>
      <w:r w:rsidRPr="00133506">
        <w:rPr>
          <w:sz w:val="28"/>
          <w:szCs w:val="28"/>
          <w:lang w:val="vi-VN"/>
        </w:rPr>
        <w:t>- Giải pháp hoàn thiện: Nền nhà đổ bê tông đá 4x6 mác 200, cửa đi, cửa sổ khung sắt bịt tôn, tường lăn sơn. Cấp điện chiếu sáng, thoát nước đảm bảo yêu cầu sử dụng và phù hợp với cấp công trình.</w:t>
      </w:r>
    </w:p>
    <w:p w14:paraId="60653E2B" w14:textId="77777777" w:rsidR="00306F29" w:rsidRPr="00133506" w:rsidRDefault="00306F29" w:rsidP="00306F29">
      <w:pPr>
        <w:spacing w:before="60" w:line="288" w:lineRule="auto"/>
        <w:ind w:firstLine="567"/>
        <w:rPr>
          <w:sz w:val="28"/>
          <w:szCs w:val="28"/>
          <w:lang w:val="vi-VN"/>
        </w:rPr>
      </w:pPr>
      <w:r w:rsidRPr="00133506">
        <w:rPr>
          <w:sz w:val="28"/>
          <w:szCs w:val="28"/>
          <w:lang w:val="vi-VN"/>
        </w:rPr>
        <w:t>- Giải pháp PCCC: Lắp đặt hệ thống báo cháy tự động, đèn exit sự số và bình bọt cứu hỏa cho công trình.</w:t>
      </w:r>
    </w:p>
    <w:p w14:paraId="580D8BE2" w14:textId="15904285"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306F29">
        <w:rPr>
          <w:sz w:val="28"/>
          <w:szCs w:val="28"/>
        </w:rPr>
        <w:t>9</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0DAD74E2"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306F29">
        <w:rPr>
          <w:spacing w:val="-6"/>
          <w:sz w:val="28"/>
          <w:szCs w:val="28"/>
          <w:lang w:val="es-ES"/>
        </w:rPr>
        <w:t>9</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lastRenderedPageBreak/>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lastRenderedPageBreak/>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33"/>
        <w:gridCol w:w="3542"/>
        <w:gridCol w:w="1193"/>
      </w:tblGrid>
      <w:tr w:rsidR="005F50D7" w:rsidRPr="003A318D" w14:paraId="0ACD3353" w14:textId="77777777" w:rsidTr="002D321C">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40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5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2D321C">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5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2D321C">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40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5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2D321C">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40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5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2D321C">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40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5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2D321C">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40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5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2D321C">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t>5</w:t>
            </w:r>
          </w:p>
        </w:tc>
        <w:tc>
          <w:tcPr>
            <w:tcW w:w="40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5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2D321C">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40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5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2D321C">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40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5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2D321C">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40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5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2D321C">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4033" w:type="dxa"/>
          </w:tcPr>
          <w:p w14:paraId="5B14336D" w14:textId="35F56AA8" w:rsidR="00204B66" w:rsidRPr="003A318D" w:rsidRDefault="00204B66" w:rsidP="002D321C">
            <w:pPr>
              <w:spacing w:before="120"/>
              <w:rPr>
                <w:sz w:val="28"/>
                <w:szCs w:val="28"/>
              </w:rPr>
            </w:pPr>
            <w:r>
              <w:rPr>
                <w:sz w:val="28"/>
                <w:szCs w:val="28"/>
              </w:rPr>
              <w:t>Mái tôn</w:t>
            </w:r>
          </w:p>
        </w:tc>
        <w:tc>
          <w:tcPr>
            <w:tcW w:w="3542" w:type="dxa"/>
          </w:tcPr>
          <w:p w14:paraId="3105C14D" w14:textId="3F479F55" w:rsidR="00204B66" w:rsidRPr="003A318D" w:rsidRDefault="00204B66" w:rsidP="002D321C">
            <w:pPr>
              <w:spacing w:before="120"/>
              <w:rPr>
                <w:sz w:val="28"/>
                <w:szCs w:val="28"/>
              </w:rPr>
            </w:pPr>
            <w:r>
              <w:rPr>
                <w:sz w:val="28"/>
                <w:szCs w:val="28"/>
              </w:rPr>
              <w:t>Tôn dày 0,4</w:t>
            </w:r>
            <w:r w:rsidR="00306F29">
              <w:rPr>
                <w:sz w:val="28"/>
                <w:szCs w:val="28"/>
              </w:rPr>
              <w:t>5</w:t>
            </w:r>
            <w:r>
              <w:rPr>
                <w:sz w:val="28"/>
                <w:szCs w:val="28"/>
              </w:rPr>
              <w:t>ly</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lastRenderedPageBreak/>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lastRenderedPageBreak/>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349C5D9D"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E740F0">
        <w:rPr>
          <w:sz w:val="28"/>
          <w:szCs w:val="28"/>
          <w:lang w:val="nl-NL"/>
        </w:rPr>
        <w:t>Trại giam Suối Hai</w:t>
      </w:r>
      <w:r w:rsidRPr="003A318D">
        <w:rPr>
          <w:sz w:val="28"/>
          <w:szCs w:val="28"/>
          <w:lang w:val="nl-NL"/>
        </w:rPr>
        <w:t xml:space="preserve">, Địa điểm: </w:t>
      </w:r>
      <w:r w:rsidR="0048421D">
        <w:rPr>
          <w:sz w:val="28"/>
          <w:szCs w:val="28"/>
          <w:lang w:val="nl-NL"/>
        </w:rPr>
        <w:t>Xã Bất Bạt, thành phố Hà Nội</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bookmarkEnd w:id="0"/>
    <w:p w14:paraId="340DC660" w14:textId="77777777" w:rsidR="005F50D7" w:rsidRDefault="005F50D7" w:rsidP="001C5BD4">
      <w:pPr>
        <w:tabs>
          <w:tab w:val="left" w:pos="1418"/>
        </w:tabs>
        <w:spacing w:before="120" w:after="120" w:line="264" w:lineRule="auto"/>
        <w:ind w:firstLine="709"/>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5255E" w14:textId="77777777" w:rsidR="00124CE9" w:rsidRDefault="00124CE9" w:rsidP="00E05AF1">
      <w:r>
        <w:separator/>
      </w:r>
    </w:p>
  </w:endnote>
  <w:endnote w:type="continuationSeparator" w:id="0">
    <w:p w14:paraId="358A3A1B" w14:textId="77777777" w:rsidR="00124CE9" w:rsidRDefault="00124CE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B59D3" w14:textId="77777777" w:rsidR="00124CE9" w:rsidRDefault="00124CE9" w:rsidP="00E05AF1">
      <w:r>
        <w:separator/>
      </w:r>
    </w:p>
  </w:footnote>
  <w:footnote w:type="continuationSeparator" w:id="0">
    <w:p w14:paraId="3F715E38" w14:textId="77777777" w:rsidR="00124CE9" w:rsidRDefault="00124CE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01"/>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4CE9"/>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6F29"/>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21D"/>
    <w:rsid w:val="00486BE6"/>
    <w:rsid w:val="0049032A"/>
    <w:rsid w:val="0049036F"/>
    <w:rsid w:val="004905D7"/>
    <w:rsid w:val="00490632"/>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29A0"/>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250"/>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B93"/>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F2A"/>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77C"/>
    <w:rsid w:val="009E4B51"/>
    <w:rsid w:val="009E4FAE"/>
    <w:rsid w:val="009E5D11"/>
    <w:rsid w:val="009E6965"/>
    <w:rsid w:val="009E7059"/>
    <w:rsid w:val="009E71F3"/>
    <w:rsid w:val="009E7E54"/>
    <w:rsid w:val="009E7ED4"/>
    <w:rsid w:val="009F0570"/>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5FFC"/>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897"/>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0F0"/>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CharCharCharChar0">
    <w:name w:val="Char Char Char Char"/>
    <w:basedOn w:val="Normal"/>
    <w:rsid w:val="00B94897"/>
    <w:pPr>
      <w:pageBreakBefore/>
      <w:spacing w:before="100" w:beforeAutospacing="1" w:after="100" w:afterAutospacing="1"/>
    </w:pPr>
    <w:rPr>
      <w:rFonts w:ascii="Tahoma" w:hAnsi="Tahoma"/>
      <w:sz w:val="20"/>
    </w:rPr>
  </w:style>
  <w:style w:type="paragraph" w:customStyle="1" w:styleId="msonormal0">
    <w:name w:val="msonormal"/>
    <w:basedOn w:val="Normal"/>
    <w:rsid w:val="00B94897"/>
    <w:pPr>
      <w:spacing w:before="100" w:beforeAutospacing="1" w:after="100" w:afterAutospacing="1"/>
      <w:jc w:val="left"/>
    </w:pPr>
    <w:rPr>
      <w:szCs w:val="24"/>
    </w:rPr>
  </w:style>
  <w:style w:type="paragraph" w:customStyle="1" w:styleId="xl63">
    <w:name w:val="xl63"/>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B94897"/>
    <w:pPr>
      <w:spacing w:before="100" w:beforeAutospacing="1" w:after="100" w:afterAutospacing="1"/>
      <w:jc w:val="left"/>
    </w:pPr>
    <w:rPr>
      <w:szCs w:val="24"/>
    </w:rPr>
  </w:style>
  <w:style w:type="paragraph" w:customStyle="1" w:styleId="xl66">
    <w:name w:val="xl66"/>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9">
    <w:name w:val="xl69"/>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0">
    <w:name w:val="xl70"/>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3">
    <w:name w:val="xl73"/>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4">
    <w:name w:val="xl74"/>
    <w:basedOn w:val="Normal"/>
    <w:rsid w:val="00B94897"/>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5">
    <w:name w:val="xl75"/>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6">
    <w:name w:val="xl76"/>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8">
    <w:name w:val="xl78"/>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9">
    <w:name w:val="xl79"/>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0">
    <w:name w:val="xl80"/>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1">
    <w:name w:val="xl81"/>
    <w:basedOn w:val="Normal"/>
    <w:rsid w:val="00B94897"/>
    <w:pPr>
      <w:spacing w:before="100" w:beforeAutospacing="1" w:after="100" w:afterAutospacing="1"/>
      <w:jc w:val="left"/>
      <w:textAlignment w:val="center"/>
    </w:pPr>
    <w:rPr>
      <w:szCs w:val="24"/>
    </w:rPr>
  </w:style>
  <w:style w:type="paragraph" w:customStyle="1" w:styleId="xl82">
    <w:name w:val="xl82"/>
    <w:basedOn w:val="Normal"/>
    <w:rsid w:val="00B94897"/>
    <w:pPr>
      <w:spacing w:before="100" w:beforeAutospacing="1" w:after="100" w:afterAutospacing="1"/>
      <w:jc w:val="center"/>
      <w:textAlignment w:val="center"/>
    </w:pPr>
    <w:rPr>
      <w:szCs w:val="24"/>
    </w:rPr>
  </w:style>
  <w:style w:type="paragraph" w:customStyle="1" w:styleId="xl83">
    <w:name w:val="xl83"/>
    <w:basedOn w:val="Normal"/>
    <w:rsid w:val="00B94897"/>
    <w:pPr>
      <w:spacing w:before="100" w:beforeAutospacing="1" w:after="100" w:afterAutospacing="1"/>
      <w:jc w:val="center"/>
      <w:textAlignment w:val="center"/>
    </w:pPr>
    <w:rPr>
      <w:szCs w:val="24"/>
    </w:rPr>
  </w:style>
  <w:style w:type="paragraph" w:customStyle="1" w:styleId="xl84">
    <w:name w:val="xl84"/>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B9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B94897"/>
    <w:pP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115</cp:revision>
  <cp:lastPrinted>2024-04-09T10:41:00Z</cp:lastPrinted>
  <dcterms:created xsi:type="dcterms:W3CDTF">2025-08-05T11:02:00Z</dcterms:created>
  <dcterms:modified xsi:type="dcterms:W3CDTF">2025-11-10T03:13:00Z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