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4A5" w:rsidRPr="00A354A5" w:rsidRDefault="00A354A5" w:rsidP="00A354A5">
      <w:pPr>
        <w:spacing w:before="120" w:after="120"/>
        <w:ind w:firstLine="709"/>
        <w:outlineLvl w:val="1"/>
        <w:rPr>
          <w:rFonts w:eastAsia="MS Mincho"/>
          <w:b/>
          <w:sz w:val="28"/>
          <w:szCs w:val="28"/>
          <w:lang w:val="vi-VN" w:eastAsia="vi-VN"/>
        </w:rPr>
      </w:pPr>
      <w:bookmarkStart w:id="0" w:name="_GoBack"/>
      <w:r w:rsidRPr="00A354A5">
        <w:rPr>
          <w:b/>
          <w:bCs/>
          <w:sz w:val="28"/>
          <w:szCs w:val="28"/>
          <w:lang w:val="vi-VN"/>
        </w:rPr>
        <w:t xml:space="preserve">Mục </w:t>
      </w:r>
      <w:r w:rsidRPr="00A354A5">
        <w:rPr>
          <w:b/>
          <w:bCs/>
          <w:sz w:val="28"/>
          <w:szCs w:val="28"/>
          <w:lang w:val="pl-PL"/>
        </w:rPr>
        <w:t>3</w:t>
      </w:r>
      <w:r w:rsidRPr="00A354A5">
        <w:rPr>
          <w:b/>
          <w:bCs/>
          <w:sz w:val="28"/>
          <w:szCs w:val="28"/>
          <w:lang w:val="vi-VN"/>
        </w:rPr>
        <w:t>. Tiêu chuẩn đánh giá về kỹ thuật</w:t>
      </w:r>
      <w:r w:rsidRPr="00A354A5">
        <w:rPr>
          <w:rFonts w:eastAsia="MS Mincho"/>
          <w:b/>
          <w:sz w:val="28"/>
          <w:szCs w:val="28"/>
          <w:lang w:val="vi-VN" w:eastAsia="vi-VN"/>
        </w:rPr>
        <w:t xml:space="preserve"> </w:t>
      </w:r>
    </w:p>
    <w:p w:rsidR="00A354A5" w:rsidRPr="00A354A5" w:rsidRDefault="00A354A5" w:rsidP="00A354A5">
      <w:pPr>
        <w:spacing w:before="120" w:after="120"/>
        <w:ind w:firstLine="709"/>
        <w:outlineLvl w:val="2"/>
        <w:rPr>
          <w:sz w:val="28"/>
          <w:szCs w:val="28"/>
          <w:lang w:val="vi-VN"/>
        </w:rPr>
      </w:pPr>
      <w:r w:rsidRPr="00A354A5">
        <w:rPr>
          <w:b/>
          <w:iCs/>
          <w:sz w:val="28"/>
          <w:szCs w:val="28"/>
          <w:lang w:val="vi-VN"/>
        </w:rPr>
        <w:t>Theo phương pháp</w:t>
      </w:r>
      <w:r w:rsidRPr="00A354A5" w:rsidDel="00BE4476">
        <w:rPr>
          <w:b/>
          <w:iCs/>
          <w:sz w:val="28"/>
          <w:szCs w:val="28"/>
          <w:lang w:val="vi-VN"/>
        </w:rPr>
        <w:t xml:space="preserve"> </w:t>
      </w:r>
      <w:r w:rsidRPr="00A354A5">
        <w:rPr>
          <w:b/>
          <w:iCs/>
          <w:sz w:val="28"/>
          <w:szCs w:val="28"/>
          <w:lang w:val="vi-VN"/>
        </w:rPr>
        <w:t>đạt/không đạt</w:t>
      </w:r>
      <w:r w:rsidRPr="00A354A5">
        <w:rPr>
          <w:rStyle w:val="FootnoteReference"/>
          <w:b/>
          <w:iCs/>
          <w:sz w:val="28"/>
          <w:szCs w:val="28"/>
        </w:rPr>
        <w:footnoteReference w:id="1"/>
      </w:r>
      <w:r w:rsidRPr="00A354A5">
        <w:rPr>
          <w:b/>
          <w:sz w:val="28"/>
          <w:szCs w:val="28"/>
          <w:lang w:val="vi-VN"/>
        </w:rPr>
        <w:t>:</w:t>
      </w:r>
    </w:p>
    <w:p w:rsidR="00A354A5" w:rsidRPr="00A354A5" w:rsidRDefault="00A354A5" w:rsidP="00A354A5">
      <w:pPr>
        <w:spacing w:before="120" w:after="120"/>
        <w:ind w:firstLine="709"/>
        <w:rPr>
          <w:sz w:val="28"/>
          <w:szCs w:val="28"/>
          <w:lang w:val="vi-VN"/>
        </w:rPr>
      </w:pPr>
      <w:r w:rsidRPr="00A354A5">
        <w:rPr>
          <w:sz w:val="28"/>
          <w:szCs w:val="28"/>
          <w:lang w:val="vi-VN"/>
        </w:rPr>
        <w:t>Đối với các tiêu chí đánh giá tổng quát, chỉ sử dụng tiêu chí đạt, không đạt.</w:t>
      </w:r>
      <w:r w:rsidRPr="00A354A5" w:rsidDel="00D822D6">
        <w:rPr>
          <w:sz w:val="28"/>
          <w:szCs w:val="28"/>
          <w:lang w:val="vi-VN"/>
        </w:rPr>
        <w:t xml:space="preserve"> </w:t>
      </w:r>
      <w:r w:rsidRPr="00A354A5">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354A5" w:rsidRPr="00A354A5" w:rsidRDefault="00A354A5" w:rsidP="00A354A5">
      <w:pPr>
        <w:spacing w:before="120" w:after="120"/>
        <w:ind w:firstLine="709"/>
        <w:rPr>
          <w:sz w:val="28"/>
          <w:szCs w:val="28"/>
          <w:lang w:val="vi-VN"/>
        </w:rPr>
      </w:pPr>
      <w:r w:rsidRPr="00A354A5">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A354A5" w:rsidRPr="00A354A5" w:rsidRDefault="00A354A5" w:rsidP="00A354A5">
      <w:pPr>
        <w:spacing w:before="120" w:after="120"/>
        <w:ind w:firstLine="709"/>
        <w:rPr>
          <w:sz w:val="28"/>
          <w:szCs w:val="28"/>
          <w:lang w:val="vi-VN"/>
        </w:rPr>
      </w:pPr>
      <w:r w:rsidRPr="00A354A5">
        <w:rPr>
          <w:sz w:val="28"/>
          <w:szCs w:val="28"/>
          <w:lang w:val="vi-VN"/>
        </w:rPr>
        <w:t>E-HSDT được đánh giá là đáp ứng yêu cầu về kỹ thuật khi có tất cả các tiêu chí tổng quát đều được đánh giá là đạt.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936"/>
        <w:gridCol w:w="3969"/>
        <w:gridCol w:w="1530"/>
      </w:tblGrid>
      <w:tr w:rsidR="00A354A5" w:rsidRPr="00A354A5" w:rsidTr="00C307E7">
        <w:trPr>
          <w:trHeight w:val="622"/>
          <w:tblHeader/>
        </w:trPr>
        <w:tc>
          <w:tcPr>
            <w:tcW w:w="771" w:type="dxa"/>
            <w:tcBorders>
              <w:top w:val="single" w:sz="4" w:space="0" w:color="auto"/>
              <w:left w:val="single" w:sz="4" w:space="0" w:color="auto"/>
              <w:bottom w:val="single" w:sz="4" w:space="0" w:color="auto"/>
              <w:right w:val="single" w:sz="4" w:space="0" w:color="auto"/>
            </w:tcBorders>
            <w:vAlign w:val="center"/>
          </w:tcPr>
          <w:p w:rsidR="00A354A5" w:rsidRPr="00A354A5" w:rsidRDefault="00A354A5" w:rsidP="00C307E7">
            <w:pPr>
              <w:spacing w:before="20" w:after="20"/>
              <w:jc w:val="center"/>
              <w:rPr>
                <w:b/>
                <w:bCs/>
                <w:sz w:val="28"/>
                <w:szCs w:val="28"/>
                <w:lang w:val="es-ES"/>
              </w:rPr>
            </w:pPr>
            <w:r w:rsidRPr="00A354A5">
              <w:rPr>
                <w:b/>
                <w:bCs/>
                <w:sz w:val="28"/>
                <w:szCs w:val="28"/>
                <w:lang w:val="es-ES"/>
              </w:rPr>
              <w:br w:type="page"/>
              <w:t>Stt</w:t>
            </w:r>
          </w:p>
        </w:tc>
        <w:tc>
          <w:tcPr>
            <w:tcW w:w="3936" w:type="dxa"/>
            <w:tcBorders>
              <w:top w:val="single" w:sz="4" w:space="0" w:color="auto"/>
              <w:left w:val="single" w:sz="4" w:space="0" w:color="auto"/>
              <w:bottom w:val="single" w:sz="4" w:space="0" w:color="auto"/>
              <w:right w:val="single" w:sz="4" w:space="0" w:color="auto"/>
            </w:tcBorders>
            <w:vAlign w:val="center"/>
          </w:tcPr>
          <w:p w:rsidR="00A354A5" w:rsidRPr="00A354A5" w:rsidRDefault="00A354A5" w:rsidP="00C307E7">
            <w:pPr>
              <w:spacing w:before="20" w:after="20"/>
              <w:jc w:val="center"/>
              <w:rPr>
                <w:b/>
                <w:sz w:val="28"/>
                <w:szCs w:val="28"/>
              </w:rPr>
            </w:pPr>
            <w:r w:rsidRPr="00A354A5">
              <w:rPr>
                <w:b/>
                <w:sz w:val="28"/>
                <w:szCs w:val="28"/>
              </w:rPr>
              <w:t>Nội dung yêu cầu</w:t>
            </w:r>
          </w:p>
        </w:tc>
        <w:tc>
          <w:tcPr>
            <w:tcW w:w="5499" w:type="dxa"/>
            <w:gridSpan w:val="2"/>
            <w:tcBorders>
              <w:top w:val="single" w:sz="4" w:space="0" w:color="auto"/>
              <w:left w:val="single" w:sz="4" w:space="0" w:color="auto"/>
              <w:bottom w:val="single" w:sz="4" w:space="0" w:color="auto"/>
              <w:right w:val="single" w:sz="4" w:space="0" w:color="auto"/>
            </w:tcBorders>
            <w:vAlign w:val="center"/>
          </w:tcPr>
          <w:p w:rsidR="00A354A5" w:rsidRPr="00A354A5" w:rsidRDefault="00A354A5" w:rsidP="00C307E7">
            <w:pPr>
              <w:spacing w:before="20" w:after="20"/>
              <w:jc w:val="center"/>
              <w:rPr>
                <w:b/>
                <w:sz w:val="28"/>
                <w:szCs w:val="28"/>
              </w:rPr>
            </w:pPr>
            <w:r w:rsidRPr="00A354A5">
              <w:rPr>
                <w:b/>
                <w:sz w:val="28"/>
                <w:szCs w:val="28"/>
              </w:rPr>
              <w:t>Mức độ đáp ứng</w:t>
            </w:r>
          </w:p>
        </w:tc>
      </w:tr>
      <w:tr w:rsidR="00A354A5" w:rsidRPr="00A354A5" w:rsidTr="00C307E7">
        <w:trPr>
          <w:trHeight w:val="291"/>
        </w:trPr>
        <w:tc>
          <w:tcPr>
            <w:tcW w:w="771" w:type="dxa"/>
            <w:vAlign w:val="center"/>
          </w:tcPr>
          <w:p w:rsidR="00A354A5" w:rsidRPr="00A354A5" w:rsidRDefault="00A354A5" w:rsidP="00C307E7">
            <w:pPr>
              <w:spacing w:before="20" w:after="20"/>
              <w:jc w:val="center"/>
              <w:rPr>
                <w:b/>
                <w:iCs/>
                <w:sz w:val="28"/>
                <w:szCs w:val="28"/>
              </w:rPr>
            </w:pPr>
            <w:r w:rsidRPr="00A354A5">
              <w:rPr>
                <w:b/>
                <w:iCs/>
                <w:sz w:val="28"/>
                <w:szCs w:val="28"/>
              </w:rPr>
              <w:t>1</w:t>
            </w:r>
          </w:p>
        </w:tc>
        <w:tc>
          <w:tcPr>
            <w:tcW w:w="9435" w:type="dxa"/>
            <w:gridSpan w:val="3"/>
            <w:vAlign w:val="center"/>
          </w:tcPr>
          <w:p w:rsidR="00A354A5" w:rsidRPr="00A354A5" w:rsidRDefault="00A354A5" w:rsidP="00C307E7">
            <w:pPr>
              <w:spacing w:before="20" w:after="20"/>
              <w:rPr>
                <w:b/>
                <w:sz w:val="28"/>
                <w:szCs w:val="28"/>
              </w:rPr>
            </w:pPr>
            <w:r w:rsidRPr="00A354A5">
              <w:rPr>
                <w:b/>
                <w:sz w:val="28"/>
                <w:szCs w:val="28"/>
              </w:rPr>
              <w:t>Tính hiệu quả của việc cung cấp dịch vụ</w:t>
            </w:r>
          </w:p>
        </w:tc>
      </w:tr>
      <w:tr w:rsidR="00A354A5" w:rsidRPr="00A354A5" w:rsidTr="00C307E7">
        <w:trPr>
          <w:trHeight w:val="521"/>
        </w:trPr>
        <w:tc>
          <w:tcPr>
            <w:tcW w:w="771" w:type="dxa"/>
            <w:vMerge w:val="restart"/>
            <w:vAlign w:val="center"/>
          </w:tcPr>
          <w:p w:rsidR="00A354A5" w:rsidRPr="00A354A5" w:rsidRDefault="00A354A5" w:rsidP="00C307E7">
            <w:pPr>
              <w:spacing w:before="20" w:after="20"/>
              <w:jc w:val="center"/>
              <w:rPr>
                <w:sz w:val="28"/>
                <w:szCs w:val="28"/>
              </w:rPr>
            </w:pPr>
          </w:p>
        </w:tc>
        <w:tc>
          <w:tcPr>
            <w:tcW w:w="3936" w:type="dxa"/>
            <w:vMerge w:val="restart"/>
            <w:vAlign w:val="center"/>
          </w:tcPr>
          <w:p w:rsidR="00A354A5" w:rsidRPr="00A354A5" w:rsidRDefault="00A354A5" w:rsidP="00C307E7">
            <w:pPr>
              <w:spacing w:before="20" w:after="20"/>
              <w:rPr>
                <w:sz w:val="28"/>
                <w:szCs w:val="28"/>
                <w:lang w:val="en-GB"/>
              </w:rPr>
            </w:pPr>
            <w:r w:rsidRPr="00A354A5">
              <w:rPr>
                <w:sz w:val="28"/>
                <w:szCs w:val="28"/>
                <w:lang w:val="en-GB"/>
              </w:rPr>
              <w:t>Cung cấp dịch vụ đầy đủ, đáp ứng mục đích, quy mô của gói thầu</w:t>
            </w:r>
          </w:p>
        </w:tc>
        <w:tc>
          <w:tcPr>
            <w:tcW w:w="3969" w:type="dxa"/>
            <w:vAlign w:val="center"/>
          </w:tcPr>
          <w:p w:rsidR="00A354A5" w:rsidRPr="00A354A5" w:rsidRDefault="00A354A5" w:rsidP="00C307E7">
            <w:pPr>
              <w:spacing w:before="20" w:after="20"/>
              <w:rPr>
                <w:sz w:val="28"/>
                <w:szCs w:val="28"/>
              </w:rPr>
            </w:pPr>
            <w:r w:rsidRPr="00A354A5">
              <w:rPr>
                <w:sz w:val="28"/>
                <w:szCs w:val="28"/>
                <w:lang w:val="en-GB"/>
              </w:rPr>
              <w:t>Nhà thầu chào đầy đủ số lượng, đúng chủng loại dịch vụ theo yêu cầu của E-HSMT</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en-GB"/>
              </w:rPr>
              <w:t>Đạt</w:t>
            </w:r>
          </w:p>
        </w:tc>
      </w:tr>
      <w:tr w:rsidR="00A354A5" w:rsidRPr="00A354A5" w:rsidTr="00C307E7">
        <w:trPr>
          <w:trHeight w:val="442"/>
        </w:trPr>
        <w:tc>
          <w:tcPr>
            <w:tcW w:w="771" w:type="dxa"/>
            <w:vMerge/>
            <w:vAlign w:val="center"/>
          </w:tcPr>
          <w:p w:rsidR="00A354A5" w:rsidRPr="00A354A5" w:rsidRDefault="00A354A5" w:rsidP="00C307E7">
            <w:pPr>
              <w:spacing w:before="20" w:after="20"/>
              <w:jc w:val="center"/>
              <w:rPr>
                <w:sz w:val="28"/>
                <w:szCs w:val="28"/>
              </w:rPr>
            </w:pPr>
          </w:p>
        </w:tc>
        <w:tc>
          <w:tcPr>
            <w:tcW w:w="3936" w:type="dxa"/>
            <w:vMerge/>
            <w:vAlign w:val="center"/>
          </w:tcPr>
          <w:p w:rsidR="00A354A5" w:rsidRPr="00A354A5" w:rsidRDefault="00A354A5" w:rsidP="00C307E7">
            <w:pPr>
              <w:spacing w:before="20" w:after="20"/>
              <w:rPr>
                <w:sz w:val="28"/>
                <w:szCs w:val="28"/>
              </w:rPr>
            </w:pPr>
          </w:p>
        </w:tc>
        <w:tc>
          <w:tcPr>
            <w:tcW w:w="3969" w:type="dxa"/>
            <w:vAlign w:val="center"/>
          </w:tcPr>
          <w:p w:rsidR="00A354A5" w:rsidRPr="00A354A5" w:rsidRDefault="00A354A5" w:rsidP="00C307E7">
            <w:pPr>
              <w:spacing w:before="20" w:after="20"/>
              <w:rPr>
                <w:sz w:val="28"/>
                <w:szCs w:val="28"/>
                <w:lang w:val="en-GB"/>
              </w:rPr>
            </w:pPr>
            <w:r w:rsidRPr="00A354A5">
              <w:rPr>
                <w:sz w:val="28"/>
                <w:szCs w:val="28"/>
                <w:lang w:val="en-GB"/>
              </w:rPr>
              <w:t>Không đầy đủ số lượng, không đúng chủng loại dịch vụ hoặc có nhưng không đáp ứng yêu cầu của E-HSMT</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en-GB"/>
              </w:rPr>
              <w:t>Không đạt</w:t>
            </w:r>
          </w:p>
        </w:tc>
      </w:tr>
      <w:tr w:rsidR="00A354A5" w:rsidRPr="00A354A5" w:rsidTr="00C307E7">
        <w:trPr>
          <w:trHeight w:val="442"/>
        </w:trPr>
        <w:tc>
          <w:tcPr>
            <w:tcW w:w="771" w:type="dxa"/>
            <w:vAlign w:val="center"/>
          </w:tcPr>
          <w:p w:rsidR="00A354A5" w:rsidRPr="00A354A5" w:rsidRDefault="00A354A5" w:rsidP="00C307E7">
            <w:pPr>
              <w:spacing w:before="20" w:after="20"/>
              <w:jc w:val="center"/>
              <w:rPr>
                <w:b/>
                <w:bCs/>
                <w:sz w:val="28"/>
                <w:szCs w:val="28"/>
              </w:rPr>
            </w:pPr>
            <w:r w:rsidRPr="00A354A5">
              <w:rPr>
                <w:b/>
                <w:bCs/>
                <w:sz w:val="28"/>
                <w:szCs w:val="28"/>
              </w:rPr>
              <w:t>2</w:t>
            </w:r>
          </w:p>
        </w:tc>
        <w:tc>
          <w:tcPr>
            <w:tcW w:w="9435" w:type="dxa"/>
            <w:gridSpan w:val="3"/>
            <w:vAlign w:val="center"/>
          </w:tcPr>
          <w:p w:rsidR="00A354A5" w:rsidRPr="00A354A5" w:rsidRDefault="00A354A5" w:rsidP="00C307E7">
            <w:pPr>
              <w:spacing w:before="20" w:after="20"/>
              <w:rPr>
                <w:b/>
                <w:bCs/>
                <w:sz w:val="28"/>
                <w:szCs w:val="28"/>
                <w:lang w:val="en-GB"/>
              </w:rPr>
            </w:pPr>
            <w:r w:rsidRPr="00A354A5">
              <w:rPr>
                <w:b/>
                <w:bCs/>
                <w:sz w:val="28"/>
                <w:szCs w:val="28"/>
              </w:rPr>
              <w:t>Mức độ hiểu biết về tính chất và mục đích công việc;</w:t>
            </w:r>
          </w:p>
        </w:tc>
      </w:tr>
      <w:tr w:rsidR="00A354A5" w:rsidRPr="00A354A5" w:rsidTr="00C307E7">
        <w:trPr>
          <w:trHeight w:val="442"/>
        </w:trPr>
        <w:tc>
          <w:tcPr>
            <w:tcW w:w="771" w:type="dxa"/>
            <w:vMerge w:val="restart"/>
            <w:vAlign w:val="center"/>
          </w:tcPr>
          <w:p w:rsidR="00A354A5" w:rsidRPr="00A354A5" w:rsidRDefault="00A354A5" w:rsidP="00C307E7">
            <w:pPr>
              <w:spacing w:before="20" w:after="20"/>
              <w:jc w:val="center"/>
              <w:rPr>
                <w:sz w:val="28"/>
                <w:szCs w:val="28"/>
              </w:rPr>
            </w:pPr>
          </w:p>
        </w:tc>
        <w:tc>
          <w:tcPr>
            <w:tcW w:w="3936" w:type="dxa"/>
            <w:vMerge w:val="restart"/>
            <w:vAlign w:val="center"/>
          </w:tcPr>
          <w:p w:rsidR="00A354A5" w:rsidRPr="00A354A5" w:rsidRDefault="00A354A5" w:rsidP="00C307E7">
            <w:pPr>
              <w:spacing w:before="20" w:after="20"/>
              <w:rPr>
                <w:sz w:val="28"/>
                <w:szCs w:val="28"/>
              </w:rPr>
            </w:pPr>
            <w:r w:rsidRPr="00A354A5">
              <w:rPr>
                <w:sz w:val="28"/>
                <w:szCs w:val="28"/>
              </w:rPr>
              <w:t>Giải pháp và phương pháp luận thể hiện mức độ hiểu biết về tính chất và mục đích của công việc thuộc phạm vi gói thầu</w:t>
            </w:r>
          </w:p>
        </w:tc>
        <w:tc>
          <w:tcPr>
            <w:tcW w:w="3969" w:type="dxa"/>
            <w:vAlign w:val="center"/>
          </w:tcPr>
          <w:p w:rsidR="00A354A5" w:rsidRPr="00A354A5" w:rsidRDefault="00A354A5" w:rsidP="00C307E7">
            <w:pPr>
              <w:spacing w:before="20" w:after="20"/>
              <w:rPr>
                <w:sz w:val="28"/>
                <w:szCs w:val="28"/>
                <w:lang w:val="en-GB"/>
              </w:rPr>
            </w:pPr>
            <w:r w:rsidRPr="00A354A5">
              <w:rPr>
                <w:sz w:val="28"/>
                <w:szCs w:val="28"/>
                <w:lang w:val="en-GB"/>
              </w:rPr>
              <w:t>Am hiểu về tính chất, phạm vi của gói thầu, mục tiêu thực hiện dịch vụ của nhà thầu phù hợp với mục tiêu gói thầu</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en-GB"/>
              </w:rPr>
              <w:t>Đạt</w:t>
            </w:r>
          </w:p>
        </w:tc>
      </w:tr>
      <w:tr w:rsidR="00A354A5" w:rsidRPr="00A354A5" w:rsidTr="00C307E7">
        <w:trPr>
          <w:trHeight w:val="442"/>
        </w:trPr>
        <w:tc>
          <w:tcPr>
            <w:tcW w:w="771" w:type="dxa"/>
            <w:vMerge/>
            <w:vAlign w:val="center"/>
          </w:tcPr>
          <w:p w:rsidR="00A354A5" w:rsidRPr="00A354A5" w:rsidRDefault="00A354A5" w:rsidP="00C307E7">
            <w:pPr>
              <w:spacing w:before="20" w:after="20"/>
              <w:jc w:val="center"/>
              <w:rPr>
                <w:sz w:val="28"/>
                <w:szCs w:val="28"/>
              </w:rPr>
            </w:pPr>
          </w:p>
        </w:tc>
        <w:tc>
          <w:tcPr>
            <w:tcW w:w="3936" w:type="dxa"/>
            <w:vMerge/>
            <w:vAlign w:val="center"/>
          </w:tcPr>
          <w:p w:rsidR="00A354A5" w:rsidRPr="00A354A5" w:rsidRDefault="00A354A5" w:rsidP="00C307E7">
            <w:pPr>
              <w:spacing w:before="20" w:after="20"/>
              <w:rPr>
                <w:sz w:val="28"/>
                <w:szCs w:val="28"/>
              </w:rPr>
            </w:pPr>
          </w:p>
        </w:tc>
        <w:tc>
          <w:tcPr>
            <w:tcW w:w="3969" w:type="dxa"/>
            <w:vAlign w:val="center"/>
          </w:tcPr>
          <w:p w:rsidR="00A354A5" w:rsidRPr="00A354A5" w:rsidRDefault="00A354A5" w:rsidP="00C307E7">
            <w:pPr>
              <w:spacing w:before="20" w:after="20"/>
              <w:rPr>
                <w:sz w:val="28"/>
                <w:szCs w:val="28"/>
                <w:lang w:val="en-GB"/>
              </w:rPr>
            </w:pPr>
            <w:r w:rsidRPr="00A354A5">
              <w:rPr>
                <w:sz w:val="28"/>
                <w:szCs w:val="28"/>
                <w:lang w:val="en-GB"/>
              </w:rPr>
              <w:t>Không am hiểu về tính chất, phạm vi của gói thầu, mục tiêu thực hiện dịch vụ chưa phù hợp với mục tiêu của gói thầu</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en-GB"/>
              </w:rPr>
              <w:t>Không đạt</w:t>
            </w:r>
          </w:p>
        </w:tc>
      </w:tr>
      <w:tr w:rsidR="00A354A5" w:rsidRPr="00A354A5" w:rsidTr="00C307E7">
        <w:trPr>
          <w:trHeight w:val="442"/>
        </w:trPr>
        <w:tc>
          <w:tcPr>
            <w:tcW w:w="771" w:type="dxa"/>
            <w:vAlign w:val="center"/>
          </w:tcPr>
          <w:p w:rsidR="00A354A5" w:rsidRPr="00A354A5" w:rsidRDefault="00A354A5" w:rsidP="00C307E7">
            <w:pPr>
              <w:spacing w:before="20" w:after="20"/>
              <w:jc w:val="center"/>
              <w:rPr>
                <w:sz w:val="28"/>
                <w:szCs w:val="28"/>
              </w:rPr>
            </w:pPr>
            <w:r w:rsidRPr="00A354A5">
              <w:rPr>
                <w:b/>
                <w:sz w:val="28"/>
                <w:szCs w:val="28"/>
                <w:lang w:val="fr-FR"/>
              </w:rPr>
              <w:t>3</w:t>
            </w:r>
          </w:p>
        </w:tc>
        <w:tc>
          <w:tcPr>
            <w:tcW w:w="9435" w:type="dxa"/>
            <w:gridSpan w:val="3"/>
          </w:tcPr>
          <w:p w:rsidR="00A354A5" w:rsidRPr="00A354A5" w:rsidRDefault="00A354A5" w:rsidP="00C307E7">
            <w:pPr>
              <w:spacing w:before="20" w:after="20"/>
              <w:rPr>
                <w:sz w:val="28"/>
                <w:szCs w:val="28"/>
                <w:lang w:val="en-GB"/>
              </w:rPr>
            </w:pPr>
            <w:r w:rsidRPr="00A354A5">
              <w:rPr>
                <w:b/>
                <w:sz w:val="28"/>
                <w:szCs w:val="28"/>
              </w:rPr>
              <w:t>Tính hợp lý và khả thi của kế hoạch, các giải pháp kỹ thuật, biện pháp tổ chức cung cấp dịch vụ</w:t>
            </w:r>
          </w:p>
        </w:tc>
      </w:tr>
      <w:tr w:rsidR="00A354A5" w:rsidRPr="00A354A5" w:rsidTr="00C307E7">
        <w:trPr>
          <w:trHeight w:val="442"/>
        </w:trPr>
        <w:tc>
          <w:tcPr>
            <w:tcW w:w="771" w:type="dxa"/>
            <w:vMerge w:val="restart"/>
            <w:vAlign w:val="center"/>
          </w:tcPr>
          <w:p w:rsidR="00A354A5" w:rsidRPr="00A354A5" w:rsidRDefault="00A354A5" w:rsidP="00C307E7">
            <w:pPr>
              <w:spacing w:before="20" w:after="20"/>
              <w:jc w:val="center"/>
              <w:rPr>
                <w:sz w:val="28"/>
                <w:szCs w:val="28"/>
              </w:rPr>
            </w:pPr>
          </w:p>
        </w:tc>
        <w:tc>
          <w:tcPr>
            <w:tcW w:w="3936" w:type="dxa"/>
            <w:vMerge w:val="restart"/>
            <w:vAlign w:val="center"/>
          </w:tcPr>
          <w:p w:rsidR="00A354A5" w:rsidRPr="00A354A5" w:rsidRDefault="00A354A5" w:rsidP="00C307E7">
            <w:pPr>
              <w:spacing w:before="20" w:after="20"/>
              <w:rPr>
                <w:sz w:val="28"/>
                <w:szCs w:val="28"/>
              </w:rPr>
            </w:pPr>
            <w:r w:rsidRPr="00A354A5">
              <w:rPr>
                <w:sz w:val="28"/>
                <w:szCs w:val="28"/>
                <w:lang w:val="en-GB"/>
              </w:rPr>
              <w:t>Trình bày kế hoạch, giải pháp kỹ thuật, biện pháp tổ chức cung cấp dịch vụ hợp lý, khả thi</w:t>
            </w:r>
          </w:p>
        </w:tc>
        <w:tc>
          <w:tcPr>
            <w:tcW w:w="3969" w:type="dxa"/>
            <w:vAlign w:val="center"/>
          </w:tcPr>
          <w:p w:rsidR="00A354A5" w:rsidRPr="00A354A5" w:rsidRDefault="00A354A5" w:rsidP="00C307E7">
            <w:pPr>
              <w:spacing w:before="20" w:after="20"/>
              <w:rPr>
                <w:sz w:val="28"/>
                <w:szCs w:val="28"/>
                <w:lang w:val="en-GB"/>
              </w:rPr>
            </w:pPr>
            <w:r w:rsidRPr="00A354A5">
              <w:rPr>
                <w:sz w:val="28"/>
                <w:szCs w:val="28"/>
              </w:rPr>
              <w:t>Có cam kết/ mô tả/ thuyết minh… về kế hoạch, giải pháp kỹ thuật, biện pháp tổ chức cung cấp dịch vụ cho từng công đoạn đáp ứng các yêu cầu kỹ thuật và phạm vi quy mô của gói thầu.</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en-GB"/>
              </w:rPr>
              <w:t>Đạt</w:t>
            </w:r>
          </w:p>
        </w:tc>
      </w:tr>
      <w:tr w:rsidR="00A354A5" w:rsidRPr="00A354A5" w:rsidTr="00C307E7">
        <w:trPr>
          <w:trHeight w:val="832"/>
        </w:trPr>
        <w:tc>
          <w:tcPr>
            <w:tcW w:w="771" w:type="dxa"/>
            <w:vMerge/>
            <w:vAlign w:val="center"/>
          </w:tcPr>
          <w:p w:rsidR="00A354A5" w:rsidRPr="00A354A5" w:rsidRDefault="00A354A5" w:rsidP="00C307E7">
            <w:pPr>
              <w:spacing w:before="20" w:after="20"/>
              <w:jc w:val="center"/>
              <w:rPr>
                <w:sz w:val="28"/>
                <w:szCs w:val="28"/>
              </w:rPr>
            </w:pPr>
          </w:p>
        </w:tc>
        <w:tc>
          <w:tcPr>
            <w:tcW w:w="3936" w:type="dxa"/>
            <w:vMerge/>
          </w:tcPr>
          <w:p w:rsidR="00A354A5" w:rsidRPr="00A354A5" w:rsidRDefault="00A354A5" w:rsidP="00C307E7">
            <w:pPr>
              <w:spacing w:before="20" w:after="20"/>
              <w:rPr>
                <w:sz w:val="28"/>
                <w:szCs w:val="28"/>
              </w:rPr>
            </w:pPr>
          </w:p>
        </w:tc>
        <w:tc>
          <w:tcPr>
            <w:tcW w:w="3969" w:type="dxa"/>
            <w:vAlign w:val="center"/>
          </w:tcPr>
          <w:p w:rsidR="00A354A5" w:rsidRPr="00A354A5" w:rsidRDefault="00A354A5" w:rsidP="00C307E7">
            <w:pPr>
              <w:spacing w:before="20" w:after="20"/>
              <w:rPr>
                <w:sz w:val="28"/>
                <w:szCs w:val="28"/>
                <w:lang w:val="en-GB"/>
              </w:rPr>
            </w:pPr>
            <w:r w:rsidRPr="00A354A5">
              <w:rPr>
                <w:sz w:val="28"/>
                <w:szCs w:val="28"/>
              </w:rPr>
              <w:t>Không cung cấp đáp ứng</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en-GB"/>
              </w:rPr>
              <w:t>Không đạt</w:t>
            </w:r>
          </w:p>
        </w:tc>
      </w:tr>
      <w:tr w:rsidR="00A354A5" w:rsidRPr="00A354A5" w:rsidTr="00C307E7">
        <w:trPr>
          <w:trHeight w:val="442"/>
        </w:trPr>
        <w:tc>
          <w:tcPr>
            <w:tcW w:w="771" w:type="dxa"/>
          </w:tcPr>
          <w:p w:rsidR="00A354A5" w:rsidRPr="00A354A5" w:rsidRDefault="00A354A5" w:rsidP="00C307E7">
            <w:pPr>
              <w:spacing w:before="20" w:after="20"/>
              <w:jc w:val="center"/>
              <w:rPr>
                <w:b/>
                <w:bCs/>
                <w:sz w:val="28"/>
                <w:szCs w:val="28"/>
              </w:rPr>
            </w:pPr>
            <w:r w:rsidRPr="00A354A5">
              <w:rPr>
                <w:b/>
                <w:bCs/>
                <w:sz w:val="28"/>
                <w:szCs w:val="28"/>
                <w:lang w:val="sv-SE"/>
              </w:rPr>
              <w:t>4</w:t>
            </w:r>
          </w:p>
        </w:tc>
        <w:tc>
          <w:tcPr>
            <w:tcW w:w="9435" w:type="dxa"/>
            <w:gridSpan w:val="3"/>
          </w:tcPr>
          <w:p w:rsidR="00A354A5" w:rsidRPr="00A354A5" w:rsidRDefault="00A354A5" w:rsidP="00C307E7">
            <w:pPr>
              <w:spacing w:before="20" w:after="20"/>
              <w:jc w:val="left"/>
              <w:rPr>
                <w:sz w:val="28"/>
                <w:szCs w:val="28"/>
                <w:lang w:val="en-GB"/>
              </w:rPr>
            </w:pPr>
            <w:r w:rsidRPr="00A354A5">
              <w:rPr>
                <w:b/>
                <w:bCs/>
                <w:iCs/>
                <w:sz w:val="28"/>
                <w:szCs w:val="28"/>
              </w:rPr>
              <w:t>Mức độ đáp ứng hệ thống đảm bảo chất lượng, phương pháp thực hiện và các yêu cầu về tiêu chuẩn thực hiện dịch vụ</w:t>
            </w:r>
          </w:p>
        </w:tc>
      </w:tr>
      <w:tr w:rsidR="00A354A5" w:rsidRPr="00A354A5" w:rsidTr="00C307E7">
        <w:trPr>
          <w:trHeight w:val="1021"/>
        </w:trPr>
        <w:tc>
          <w:tcPr>
            <w:tcW w:w="771" w:type="dxa"/>
            <w:vMerge w:val="restart"/>
          </w:tcPr>
          <w:p w:rsidR="00A354A5" w:rsidRPr="00A354A5" w:rsidRDefault="00A354A5" w:rsidP="00C307E7">
            <w:pPr>
              <w:spacing w:before="20" w:after="20"/>
              <w:jc w:val="center"/>
              <w:rPr>
                <w:sz w:val="28"/>
                <w:szCs w:val="28"/>
              </w:rPr>
            </w:pPr>
          </w:p>
        </w:tc>
        <w:tc>
          <w:tcPr>
            <w:tcW w:w="3936" w:type="dxa"/>
            <w:vMerge w:val="restart"/>
            <w:vAlign w:val="center"/>
          </w:tcPr>
          <w:p w:rsidR="00A354A5" w:rsidRPr="00A354A5" w:rsidRDefault="00A354A5" w:rsidP="00C307E7">
            <w:pPr>
              <w:widowControl w:val="0"/>
              <w:spacing w:before="40" w:after="40"/>
              <w:rPr>
                <w:sz w:val="28"/>
                <w:szCs w:val="28"/>
                <w:lang w:val="sv-SE"/>
              </w:rPr>
            </w:pPr>
            <w:r w:rsidRPr="00A354A5">
              <w:rPr>
                <w:sz w:val="28"/>
                <w:szCs w:val="28"/>
              </w:rPr>
              <w:t>Đề xuất nhân sự phù hợp với nhiệm vụ của gói thầu</w:t>
            </w:r>
          </w:p>
        </w:tc>
        <w:tc>
          <w:tcPr>
            <w:tcW w:w="3969" w:type="dxa"/>
            <w:vAlign w:val="center"/>
          </w:tcPr>
          <w:p w:rsidR="00A354A5" w:rsidRPr="00A354A5" w:rsidRDefault="00A354A5" w:rsidP="00C307E7">
            <w:pPr>
              <w:spacing w:before="20" w:after="20"/>
              <w:rPr>
                <w:sz w:val="28"/>
                <w:szCs w:val="28"/>
                <w:lang w:val="sv-SE"/>
              </w:rPr>
            </w:pPr>
            <w:r w:rsidRPr="00A354A5">
              <w:rPr>
                <w:sz w:val="28"/>
                <w:szCs w:val="28"/>
                <w:lang w:val="sv-SE"/>
              </w:rPr>
              <w:t>Có đề xuất nhân sự phù hợp, đáp ứng yêu cầu của E-HSMT.</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sv-SE"/>
              </w:rPr>
              <w:t>Đạt</w:t>
            </w:r>
          </w:p>
        </w:tc>
      </w:tr>
      <w:tr w:rsidR="00A354A5" w:rsidRPr="00A354A5" w:rsidTr="00C307E7">
        <w:trPr>
          <w:trHeight w:val="487"/>
        </w:trPr>
        <w:tc>
          <w:tcPr>
            <w:tcW w:w="771" w:type="dxa"/>
            <w:vMerge/>
          </w:tcPr>
          <w:p w:rsidR="00A354A5" w:rsidRPr="00A354A5" w:rsidRDefault="00A354A5" w:rsidP="00C307E7">
            <w:pPr>
              <w:spacing w:before="20" w:after="20"/>
              <w:jc w:val="center"/>
              <w:rPr>
                <w:sz w:val="28"/>
                <w:szCs w:val="28"/>
              </w:rPr>
            </w:pPr>
          </w:p>
        </w:tc>
        <w:tc>
          <w:tcPr>
            <w:tcW w:w="3936" w:type="dxa"/>
            <w:vMerge/>
          </w:tcPr>
          <w:p w:rsidR="00A354A5" w:rsidRPr="00A354A5" w:rsidRDefault="00A354A5" w:rsidP="00C307E7">
            <w:pPr>
              <w:spacing w:before="20" w:after="20"/>
              <w:rPr>
                <w:sz w:val="28"/>
                <w:szCs w:val="28"/>
              </w:rPr>
            </w:pPr>
          </w:p>
        </w:tc>
        <w:tc>
          <w:tcPr>
            <w:tcW w:w="3969" w:type="dxa"/>
            <w:vAlign w:val="center"/>
          </w:tcPr>
          <w:p w:rsidR="00A354A5" w:rsidRPr="00A354A5" w:rsidRDefault="00A354A5" w:rsidP="00C307E7">
            <w:pPr>
              <w:spacing w:before="20" w:after="20"/>
              <w:rPr>
                <w:sz w:val="28"/>
                <w:szCs w:val="28"/>
                <w:lang w:val="en-GB"/>
              </w:rPr>
            </w:pPr>
            <w:r w:rsidRPr="00A354A5">
              <w:rPr>
                <w:sz w:val="28"/>
                <w:szCs w:val="28"/>
                <w:lang w:val="sv-SE"/>
              </w:rPr>
              <w:t>Không đề xuất nhân sự/đề xuất nhân sự không phù hợp, không đáp ứng yêu cầu của E-HSMT.</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sv-SE"/>
              </w:rPr>
              <w:t>Không đạt</w:t>
            </w:r>
          </w:p>
        </w:tc>
      </w:tr>
      <w:tr w:rsidR="00A354A5" w:rsidRPr="00A354A5" w:rsidTr="00C307E7">
        <w:tc>
          <w:tcPr>
            <w:tcW w:w="771" w:type="dxa"/>
            <w:vAlign w:val="center"/>
          </w:tcPr>
          <w:p w:rsidR="00A354A5" w:rsidRPr="00A354A5" w:rsidRDefault="00A354A5" w:rsidP="00C307E7">
            <w:pPr>
              <w:spacing w:before="20" w:after="20"/>
              <w:jc w:val="center"/>
              <w:rPr>
                <w:b/>
                <w:sz w:val="28"/>
                <w:szCs w:val="28"/>
                <w:lang w:val="fr-FR"/>
              </w:rPr>
            </w:pPr>
            <w:r w:rsidRPr="00A354A5">
              <w:rPr>
                <w:b/>
                <w:sz w:val="28"/>
                <w:szCs w:val="28"/>
                <w:lang w:val="fr-FR"/>
              </w:rPr>
              <w:t>5</w:t>
            </w:r>
          </w:p>
        </w:tc>
        <w:tc>
          <w:tcPr>
            <w:tcW w:w="9435" w:type="dxa"/>
            <w:gridSpan w:val="3"/>
          </w:tcPr>
          <w:p w:rsidR="00A354A5" w:rsidRPr="00A354A5" w:rsidRDefault="00A354A5" w:rsidP="00C307E7">
            <w:pPr>
              <w:spacing w:before="20" w:after="20"/>
              <w:rPr>
                <w:b/>
                <w:sz w:val="28"/>
                <w:szCs w:val="28"/>
                <w:lang w:val="fr-FR"/>
              </w:rPr>
            </w:pPr>
            <w:r w:rsidRPr="00A354A5">
              <w:rPr>
                <w:b/>
                <w:bCs/>
                <w:sz w:val="28"/>
                <w:szCs w:val="28"/>
              </w:rPr>
              <w:t xml:space="preserve">Tiến độ thực hiện </w:t>
            </w:r>
          </w:p>
        </w:tc>
      </w:tr>
      <w:tr w:rsidR="00A354A5" w:rsidRPr="00A354A5" w:rsidTr="00C307E7">
        <w:trPr>
          <w:trHeight w:val="361"/>
        </w:trPr>
        <w:tc>
          <w:tcPr>
            <w:tcW w:w="771" w:type="dxa"/>
            <w:vMerge w:val="restart"/>
            <w:vAlign w:val="center"/>
          </w:tcPr>
          <w:p w:rsidR="00A354A5" w:rsidRPr="00A354A5" w:rsidRDefault="00A354A5" w:rsidP="00C307E7">
            <w:pPr>
              <w:spacing w:before="20" w:after="20"/>
              <w:rPr>
                <w:sz w:val="28"/>
                <w:szCs w:val="28"/>
                <w:lang w:val="fr-FR"/>
              </w:rPr>
            </w:pPr>
          </w:p>
        </w:tc>
        <w:tc>
          <w:tcPr>
            <w:tcW w:w="3936" w:type="dxa"/>
            <w:vMerge w:val="restart"/>
          </w:tcPr>
          <w:p w:rsidR="00A354A5" w:rsidRPr="00A354A5" w:rsidRDefault="00A354A5" w:rsidP="00C307E7">
            <w:pPr>
              <w:spacing w:before="20" w:after="20"/>
              <w:rPr>
                <w:spacing w:val="-2"/>
                <w:sz w:val="28"/>
                <w:szCs w:val="28"/>
                <w:lang w:val="fr-FR"/>
              </w:rPr>
            </w:pPr>
            <w:r w:rsidRPr="00A354A5">
              <w:rPr>
                <w:spacing w:val="-2"/>
                <w:sz w:val="28"/>
                <w:szCs w:val="28"/>
                <w:lang w:val="sv-SE"/>
              </w:rPr>
              <w:t>Bảng tiến độ cung cấp dịch vụ hợp lý, khả thi phù hợp với đề xuất kỹ thuật và đáp ứng yêu cầu của E-HSMT</w:t>
            </w:r>
          </w:p>
        </w:tc>
        <w:tc>
          <w:tcPr>
            <w:tcW w:w="3969" w:type="dxa"/>
            <w:vAlign w:val="center"/>
          </w:tcPr>
          <w:p w:rsidR="00A354A5" w:rsidRPr="00A354A5" w:rsidRDefault="00A354A5" w:rsidP="00C307E7">
            <w:pPr>
              <w:spacing w:before="20" w:after="20"/>
              <w:rPr>
                <w:sz w:val="28"/>
                <w:szCs w:val="28"/>
                <w:lang w:val="fr-FR"/>
              </w:rPr>
            </w:pPr>
            <w:r w:rsidRPr="00A354A5">
              <w:rPr>
                <w:sz w:val="28"/>
                <w:szCs w:val="28"/>
                <w:lang w:val="fr-FR"/>
              </w:rPr>
              <w:t>Có thời gian thực hiện đáp ứng yêu cầu của gói thầu</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en-GB"/>
              </w:rPr>
              <w:t>Đạt</w:t>
            </w:r>
          </w:p>
        </w:tc>
      </w:tr>
      <w:tr w:rsidR="00A354A5" w:rsidRPr="00A354A5" w:rsidTr="00C307E7">
        <w:tc>
          <w:tcPr>
            <w:tcW w:w="771" w:type="dxa"/>
            <w:vMerge/>
            <w:vAlign w:val="center"/>
          </w:tcPr>
          <w:p w:rsidR="00A354A5" w:rsidRPr="00A354A5" w:rsidRDefault="00A354A5" w:rsidP="00C307E7">
            <w:pPr>
              <w:spacing w:before="20" w:after="20"/>
              <w:jc w:val="center"/>
              <w:rPr>
                <w:sz w:val="28"/>
                <w:szCs w:val="28"/>
                <w:lang w:val="en-GB"/>
              </w:rPr>
            </w:pPr>
          </w:p>
        </w:tc>
        <w:tc>
          <w:tcPr>
            <w:tcW w:w="3936" w:type="dxa"/>
            <w:vMerge/>
          </w:tcPr>
          <w:p w:rsidR="00A354A5" w:rsidRPr="00A354A5" w:rsidRDefault="00A354A5" w:rsidP="00C307E7">
            <w:pPr>
              <w:spacing w:before="20" w:after="20"/>
              <w:rPr>
                <w:spacing w:val="-2"/>
                <w:sz w:val="28"/>
                <w:szCs w:val="28"/>
              </w:rPr>
            </w:pPr>
          </w:p>
        </w:tc>
        <w:tc>
          <w:tcPr>
            <w:tcW w:w="3969" w:type="dxa"/>
            <w:vAlign w:val="center"/>
          </w:tcPr>
          <w:p w:rsidR="00A354A5" w:rsidRPr="00A354A5" w:rsidRDefault="00A354A5" w:rsidP="00C307E7">
            <w:pPr>
              <w:spacing w:before="20" w:after="20"/>
              <w:rPr>
                <w:sz w:val="28"/>
                <w:szCs w:val="28"/>
                <w:lang w:val="en-GB"/>
              </w:rPr>
            </w:pPr>
            <w:r w:rsidRPr="00A354A5">
              <w:rPr>
                <w:sz w:val="28"/>
                <w:szCs w:val="28"/>
                <w:lang w:val="en-GB"/>
              </w:rPr>
              <w:t>Thời gian thực hiện không đáp ứng yêu cầu</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en-GB"/>
              </w:rPr>
              <w:t>Không đạt</w:t>
            </w:r>
          </w:p>
        </w:tc>
      </w:tr>
      <w:tr w:rsidR="00A354A5" w:rsidRPr="00A354A5" w:rsidTr="00C307E7">
        <w:trPr>
          <w:trHeight w:val="361"/>
        </w:trPr>
        <w:tc>
          <w:tcPr>
            <w:tcW w:w="771" w:type="dxa"/>
            <w:vMerge w:val="restart"/>
            <w:vAlign w:val="center"/>
          </w:tcPr>
          <w:p w:rsidR="00A354A5" w:rsidRPr="00A354A5" w:rsidRDefault="00A354A5" w:rsidP="00C307E7">
            <w:pPr>
              <w:spacing w:before="20" w:after="20"/>
              <w:jc w:val="center"/>
              <w:rPr>
                <w:b/>
                <w:sz w:val="28"/>
                <w:szCs w:val="28"/>
                <w:lang w:val="fr-FR"/>
              </w:rPr>
            </w:pPr>
            <w:r w:rsidRPr="00A354A5">
              <w:rPr>
                <w:b/>
                <w:sz w:val="28"/>
                <w:szCs w:val="28"/>
                <w:lang w:val="fr-FR"/>
              </w:rPr>
              <w:t>Kết luận</w:t>
            </w:r>
          </w:p>
        </w:tc>
        <w:tc>
          <w:tcPr>
            <w:tcW w:w="7905" w:type="dxa"/>
            <w:gridSpan w:val="2"/>
            <w:vAlign w:val="center"/>
          </w:tcPr>
          <w:p w:rsidR="00A354A5" w:rsidRPr="00A354A5" w:rsidRDefault="00A354A5" w:rsidP="00C307E7">
            <w:pPr>
              <w:spacing w:before="20" w:after="20"/>
              <w:jc w:val="left"/>
              <w:rPr>
                <w:b/>
                <w:sz w:val="28"/>
                <w:szCs w:val="28"/>
                <w:lang w:val="fr-FR"/>
              </w:rPr>
            </w:pPr>
            <w:r w:rsidRPr="00A354A5">
              <w:rPr>
                <w:b/>
                <w:sz w:val="28"/>
                <w:szCs w:val="28"/>
                <w:lang w:val="fr-FR"/>
              </w:rPr>
              <w:t>Các tiêu chuẩn trên được xác định là đạt hoặc chấp nhận được</w:t>
            </w:r>
          </w:p>
        </w:tc>
        <w:tc>
          <w:tcPr>
            <w:tcW w:w="1530" w:type="dxa"/>
            <w:vAlign w:val="center"/>
          </w:tcPr>
          <w:p w:rsidR="00A354A5" w:rsidRPr="00A354A5" w:rsidRDefault="00A354A5" w:rsidP="00C307E7">
            <w:pPr>
              <w:spacing w:before="20" w:after="20"/>
              <w:jc w:val="center"/>
              <w:rPr>
                <w:b/>
                <w:sz w:val="28"/>
                <w:szCs w:val="28"/>
                <w:lang w:val="en-GB"/>
              </w:rPr>
            </w:pPr>
            <w:r w:rsidRPr="00A354A5">
              <w:rPr>
                <w:b/>
                <w:sz w:val="28"/>
                <w:szCs w:val="28"/>
                <w:lang w:val="en-GB"/>
              </w:rPr>
              <w:t>Đạt</w:t>
            </w:r>
          </w:p>
        </w:tc>
      </w:tr>
      <w:tr w:rsidR="00A354A5" w:rsidRPr="00A354A5" w:rsidTr="00C307E7">
        <w:trPr>
          <w:trHeight w:val="365"/>
        </w:trPr>
        <w:tc>
          <w:tcPr>
            <w:tcW w:w="771" w:type="dxa"/>
            <w:vMerge/>
            <w:vAlign w:val="center"/>
          </w:tcPr>
          <w:p w:rsidR="00A354A5" w:rsidRPr="00A354A5" w:rsidRDefault="00A354A5" w:rsidP="00C307E7">
            <w:pPr>
              <w:spacing w:before="20" w:after="20"/>
              <w:jc w:val="center"/>
              <w:rPr>
                <w:sz w:val="28"/>
                <w:szCs w:val="28"/>
                <w:lang w:val="en-GB"/>
              </w:rPr>
            </w:pPr>
          </w:p>
        </w:tc>
        <w:tc>
          <w:tcPr>
            <w:tcW w:w="7905" w:type="dxa"/>
            <w:gridSpan w:val="2"/>
            <w:vAlign w:val="center"/>
          </w:tcPr>
          <w:p w:rsidR="00A354A5" w:rsidRPr="00A354A5" w:rsidRDefault="00A354A5" w:rsidP="00C307E7">
            <w:pPr>
              <w:spacing w:before="20" w:after="20"/>
              <w:jc w:val="left"/>
              <w:rPr>
                <w:b/>
                <w:sz w:val="28"/>
                <w:szCs w:val="28"/>
                <w:lang w:val="en-GB"/>
              </w:rPr>
            </w:pPr>
            <w:r w:rsidRPr="00A354A5">
              <w:rPr>
                <w:b/>
                <w:sz w:val="28"/>
                <w:szCs w:val="28"/>
                <w:lang w:val="en-GB"/>
              </w:rPr>
              <w:t>Không thuộc các trường hợp trên</w:t>
            </w:r>
          </w:p>
        </w:tc>
        <w:tc>
          <w:tcPr>
            <w:tcW w:w="1530" w:type="dxa"/>
            <w:vAlign w:val="center"/>
          </w:tcPr>
          <w:p w:rsidR="00A354A5" w:rsidRPr="00A354A5" w:rsidRDefault="00A354A5" w:rsidP="00C307E7">
            <w:pPr>
              <w:spacing w:before="20" w:after="20"/>
              <w:jc w:val="center"/>
              <w:rPr>
                <w:b/>
                <w:sz w:val="28"/>
                <w:szCs w:val="28"/>
                <w:lang w:val="en-GB"/>
              </w:rPr>
            </w:pPr>
            <w:r w:rsidRPr="00A354A5">
              <w:rPr>
                <w:b/>
                <w:sz w:val="28"/>
                <w:szCs w:val="28"/>
                <w:lang w:val="en-GB"/>
              </w:rPr>
              <w:t>Không đạt</w:t>
            </w:r>
          </w:p>
        </w:tc>
      </w:tr>
    </w:tbl>
    <w:p w:rsidR="00A354A5" w:rsidRPr="00A354A5" w:rsidRDefault="00A354A5" w:rsidP="00A354A5">
      <w:pPr>
        <w:spacing w:before="120" w:after="120"/>
        <w:ind w:firstLine="709"/>
        <w:outlineLvl w:val="1"/>
        <w:rPr>
          <w:b/>
          <w:sz w:val="28"/>
          <w:szCs w:val="28"/>
        </w:rPr>
      </w:pPr>
      <w:bookmarkStart w:id="1" w:name="_Toc399947674"/>
      <w:r w:rsidRPr="00A354A5">
        <w:rPr>
          <w:b/>
          <w:sz w:val="28"/>
          <w:szCs w:val="28"/>
        </w:rPr>
        <w:t xml:space="preserve">Mục 4.  Tiêu chuẩn đánh giá về </w:t>
      </w:r>
      <w:bookmarkEnd w:id="1"/>
      <w:r w:rsidRPr="00A354A5">
        <w:rPr>
          <w:b/>
          <w:sz w:val="28"/>
          <w:szCs w:val="28"/>
        </w:rPr>
        <w:t>tài chính</w:t>
      </w:r>
    </w:p>
    <w:p w:rsidR="00A354A5" w:rsidRPr="00A354A5" w:rsidRDefault="00A354A5" w:rsidP="00A354A5">
      <w:pPr>
        <w:spacing w:before="120" w:after="120"/>
        <w:ind w:firstLine="709"/>
        <w:rPr>
          <w:sz w:val="28"/>
          <w:szCs w:val="28"/>
        </w:rPr>
      </w:pPr>
      <w:r w:rsidRPr="00A354A5">
        <w:rPr>
          <w:sz w:val="28"/>
          <w:szCs w:val="28"/>
        </w:rPr>
        <w:t>Căn cứ tính chất, quy mô của từng gói thầu cụ thể mà lựa chọn một trong các phương pháp dưới đây cho phù hợp:</w:t>
      </w:r>
    </w:p>
    <w:p w:rsidR="00A354A5" w:rsidRPr="00A354A5" w:rsidRDefault="00A354A5" w:rsidP="00A354A5">
      <w:pPr>
        <w:spacing w:before="120" w:after="120"/>
        <w:ind w:firstLine="709"/>
        <w:outlineLvl w:val="2"/>
        <w:rPr>
          <w:b/>
          <w:sz w:val="28"/>
          <w:szCs w:val="28"/>
        </w:rPr>
      </w:pPr>
      <w:r w:rsidRPr="00A354A5">
        <w:rPr>
          <w:b/>
          <w:sz w:val="28"/>
          <w:szCs w:val="28"/>
        </w:rPr>
        <w:t>4.1. Phương pháp giá thấp nhất</w:t>
      </w:r>
      <w:r w:rsidRPr="00A354A5">
        <w:rPr>
          <w:rStyle w:val="FootnoteReference"/>
          <w:sz w:val="28"/>
          <w:szCs w:val="28"/>
        </w:rPr>
        <w:footnoteReference w:id="2"/>
      </w:r>
      <w:r w:rsidRPr="00A354A5">
        <w:rPr>
          <w:b/>
          <w:sz w:val="28"/>
          <w:szCs w:val="28"/>
        </w:rPr>
        <w:t>:</w:t>
      </w:r>
    </w:p>
    <w:p w:rsidR="00A354A5" w:rsidRPr="00A354A5" w:rsidRDefault="00A354A5" w:rsidP="00A354A5">
      <w:pPr>
        <w:spacing w:before="120" w:after="120"/>
        <w:ind w:firstLine="709"/>
        <w:rPr>
          <w:sz w:val="28"/>
          <w:szCs w:val="28"/>
        </w:rPr>
      </w:pPr>
      <w:r w:rsidRPr="00A354A5">
        <w:rPr>
          <w:sz w:val="28"/>
          <w:szCs w:val="28"/>
        </w:rPr>
        <w:t>Cách xác định giá thấp nhất theo các bước sau đây:</w:t>
      </w:r>
    </w:p>
    <w:p w:rsidR="00A354A5" w:rsidRPr="00A354A5" w:rsidRDefault="00A354A5" w:rsidP="00A354A5">
      <w:pPr>
        <w:tabs>
          <w:tab w:val="left" w:pos="993"/>
        </w:tabs>
        <w:spacing w:before="120" w:after="120"/>
        <w:ind w:firstLine="709"/>
        <w:jc w:val="left"/>
        <w:rPr>
          <w:sz w:val="28"/>
          <w:szCs w:val="28"/>
        </w:rPr>
      </w:pPr>
      <w:r w:rsidRPr="00A354A5">
        <w:rPr>
          <w:sz w:val="28"/>
          <w:szCs w:val="28"/>
        </w:rPr>
        <w:t>Bước 1. Xác định giá dự thầu, trừ đi giá trị giảm giá (nếu có);</w:t>
      </w:r>
    </w:p>
    <w:p w:rsidR="00A354A5" w:rsidRPr="00A354A5" w:rsidRDefault="00A354A5" w:rsidP="00A354A5">
      <w:pPr>
        <w:pStyle w:val="Sub-ClauseText"/>
        <w:tabs>
          <w:tab w:val="left" w:pos="993"/>
        </w:tabs>
        <w:ind w:firstLine="709"/>
        <w:rPr>
          <w:sz w:val="28"/>
          <w:szCs w:val="28"/>
        </w:rPr>
      </w:pPr>
      <w:r w:rsidRPr="00A354A5">
        <w:rPr>
          <w:sz w:val="28"/>
          <w:szCs w:val="28"/>
        </w:rPr>
        <w:t>Bước 2. Xác định ưu đãi (nếu có) theo quy định tại Mục 28 E-CDNT</w:t>
      </w:r>
    </w:p>
    <w:p w:rsidR="00A354A5" w:rsidRPr="00A354A5" w:rsidRDefault="00A354A5" w:rsidP="00A354A5">
      <w:pPr>
        <w:widowControl w:val="0"/>
        <w:tabs>
          <w:tab w:val="left" w:pos="993"/>
        </w:tabs>
        <w:spacing w:before="120" w:after="120"/>
        <w:ind w:firstLine="709"/>
        <w:rPr>
          <w:sz w:val="28"/>
          <w:szCs w:val="28"/>
        </w:rPr>
      </w:pPr>
      <w:r w:rsidRPr="00A354A5">
        <w:rPr>
          <w:sz w:val="28"/>
          <w:szCs w:val="28"/>
        </w:rPr>
        <w:t>Bước 3. Xếp hạng nhà thầu: E-HSDT có giá dự thầu, trừ đi giá trị giảm giá (nếu có), sau ưu đãi (nếu có) thấp nhất được xếp hạng thứ nhất.</w:t>
      </w:r>
    </w:p>
    <w:p w:rsidR="00A354A5" w:rsidRPr="00A354A5" w:rsidRDefault="00A354A5" w:rsidP="00A354A5">
      <w:pPr>
        <w:widowControl w:val="0"/>
        <w:tabs>
          <w:tab w:val="left" w:pos="993"/>
        </w:tabs>
        <w:spacing w:before="120" w:after="120"/>
        <w:ind w:firstLine="709"/>
        <w:rPr>
          <w:b/>
          <w:bCs/>
          <w:color w:val="0000FF"/>
          <w:sz w:val="28"/>
          <w:szCs w:val="28"/>
          <w:lang w:val="es-ES"/>
        </w:rPr>
      </w:pPr>
      <w:r w:rsidRPr="00A354A5">
        <w:rPr>
          <w:b/>
          <w:bCs/>
          <w:color w:val="0000FF"/>
          <w:sz w:val="28"/>
          <w:szCs w:val="28"/>
          <w:lang w:val="es-ES"/>
        </w:rPr>
        <w:t>Ghi chú:</w:t>
      </w:r>
    </w:p>
    <w:p w:rsidR="00A354A5" w:rsidRPr="00A354A5" w:rsidRDefault="00A354A5" w:rsidP="00A354A5">
      <w:pPr>
        <w:widowControl w:val="0"/>
        <w:tabs>
          <w:tab w:val="left" w:pos="993"/>
        </w:tabs>
        <w:spacing w:before="120" w:after="120"/>
        <w:ind w:firstLine="709"/>
        <w:rPr>
          <w:b/>
          <w:color w:val="0000FF"/>
          <w:sz w:val="28"/>
          <w:szCs w:val="28"/>
          <w:lang w:val="es-ES"/>
        </w:rPr>
      </w:pPr>
      <w:r w:rsidRPr="00A354A5">
        <w:rPr>
          <w:b/>
          <w:color w:val="0000FF"/>
          <w:sz w:val="28"/>
          <w:szCs w:val="28"/>
          <w:lang w:val="es-ES"/>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rsidR="00A354A5" w:rsidRPr="00A354A5" w:rsidRDefault="00A354A5" w:rsidP="00A354A5">
      <w:pPr>
        <w:widowControl w:val="0"/>
        <w:tabs>
          <w:tab w:val="left" w:pos="993"/>
        </w:tabs>
        <w:spacing w:before="120" w:after="120"/>
        <w:ind w:firstLine="709"/>
        <w:rPr>
          <w:b/>
          <w:color w:val="0000FF"/>
          <w:sz w:val="28"/>
          <w:szCs w:val="28"/>
          <w:lang w:val="es-ES"/>
        </w:rPr>
      </w:pPr>
      <w:r w:rsidRPr="00A354A5">
        <w:rPr>
          <w:b/>
          <w:color w:val="0000FF"/>
          <w:sz w:val="28"/>
          <w:szCs w:val="28"/>
          <w:lang w:val="es-ES"/>
        </w:rPr>
        <w:t>- Thuế VAT trong dự toán gói thầu duyệt là 10%. Việc đánh giá xếp hạng các E-HSDT và so sánh với dự toán gói thầu sẽ được tính theo mặt bằng thuế VAT 10%.</w:t>
      </w:r>
    </w:p>
    <w:p w:rsidR="00A354A5" w:rsidRPr="00A354A5" w:rsidRDefault="00A354A5" w:rsidP="00A354A5">
      <w:pPr>
        <w:widowControl w:val="0"/>
        <w:tabs>
          <w:tab w:val="left" w:pos="993"/>
        </w:tabs>
        <w:spacing w:before="120" w:after="120"/>
        <w:ind w:firstLine="709"/>
        <w:rPr>
          <w:b/>
          <w:color w:val="0000FF"/>
          <w:sz w:val="28"/>
          <w:szCs w:val="28"/>
          <w:lang w:val="es-ES"/>
        </w:rPr>
      </w:pPr>
      <w:r w:rsidRPr="00A354A5">
        <w:rPr>
          <w:b/>
          <w:color w:val="0000FF"/>
          <w:sz w:val="28"/>
          <w:szCs w:val="28"/>
          <w:lang w:val="es-ES"/>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bookmarkEnd w:id="0"/>
    <w:p w:rsidR="00F35828" w:rsidRPr="00A354A5" w:rsidRDefault="00F35828">
      <w:pPr>
        <w:rPr>
          <w:sz w:val="28"/>
          <w:szCs w:val="28"/>
        </w:rPr>
      </w:pPr>
    </w:p>
    <w:sectPr w:rsidR="00F35828" w:rsidRPr="00A354A5" w:rsidSect="00535EA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FBC" w:rsidRDefault="00DA6FBC" w:rsidP="00A354A5">
      <w:r>
        <w:separator/>
      </w:r>
    </w:p>
  </w:endnote>
  <w:endnote w:type="continuationSeparator" w:id="0">
    <w:p w:rsidR="00DA6FBC" w:rsidRDefault="00DA6FBC" w:rsidP="00A3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FBC" w:rsidRDefault="00DA6FBC" w:rsidP="00A354A5">
      <w:r>
        <w:separator/>
      </w:r>
    </w:p>
  </w:footnote>
  <w:footnote w:type="continuationSeparator" w:id="0">
    <w:p w:rsidR="00DA6FBC" w:rsidRDefault="00DA6FBC" w:rsidP="00A354A5">
      <w:r>
        <w:continuationSeparator/>
      </w:r>
    </w:p>
  </w:footnote>
  <w:footnote w:id="1">
    <w:p w:rsidR="00A354A5" w:rsidRPr="005576C5" w:rsidRDefault="00A354A5" w:rsidP="00A354A5">
      <w:pPr>
        <w:pStyle w:val="FootnoteText"/>
        <w:tabs>
          <w:tab w:val="clear" w:pos="360"/>
        </w:tabs>
        <w:spacing w:before="60" w:after="60"/>
        <w:ind w:left="0" w:right="49" w:firstLine="0"/>
        <w:rPr>
          <w:lang w:val="en-US"/>
        </w:rPr>
      </w:pPr>
      <w:r w:rsidRPr="008110CC">
        <w:rPr>
          <w:rStyle w:val="FootnoteReference"/>
        </w:rPr>
        <w:footnoteRef/>
      </w:r>
      <w:r w:rsidRPr="005576C5">
        <w:rPr>
          <w:lang w:val="en-US"/>
        </w:rPr>
        <w:t xml:space="preserve"> Trường hợp áp dụng phương pháp này thì xoá bỏ Khoản 3.1. Đánh giá theo phương pháp chấm điểm.</w:t>
      </w:r>
    </w:p>
  </w:footnote>
  <w:footnote w:id="2">
    <w:p w:rsidR="00A354A5" w:rsidRPr="005576C5" w:rsidRDefault="00A354A5" w:rsidP="00A354A5">
      <w:pPr>
        <w:pStyle w:val="FootnoteText"/>
        <w:tabs>
          <w:tab w:val="clear" w:pos="360"/>
        </w:tabs>
        <w:spacing w:before="60" w:after="60"/>
        <w:ind w:left="0" w:right="49" w:firstLine="0"/>
        <w:rPr>
          <w:lang w:val="en-US"/>
        </w:rPr>
      </w:pPr>
      <w:r w:rsidRPr="008110CC">
        <w:rPr>
          <w:rStyle w:val="FootnoteReference"/>
        </w:rPr>
        <w:footnoteRef/>
      </w:r>
      <w:r w:rsidRPr="005576C5">
        <w:rPr>
          <w:lang w:val="en-US"/>
        </w:rPr>
        <w:t xml:space="preserve"> </w:t>
      </w:r>
      <w:r w:rsidRPr="008110CC">
        <w:rPr>
          <w:lang w:val="vi-VN"/>
        </w:rPr>
        <w:t xml:space="preserve">Trường hợp áp dụng </w:t>
      </w:r>
      <w:r w:rsidRPr="005576C5">
        <w:rPr>
          <w:lang w:val="en-US"/>
        </w:rPr>
        <w:t>phương pháp này thì xóa bỏ Khoản 4.2. Phương pháp giá đánh giá.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A5"/>
    <w:rsid w:val="00535EA9"/>
    <w:rsid w:val="00A354A5"/>
    <w:rsid w:val="00DA6FBC"/>
    <w:rsid w:val="00F3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C6022-9381-4EA7-A727-320BB7F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4A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jc w:val="left"/>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A354A5"/>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A354A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A354A5"/>
    <w:rPr>
      <w:vertAlign w:val="superscript"/>
    </w:rPr>
  </w:style>
  <w:style w:type="paragraph" w:customStyle="1" w:styleId="Sub-ClauseText">
    <w:name w:val="Sub-Clause Text"/>
    <w:basedOn w:val="Normal"/>
    <w:rsid w:val="00A354A5"/>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NganHT</dc:creator>
  <cp:keywords/>
  <dc:description/>
  <cp:lastModifiedBy>NganHT</cp:lastModifiedBy>
  <cp:revision>1</cp:revision>
  <dcterms:created xsi:type="dcterms:W3CDTF">2025-11-24T10:31:00Z</dcterms:created>
  <dcterms:modified xsi:type="dcterms:W3CDTF">2025-11-24T10:31:00Z</dcterms:modified>
</cp:coreProperties>
</file>