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F1E18" w14:textId="77777777" w:rsidR="00793A7F" w:rsidRPr="00793A7F" w:rsidRDefault="00357B1F" w:rsidP="00793A7F">
      <w:pPr>
        <w:jc w:val="center"/>
        <w:outlineLvl w:val="0"/>
        <w:rPr>
          <w:b/>
          <w:sz w:val="28"/>
          <w:szCs w:val="28"/>
          <w:lang w:val="nl-NL"/>
        </w:rPr>
      </w:pPr>
      <w:r w:rsidRPr="00793A7F">
        <w:rPr>
          <w:b/>
          <w:sz w:val="28"/>
          <w:szCs w:val="28"/>
          <w:lang w:val="nl-NL"/>
        </w:rPr>
        <w:t>PHẦN 2. YÊU CẦU VỀ KỸ THUẬT</w:t>
      </w:r>
    </w:p>
    <w:p w14:paraId="10E22EFA" w14:textId="77777777" w:rsidR="00793A7F" w:rsidRPr="00793A7F" w:rsidRDefault="00793A7F" w:rsidP="00793A7F">
      <w:pPr>
        <w:widowControl w:val="0"/>
        <w:spacing w:before="120" w:after="120" w:line="264" w:lineRule="auto"/>
        <w:jc w:val="center"/>
        <w:outlineLvl w:val="1"/>
        <w:rPr>
          <w:sz w:val="28"/>
          <w:szCs w:val="28"/>
          <w:lang w:val="nl-NL"/>
        </w:rPr>
      </w:pPr>
      <w:r w:rsidRPr="00793A7F">
        <w:rPr>
          <w:b/>
          <w:sz w:val="28"/>
          <w:szCs w:val="28"/>
          <w:lang w:val="nl-NL"/>
        </w:rPr>
        <w:t>Chương V. YÊU CẦU VỀ KỸ THUẬT</w:t>
      </w:r>
    </w:p>
    <w:p w14:paraId="5030ED08" w14:textId="77777777" w:rsidR="00793A7F" w:rsidRPr="00793A7F" w:rsidRDefault="00793A7F" w:rsidP="00793A7F">
      <w:pPr>
        <w:pStyle w:val="Subtitle"/>
        <w:rPr>
          <w:sz w:val="20"/>
          <w:szCs w:val="32"/>
          <w:lang w:val="nl-NL"/>
        </w:rPr>
      </w:pPr>
    </w:p>
    <w:p w14:paraId="00023F4D" w14:textId="77777777" w:rsidR="00793A7F" w:rsidRPr="00793A7F" w:rsidRDefault="00793A7F" w:rsidP="00D710C1">
      <w:pPr>
        <w:pStyle w:val="SectionVIHeader"/>
        <w:widowControl w:val="0"/>
        <w:spacing w:after="120"/>
        <w:ind w:firstLine="709"/>
        <w:jc w:val="both"/>
        <w:rPr>
          <w:sz w:val="28"/>
          <w:szCs w:val="28"/>
          <w:lang w:val="nl-NL"/>
        </w:rPr>
      </w:pPr>
      <w:r w:rsidRPr="00793A7F">
        <w:rPr>
          <w:sz w:val="28"/>
          <w:szCs w:val="28"/>
          <w:lang w:val="nl-NL"/>
        </w:rPr>
        <w:t>Mục 1. Yêu cầu về kỹ thuật</w:t>
      </w:r>
    </w:p>
    <w:p w14:paraId="714315F5" w14:textId="77777777" w:rsidR="00793A7F" w:rsidRPr="00793A7F" w:rsidRDefault="00793A7F" w:rsidP="00D710C1">
      <w:pPr>
        <w:widowControl w:val="0"/>
        <w:spacing w:before="120" w:after="120"/>
        <w:ind w:firstLine="709"/>
        <w:rPr>
          <w:b/>
          <w:i/>
          <w:sz w:val="28"/>
          <w:szCs w:val="28"/>
          <w:lang w:val="nl-NL"/>
        </w:rPr>
      </w:pPr>
      <w:r w:rsidRPr="00793A7F">
        <w:rPr>
          <w:b/>
          <w:i/>
          <w:sz w:val="28"/>
          <w:szCs w:val="28"/>
          <w:lang w:val="nl-NL"/>
        </w:rPr>
        <w:t>1.1. Giới thiệu chung về dự án/</w:t>
      </w:r>
      <w:r w:rsidRPr="00793A7F">
        <w:rPr>
          <w:b/>
          <w:i/>
          <w:sz w:val="28"/>
          <w:szCs w:val="28"/>
        </w:rPr>
        <w:t>dự toán mua sắm</w:t>
      </w:r>
      <w:r w:rsidRPr="00793A7F">
        <w:rPr>
          <w:b/>
          <w:i/>
          <w:sz w:val="28"/>
          <w:szCs w:val="28"/>
          <w:lang w:val="nl-NL"/>
        </w:rPr>
        <w:t>, gói thầu</w:t>
      </w:r>
    </w:p>
    <w:p w14:paraId="35AE3F8F" w14:textId="77777777" w:rsidR="00793A7F" w:rsidRPr="00793A7F" w:rsidRDefault="00793A7F" w:rsidP="00D710C1">
      <w:pPr>
        <w:autoSpaceDE w:val="0"/>
        <w:autoSpaceDN w:val="0"/>
        <w:adjustRightInd w:val="0"/>
        <w:spacing w:before="120" w:after="20"/>
        <w:ind w:firstLine="720"/>
        <w:rPr>
          <w:b/>
          <w:sz w:val="27"/>
          <w:szCs w:val="27"/>
        </w:rPr>
      </w:pPr>
      <w:bookmarkStart w:id="0" w:name="_Hlk154743134"/>
      <w:r w:rsidRPr="00793A7F">
        <w:rPr>
          <w:b/>
          <w:sz w:val="27"/>
          <w:szCs w:val="27"/>
        </w:rPr>
        <w:t xml:space="preserve">a. Giới thiệu chung về </w:t>
      </w:r>
      <w:r w:rsidRPr="00793A7F">
        <w:rPr>
          <w:b/>
          <w:bCs/>
          <w:sz w:val="27"/>
          <w:szCs w:val="27"/>
        </w:rPr>
        <w:t>hạng mục</w:t>
      </w:r>
      <w:r w:rsidRPr="00793A7F">
        <w:rPr>
          <w:b/>
          <w:sz w:val="27"/>
          <w:szCs w:val="27"/>
        </w:rPr>
        <w:t>:</w:t>
      </w:r>
    </w:p>
    <w:p w14:paraId="78C91368" w14:textId="74B14AE1" w:rsidR="00793A7F" w:rsidRPr="00793A7F" w:rsidRDefault="00793A7F" w:rsidP="00D710C1">
      <w:pPr>
        <w:pStyle w:val="BodyTextIndent"/>
        <w:spacing w:before="120" w:after="20"/>
        <w:ind w:left="0" w:firstLine="720"/>
        <w:rPr>
          <w:bCs/>
          <w:sz w:val="27"/>
          <w:szCs w:val="27"/>
        </w:rPr>
      </w:pPr>
      <w:r w:rsidRPr="00793A7F">
        <w:rPr>
          <w:bCs/>
          <w:sz w:val="27"/>
          <w:szCs w:val="27"/>
        </w:rPr>
        <w:t xml:space="preserve">- Hạng mục: </w:t>
      </w:r>
      <w:r w:rsidR="008233C4">
        <w:rPr>
          <w:bCs/>
          <w:sz w:val="27"/>
          <w:szCs w:val="27"/>
        </w:rPr>
        <w:t>Mua máy tính xách tay phục vụ công việc</w:t>
      </w:r>
      <w:r w:rsidRPr="00793A7F">
        <w:rPr>
          <w:bCs/>
          <w:sz w:val="27"/>
          <w:szCs w:val="27"/>
        </w:rPr>
        <w:t>.</w:t>
      </w:r>
    </w:p>
    <w:p w14:paraId="54FA8167" w14:textId="77777777" w:rsidR="00793A7F" w:rsidRPr="00793A7F" w:rsidRDefault="00793A7F" w:rsidP="00D710C1">
      <w:pPr>
        <w:pStyle w:val="BodyTextIndent"/>
        <w:spacing w:before="120" w:after="20"/>
        <w:ind w:left="0" w:firstLine="720"/>
        <w:rPr>
          <w:bCs/>
          <w:sz w:val="27"/>
          <w:szCs w:val="27"/>
        </w:rPr>
      </w:pPr>
      <w:r w:rsidRPr="00793A7F">
        <w:rPr>
          <w:bCs/>
          <w:sz w:val="27"/>
          <w:szCs w:val="27"/>
        </w:rPr>
        <w:t xml:space="preserve">- Chủ đầu tư: </w:t>
      </w:r>
      <w:r w:rsidR="00D04E6B">
        <w:rPr>
          <w:bCs/>
          <w:sz w:val="27"/>
          <w:szCs w:val="27"/>
        </w:rPr>
        <w:t>Công ty TNHH MTV Petrolimex Quảng Ninh</w:t>
      </w:r>
      <w:r w:rsidRPr="00793A7F">
        <w:rPr>
          <w:bCs/>
          <w:sz w:val="27"/>
          <w:szCs w:val="27"/>
        </w:rPr>
        <w:t>.</w:t>
      </w:r>
    </w:p>
    <w:p w14:paraId="294339BD" w14:textId="77777777" w:rsidR="00793A7F" w:rsidRPr="00D04E6B" w:rsidRDefault="00793A7F" w:rsidP="00D710C1">
      <w:pPr>
        <w:pStyle w:val="BodyTextIndent"/>
        <w:spacing w:before="120" w:after="20"/>
        <w:ind w:left="0" w:firstLine="720"/>
        <w:rPr>
          <w:bCs/>
          <w:sz w:val="27"/>
          <w:szCs w:val="27"/>
        </w:rPr>
      </w:pPr>
      <w:r w:rsidRPr="00793A7F">
        <w:rPr>
          <w:bCs/>
          <w:sz w:val="27"/>
          <w:szCs w:val="27"/>
        </w:rPr>
        <w:t xml:space="preserve">- Mục tiêu đầu tư: </w:t>
      </w:r>
      <w:r w:rsidR="00D04E6B" w:rsidRPr="00D04E6B">
        <w:rPr>
          <w:bCs/>
          <w:sz w:val="27"/>
          <w:szCs w:val="27"/>
        </w:rPr>
        <w:t>Trang bị 05 máy tính xách tay cho các thành viên Tổ giám sát hóa đơn điện tử thuộc phòng Kinh doanh (01 máy tính xách tay), phòng Kế toán – Tài chính (02 máy tính xách tay) và phòng CNTT-TĐH (02 máy tính xách tay).</w:t>
      </w:r>
    </w:p>
    <w:p w14:paraId="130AE207" w14:textId="77777777" w:rsidR="00D04E6B" w:rsidRPr="00D04E6B" w:rsidRDefault="00793A7F" w:rsidP="00D710C1">
      <w:pPr>
        <w:pStyle w:val="BodyTextIndent"/>
        <w:spacing w:before="120" w:after="120"/>
        <w:ind w:left="0" w:firstLine="720"/>
        <w:rPr>
          <w:sz w:val="27"/>
          <w:szCs w:val="27"/>
        </w:rPr>
      </w:pPr>
      <w:r w:rsidRPr="00793A7F">
        <w:rPr>
          <w:sz w:val="27"/>
          <w:szCs w:val="27"/>
        </w:rPr>
        <w:t>- Quy mô đầu tư:</w:t>
      </w:r>
      <w:r w:rsidR="00D04E6B">
        <w:rPr>
          <w:sz w:val="27"/>
          <w:szCs w:val="27"/>
        </w:rPr>
        <w:t xml:space="preserve"> </w:t>
      </w:r>
      <w:r w:rsidR="00D04E6B" w:rsidRPr="00D04E6B">
        <w:rPr>
          <w:bCs/>
          <w:sz w:val="27"/>
          <w:szCs w:val="27"/>
        </w:rPr>
        <w:t>Mua sắm máy tính xách tay trang bị cho cán bộ nhân viên thuộc tổ giám sát hóa đơn điện tử tại các Cửa hàng xăng dầu.</w:t>
      </w:r>
    </w:p>
    <w:p w14:paraId="238DDC45" w14:textId="77777777" w:rsidR="00793A7F" w:rsidRPr="00793A7F" w:rsidRDefault="00793A7F" w:rsidP="00D710C1">
      <w:pPr>
        <w:pStyle w:val="BodyTextIndent"/>
        <w:spacing w:before="120" w:after="20"/>
        <w:ind w:left="0" w:firstLine="720"/>
        <w:rPr>
          <w:sz w:val="27"/>
          <w:szCs w:val="27"/>
        </w:rPr>
      </w:pPr>
      <w:r w:rsidRPr="00793A7F">
        <w:rPr>
          <w:sz w:val="27"/>
          <w:szCs w:val="27"/>
        </w:rPr>
        <w:t xml:space="preserve">- Địa điểm đầu tư: Trụ sở Petrolimex Quảng Ninh: Khu </w:t>
      </w:r>
      <w:r w:rsidR="00D11420">
        <w:rPr>
          <w:sz w:val="27"/>
          <w:szCs w:val="27"/>
        </w:rPr>
        <w:t>1</w:t>
      </w:r>
      <w:r w:rsidRPr="00793A7F">
        <w:rPr>
          <w:sz w:val="27"/>
          <w:szCs w:val="27"/>
        </w:rPr>
        <w:t>, phường Bãi Cháy, tỉnh Quảng Ninh.</w:t>
      </w:r>
    </w:p>
    <w:p w14:paraId="1447FF9D" w14:textId="58224AE9" w:rsidR="00793A7F" w:rsidRPr="00793A7F" w:rsidRDefault="00793A7F" w:rsidP="00D710C1">
      <w:pPr>
        <w:pStyle w:val="BodyTextIndent3"/>
        <w:spacing w:after="20"/>
        <w:ind w:left="0" w:firstLine="720"/>
        <w:rPr>
          <w:b w:val="0"/>
          <w:sz w:val="27"/>
          <w:szCs w:val="27"/>
          <w:lang w:val="nl-NL"/>
        </w:rPr>
      </w:pPr>
      <w:r w:rsidRPr="00793A7F">
        <w:rPr>
          <w:b w:val="0"/>
          <w:sz w:val="27"/>
          <w:szCs w:val="27"/>
        </w:rPr>
        <w:t>- Tổng mức đầu tư (Đã bao gồm thuế GTGT</w:t>
      </w:r>
      <w:r w:rsidRPr="000D4DA6">
        <w:rPr>
          <w:b w:val="0"/>
          <w:sz w:val="27"/>
          <w:szCs w:val="27"/>
        </w:rPr>
        <w:t xml:space="preserve">): </w:t>
      </w:r>
      <w:r w:rsidR="00AB0675">
        <w:rPr>
          <w:b w:val="0"/>
          <w:sz w:val="27"/>
          <w:szCs w:val="27"/>
        </w:rPr>
        <w:t>132.247.500</w:t>
      </w:r>
      <w:r w:rsidRPr="000D4DA6">
        <w:rPr>
          <w:b w:val="0"/>
          <w:sz w:val="27"/>
          <w:szCs w:val="27"/>
        </w:rPr>
        <w:t xml:space="preserve"> </w:t>
      </w:r>
      <w:r w:rsidRPr="000D4DA6">
        <w:rPr>
          <w:b w:val="0"/>
          <w:sz w:val="27"/>
          <w:szCs w:val="27"/>
          <w:lang w:val="nl-NL"/>
        </w:rPr>
        <w:t xml:space="preserve">đồng </w:t>
      </w:r>
      <w:r w:rsidRPr="000D4DA6">
        <w:rPr>
          <w:b w:val="0"/>
          <w:i/>
          <w:sz w:val="27"/>
          <w:szCs w:val="27"/>
          <w:lang w:val="nl-NL"/>
        </w:rPr>
        <w:t xml:space="preserve">(Bằng chữ: Một trăm </w:t>
      </w:r>
      <w:r w:rsidR="008233C4">
        <w:rPr>
          <w:b w:val="0"/>
          <w:i/>
          <w:sz w:val="27"/>
          <w:szCs w:val="27"/>
          <w:lang w:val="nl-NL"/>
        </w:rPr>
        <w:t>ba</w:t>
      </w:r>
      <w:r w:rsidR="00534102" w:rsidRPr="000D4DA6">
        <w:rPr>
          <w:b w:val="0"/>
          <w:i/>
          <w:sz w:val="27"/>
          <w:szCs w:val="27"/>
          <w:lang w:val="nl-NL"/>
        </w:rPr>
        <w:t xml:space="preserve"> mươi </w:t>
      </w:r>
      <w:r w:rsidR="00AB0675">
        <w:rPr>
          <w:b w:val="0"/>
          <w:i/>
          <w:sz w:val="27"/>
          <w:szCs w:val="27"/>
          <w:lang w:val="nl-NL"/>
        </w:rPr>
        <w:t>hai</w:t>
      </w:r>
      <w:r w:rsidR="008233C4">
        <w:rPr>
          <w:b w:val="0"/>
          <w:i/>
          <w:sz w:val="27"/>
          <w:szCs w:val="27"/>
          <w:lang w:val="nl-NL"/>
        </w:rPr>
        <w:t xml:space="preserve"> </w:t>
      </w:r>
      <w:r w:rsidRPr="000D4DA6">
        <w:rPr>
          <w:b w:val="0"/>
          <w:i/>
          <w:sz w:val="27"/>
          <w:szCs w:val="27"/>
          <w:lang w:val="nl-NL"/>
        </w:rPr>
        <w:t xml:space="preserve">triệu, </w:t>
      </w:r>
      <w:r w:rsidR="00AB0675">
        <w:rPr>
          <w:b w:val="0"/>
          <w:i/>
          <w:sz w:val="27"/>
          <w:szCs w:val="27"/>
          <w:lang w:val="nl-NL"/>
        </w:rPr>
        <w:t>hai</w:t>
      </w:r>
      <w:r w:rsidRPr="000D4DA6">
        <w:rPr>
          <w:b w:val="0"/>
          <w:i/>
          <w:sz w:val="27"/>
          <w:szCs w:val="27"/>
          <w:lang w:val="nl-NL"/>
        </w:rPr>
        <w:t xml:space="preserve"> trăm </w:t>
      </w:r>
      <w:r w:rsidR="00AB0675">
        <w:rPr>
          <w:b w:val="0"/>
          <w:i/>
          <w:sz w:val="27"/>
          <w:szCs w:val="27"/>
          <w:lang w:val="nl-NL"/>
        </w:rPr>
        <w:t>bốn</w:t>
      </w:r>
      <w:r w:rsidRPr="000D4DA6">
        <w:rPr>
          <w:b w:val="0"/>
          <w:i/>
          <w:sz w:val="27"/>
          <w:szCs w:val="27"/>
          <w:lang w:val="nl-NL"/>
        </w:rPr>
        <w:t xml:space="preserve"> mươi</w:t>
      </w:r>
      <w:r w:rsidR="00AB0675">
        <w:rPr>
          <w:b w:val="0"/>
          <w:i/>
          <w:sz w:val="27"/>
          <w:szCs w:val="27"/>
          <w:lang w:val="nl-NL"/>
        </w:rPr>
        <w:t xml:space="preserve"> bảy</w:t>
      </w:r>
      <w:r w:rsidRPr="000D4DA6">
        <w:rPr>
          <w:b w:val="0"/>
          <w:i/>
          <w:sz w:val="27"/>
          <w:szCs w:val="27"/>
          <w:lang w:val="nl-NL"/>
        </w:rPr>
        <w:t xml:space="preserve"> nghìn</w:t>
      </w:r>
      <w:r w:rsidR="00AB0675">
        <w:rPr>
          <w:b w:val="0"/>
          <w:i/>
          <w:sz w:val="27"/>
          <w:szCs w:val="27"/>
          <w:lang w:val="nl-NL"/>
        </w:rPr>
        <w:t xml:space="preserve"> năm trăm</w:t>
      </w:r>
      <w:r w:rsidRPr="000D4DA6">
        <w:rPr>
          <w:b w:val="0"/>
          <w:i/>
          <w:sz w:val="27"/>
          <w:szCs w:val="27"/>
          <w:lang w:val="nl-NL"/>
        </w:rPr>
        <w:t xml:space="preserve"> đồng)</w:t>
      </w:r>
      <w:r w:rsidRPr="000D4DA6">
        <w:rPr>
          <w:b w:val="0"/>
          <w:sz w:val="27"/>
          <w:szCs w:val="27"/>
          <w:lang w:val="nl-NL"/>
        </w:rPr>
        <w:t>.</w:t>
      </w:r>
    </w:p>
    <w:p w14:paraId="2925D485" w14:textId="746D8A09" w:rsidR="00793A7F" w:rsidRPr="00793A7F" w:rsidRDefault="00CF00B1" w:rsidP="00D710C1">
      <w:pPr>
        <w:spacing w:before="120" w:after="20"/>
        <w:ind w:firstLine="720"/>
        <w:rPr>
          <w:sz w:val="27"/>
          <w:szCs w:val="27"/>
          <w:lang w:val="nl-NL"/>
        </w:rPr>
      </w:pPr>
      <w:r>
        <w:rPr>
          <w:sz w:val="27"/>
          <w:szCs w:val="27"/>
          <w:lang w:val="nl-NL"/>
        </w:rPr>
        <w:t>- Nguồn vốn: Chi phí sản xuất kinh doanh</w:t>
      </w:r>
      <w:r w:rsidR="003C13FB">
        <w:rPr>
          <w:sz w:val="27"/>
          <w:szCs w:val="27"/>
          <w:lang w:val="nl-NL"/>
        </w:rPr>
        <w:t xml:space="preserve"> của Công ty</w:t>
      </w:r>
      <w:r w:rsidR="00793A7F" w:rsidRPr="00793A7F">
        <w:rPr>
          <w:sz w:val="27"/>
          <w:szCs w:val="27"/>
          <w:lang w:val="nl-NL"/>
        </w:rPr>
        <w:t>.</w:t>
      </w:r>
    </w:p>
    <w:p w14:paraId="2B56CBC8" w14:textId="144971B9" w:rsidR="00793A7F" w:rsidRPr="00793A7F" w:rsidRDefault="00793A7F" w:rsidP="00D710C1">
      <w:pPr>
        <w:autoSpaceDE w:val="0"/>
        <w:autoSpaceDN w:val="0"/>
        <w:adjustRightInd w:val="0"/>
        <w:spacing w:before="120" w:after="20"/>
        <w:ind w:firstLine="720"/>
        <w:rPr>
          <w:b/>
          <w:sz w:val="27"/>
          <w:szCs w:val="27"/>
        </w:rPr>
      </w:pPr>
      <w:r w:rsidRPr="00793A7F">
        <w:rPr>
          <w:b/>
          <w:sz w:val="27"/>
          <w:szCs w:val="27"/>
        </w:rPr>
        <w:t>b. Giới thiệu chung về gói thầu:</w:t>
      </w:r>
    </w:p>
    <w:p w14:paraId="3BD48CDA" w14:textId="21FAB1F4" w:rsidR="00793A7F" w:rsidRPr="00793A7F" w:rsidRDefault="00793A7F" w:rsidP="00D710C1">
      <w:pPr>
        <w:spacing w:before="120" w:after="20"/>
        <w:ind w:firstLine="720"/>
        <w:rPr>
          <w:sz w:val="27"/>
          <w:szCs w:val="27"/>
        </w:rPr>
      </w:pPr>
      <w:r w:rsidRPr="00793A7F">
        <w:rPr>
          <w:sz w:val="27"/>
          <w:szCs w:val="27"/>
        </w:rPr>
        <w:t xml:space="preserve">- Tên gói thầu: </w:t>
      </w:r>
      <w:r w:rsidR="008233C4">
        <w:rPr>
          <w:bCs/>
          <w:sz w:val="27"/>
          <w:szCs w:val="27"/>
        </w:rPr>
        <w:t>Mua máy tính xách tay phục vụ công việc</w:t>
      </w:r>
      <w:r w:rsidRPr="00793A7F">
        <w:rPr>
          <w:sz w:val="27"/>
          <w:szCs w:val="27"/>
        </w:rPr>
        <w:t>.</w:t>
      </w:r>
    </w:p>
    <w:p w14:paraId="642C4ED3" w14:textId="77777777" w:rsidR="00793A7F" w:rsidRPr="00793A7F" w:rsidRDefault="00793A7F" w:rsidP="00D710C1">
      <w:pPr>
        <w:spacing w:before="120" w:after="20"/>
        <w:ind w:firstLine="720"/>
        <w:rPr>
          <w:sz w:val="27"/>
          <w:szCs w:val="27"/>
          <w:lang w:val="nl-NL"/>
        </w:rPr>
      </w:pPr>
      <w:r w:rsidRPr="00793A7F">
        <w:rPr>
          <w:sz w:val="27"/>
          <w:szCs w:val="27"/>
          <w:lang w:val="nl-NL"/>
        </w:rPr>
        <w:t>- Hình thức lựa chọn nhà thầu: Chào hàng cạnh tranh trong nước (Lựa chọn nhà thầu qua mạng).</w:t>
      </w:r>
    </w:p>
    <w:p w14:paraId="12D8E75F" w14:textId="77777777" w:rsidR="00793A7F" w:rsidRPr="00793A7F" w:rsidRDefault="00793A7F" w:rsidP="00D710C1">
      <w:pPr>
        <w:spacing w:before="120" w:after="20"/>
        <w:ind w:firstLine="720"/>
        <w:rPr>
          <w:sz w:val="27"/>
          <w:szCs w:val="27"/>
          <w:lang w:val="nl-NL"/>
        </w:rPr>
      </w:pPr>
      <w:r w:rsidRPr="00793A7F">
        <w:rPr>
          <w:sz w:val="27"/>
          <w:szCs w:val="27"/>
          <w:lang w:val="nl-NL"/>
        </w:rPr>
        <w:t>- Phương thức lựa chọn nhà thầu: Một giai đoạn, một túi hồ sơ.</w:t>
      </w:r>
    </w:p>
    <w:p w14:paraId="2630DE83" w14:textId="77777777" w:rsidR="00793A7F" w:rsidRPr="00793A7F" w:rsidRDefault="00793A7F" w:rsidP="00D710C1">
      <w:pPr>
        <w:spacing w:before="120" w:after="20"/>
        <w:ind w:firstLine="720"/>
        <w:rPr>
          <w:sz w:val="27"/>
          <w:szCs w:val="27"/>
          <w:lang w:val="nl-NL"/>
        </w:rPr>
      </w:pPr>
      <w:r w:rsidRPr="00793A7F">
        <w:rPr>
          <w:sz w:val="27"/>
          <w:szCs w:val="27"/>
          <w:lang w:val="nl-NL"/>
        </w:rPr>
        <w:t>- Loại hợp đồng: Trọn gói.</w:t>
      </w:r>
    </w:p>
    <w:p w14:paraId="3BD50781" w14:textId="5CF80D6B" w:rsidR="00793A7F" w:rsidRPr="00793A7F" w:rsidRDefault="00793A7F" w:rsidP="00D710C1">
      <w:pPr>
        <w:spacing w:before="120" w:after="20"/>
        <w:ind w:firstLine="720"/>
        <w:rPr>
          <w:sz w:val="27"/>
          <w:szCs w:val="27"/>
        </w:rPr>
      </w:pPr>
      <w:r w:rsidRPr="00793A7F">
        <w:rPr>
          <w:sz w:val="27"/>
          <w:szCs w:val="27"/>
        </w:rPr>
        <w:t xml:space="preserve">- Thời gian thực hiện gói thầu: </w:t>
      </w:r>
      <w:r w:rsidR="009B63F1">
        <w:rPr>
          <w:sz w:val="27"/>
          <w:szCs w:val="27"/>
        </w:rPr>
        <w:t>2</w:t>
      </w:r>
      <w:r w:rsidRPr="00793A7F">
        <w:rPr>
          <w:sz w:val="27"/>
          <w:szCs w:val="27"/>
        </w:rPr>
        <w:t>0 ngày.</w:t>
      </w:r>
    </w:p>
    <w:p w14:paraId="768DB760" w14:textId="167DA7F3" w:rsidR="000D4DA6" w:rsidRDefault="00793A7F" w:rsidP="00D710C1">
      <w:pPr>
        <w:spacing w:before="120" w:after="20"/>
        <w:ind w:firstLine="720"/>
        <w:rPr>
          <w:sz w:val="27"/>
          <w:szCs w:val="27"/>
          <w:lang w:val="nl-NL"/>
        </w:rPr>
      </w:pPr>
      <w:r w:rsidRPr="00793A7F">
        <w:rPr>
          <w:sz w:val="27"/>
          <w:szCs w:val="27"/>
        </w:rPr>
        <w:lastRenderedPageBreak/>
        <w:t xml:space="preserve">- Giá gói thầu (Đã bao gồm thuế GTGT) là </w:t>
      </w:r>
      <w:r w:rsidR="00AB0675">
        <w:rPr>
          <w:b/>
          <w:sz w:val="27"/>
          <w:szCs w:val="27"/>
        </w:rPr>
        <w:t>132.247.500</w:t>
      </w:r>
      <w:r w:rsidR="009B63F1" w:rsidRPr="000D4DA6">
        <w:rPr>
          <w:sz w:val="27"/>
          <w:szCs w:val="27"/>
        </w:rPr>
        <w:t xml:space="preserve"> </w:t>
      </w:r>
      <w:r w:rsidR="000D4DA6" w:rsidRPr="000D4DA6">
        <w:rPr>
          <w:sz w:val="27"/>
          <w:szCs w:val="27"/>
          <w:lang w:val="nl-NL"/>
        </w:rPr>
        <w:t xml:space="preserve">đồng </w:t>
      </w:r>
      <w:r w:rsidR="00C44B95">
        <w:rPr>
          <w:i/>
          <w:sz w:val="27"/>
          <w:szCs w:val="27"/>
          <w:lang w:val="nl-NL"/>
        </w:rPr>
        <w:t xml:space="preserve">(Bằng chữ: </w:t>
      </w:r>
      <w:r w:rsidR="00493745" w:rsidRPr="00493745">
        <w:rPr>
          <w:i/>
          <w:sz w:val="27"/>
          <w:szCs w:val="27"/>
          <w:lang w:val="nl-NL"/>
        </w:rPr>
        <w:t>Một trăm ba mươi hai triệu, hai trăm bốn mươi bảy nghìn năm trăm đồng</w:t>
      </w:r>
      <w:r w:rsidR="000D4DA6" w:rsidRPr="000D4DA6">
        <w:rPr>
          <w:i/>
          <w:sz w:val="27"/>
          <w:szCs w:val="27"/>
          <w:lang w:val="nl-NL"/>
        </w:rPr>
        <w:t>)</w:t>
      </w:r>
      <w:r w:rsidR="000D4DA6" w:rsidRPr="000D4DA6">
        <w:rPr>
          <w:sz w:val="27"/>
          <w:szCs w:val="27"/>
          <w:lang w:val="nl-NL"/>
        </w:rPr>
        <w:t>.</w:t>
      </w:r>
    </w:p>
    <w:p w14:paraId="35C0E413" w14:textId="1D377398" w:rsidR="00793A7F" w:rsidRPr="00793A7F" w:rsidRDefault="00793A7F" w:rsidP="00D710C1">
      <w:pPr>
        <w:spacing w:before="120" w:after="20"/>
        <w:ind w:firstLine="720"/>
        <w:rPr>
          <w:i/>
          <w:sz w:val="27"/>
          <w:szCs w:val="27"/>
          <w:lang w:val="nl-NL"/>
        </w:rPr>
      </w:pPr>
      <w:r w:rsidRPr="00793A7F">
        <w:rPr>
          <w:sz w:val="27"/>
          <w:szCs w:val="27"/>
          <w:lang w:val="nl-NL"/>
        </w:rPr>
        <w:t xml:space="preserve">- Nguồn vốn: </w:t>
      </w:r>
      <w:r w:rsidR="000D4DA6">
        <w:rPr>
          <w:sz w:val="27"/>
          <w:szCs w:val="27"/>
          <w:lang w:val="nl-NL"/>
        </w:rPr>
        <w:t>Chi phí sản xuất kinh doanh</w:t>
      </w:r>
      <w:r w:rsidR="00177AB6">
        <w:rPr>
          <w:sz w:val="27"/>
          <w:szCs w:val="27"/>
          <w:lang w:val="nl-NL"/>
        </w:rPr>
        <w:t xml:space="preserve"> của Công ty</w:t>
      </w:r>
      <w:r w:rsidRPr="00793A7F">
        <w:rPr>
          <w:sz w:val="27"/>
          <w:szCs w:val="27"/>
          <w:lang w:val="nl-NL"/>
        </w:rPr>
        <w:t>.</w:t>
      </w:r>
    </w:p>
    <w:bookmarkEnd w:id="0"/>
    <w:p w14:paraId="43FA6CAB" w14:textId="77777777" w:rsidR="00793A7F" w:rsidRPr="00793A7F" w:rsidRDefault="00793A7F" w:rsidP="00D710C1">
      <w:pPr>
        <w:widowControl w:val="0"/>
        <w:spacing w:before="120" w:after="120"/>
        <w:ind w:firstLine="709"/>
        <w:rPr>
          <w:b/>
          <w:i/>
          <w:sz w:val="28"/>
          <w:szCs w:val="28"/>
          <w:lang w:val="nl-NL"/>
        </w:rPr>
      </w:pPr>
      <w:r w:rsidRPr="00793A7F">
        <w:rPr>
          <w:b/>
          <w:i/>
          <w:sz w:val="28"/>
          <w:szCs w:val="28"/>
          <w:lang w:val="nl-NL"/>
        </w:rPr>
        <w:t>1.2. Yêu cầu về kỹ thuật</w:t>
      </w:r>
    </w:p>
    <w:p w14:paraId="7927A5B3" w14:textId="431EFDB5" w:rsidR="00793A7F" w:rsidRPr="00793A7F" w:rsidRDefault="00793A7F" w:rsidP="00D710C1">
      <w:pPr>
        <w:widowControl w:val="0"/>
        <w:spacing w:before="120" w:after="20"/>
        <w:ind w:firstLine="709"/>
        <w:rPr>
          <w:sz w:val="27"/>
          <w:szCs w:val="27"/>
          <w:lang w:val="nl-NL"/>
        </w:rPr>
      </w:pPr>
      <w:r w:rsidRPr="00793A7F">
        <w:rPr>
          <w:sz w:val="27"/>
          <w:szCs w:val="27"/>
          <w:lang w:val="nl-NL"/>
        </w:rPr>
        <w:t>- Hàng hóa thuộc phạm vi cung cấp của gói thầu phải mới 100%; sản xuất năm 202</w:t>
      </w:r>
      <w:r w:rsidR="00F84F8C">
        <w:rPr>
          <w:sz w:val="27"/>
          <w:szCs w:val="27"/>
          <w:lang w:val="nl-NL"/>
        </w:rPr>
        <w:t>3</w:t>
      </w:r>
      <w:r w:rsidRPr="00793A7F">
        <w:rPr>
          <w:sz w:val="27"/>
          <w:szCs w:val="27"/>
          <w:lang w:val="nl-NL"/>
        </w:rPr>
        <w:t xml:space="preserve"> trở về sau; có nguồn gốc xuất xứ rõ ràng, có catalogue hoặc tài liệu kỹ thuật với đầy đủ các thông số kỹ thuật kèm theo. Tài liệu bằng tiếng nước ngoài phải kèm theo bản dịch tiếng Việt.</w:t>
      </w:r>
    </w:p>
    <w:p w14:paraId="010CAC1B" w14:textId="77777777" w:rsidR="00793A7F" w:rsidRPr="00793A7F" w:rsidRDefault="00793A7F" w:rsidP="00D710C1">
      <w:pPr>
        <w:widowControl w:val="0"/>
        <w:spacing w:before="120" w:after="20"/>
        <w:ind w:firstLine="709"/>
        <w:rPr>
          <w:sz w:val="27"/>
          <w:szCs w:val="27"/>
          <w:lang w:val="nl-NL"/>
        </w:rPr>
      </w:pPr>
      <w:r w:rsidRPr="00793A7F">
        <w:rPr>
          <w:sz w:val="27"/>
          <w:szCs w:val="27"/>
          <w:lang w:val="nl-NL"/>
        </w:rPr>
        <w:t xml:space="preserve">- Đóng gói, vận chuyển hàng hóa: Hàng hóa được đóng gói theo đúng quy định của nhà sản xuất và được vận chuyển đến địa điểm (Văn phòng </w:t>
      </w:r>
      <w:r w:rsidR="00D04E6B">
        <w:rPr>
          <w:sz w:val="27"/>
          <w:szCs w:val="27"/>
          <w:lang w:val="nl-NL"/>
        </w:rPr>
        <w:t>Công ty TNHH MTV Petrolimex Quảng Ninh</w:t>
      </w:r>
      <w:r w:rsidRPr="00793A7F">
        <w:rPr>
          <w:sz w:val="27"/>
          <w:szCs w:val="27"/>
          <w:lang w:val="nl-NL"/>
        </w:rPr>
        <w:t xml:space="preserve">; Khu </w:t>
      </w:r>
      <w:r w:rsidR="00D46B35">
        <w:rPr>
          <w:sz w:val="27"/>
          <w:szCs w:val="27"/>
          <w:lang w:val="nl-NL"/>
        </w:rPr>
        <w:t>1</w:t>
      </w:r>
      <w:r w:rsidRPr="00793A7F">
        <w:rPr>
          <w:sz w:val="27"/>
          <w:szCs w:val="27"/>
          <w:lang w:val="nl-NL"/>
        </w:rPr>
        <w:t xml:space="preserve">, phường Bãi Cháy, tỉnh Quảng Ninh). Việc đóng gói phải bảo đảm hàng hóa không bị hư hỏng do va chạm trong khi bốc dỡ vận chuyển và các tác động khác của môi trường. </w:t>
      </w:r>
    </w:p>
    <w:p w14:paraId="5E3346D2" w14:textId="77777777" w:rsidR="00793A7F" w:rsidRDefault="00793A7F" w:rsidP="00D710C1">
      <w:pPr>
        <w:widowControl w:val="0"/>
        <w:spacing w:before="120" w:after="20"/>
        <w:ind w:firstLine="709"/>
        <w:rPr>
          <w:sz w:val="27"/>
          <w:szCs w:val="27"/>
          <w:lang w:val="nl-NL"/>
        </w:rPr>
      </w:pPr>
      <w:r w:rsidRPr="00793A7F">
        <w:rPr>
          <w:sz w:val="27"/>
          <w:szCs w:val="27"/>
          <w:lang w:val="nl-NL"/>
        </w:rPr>
        <w:t>- Hàng hóa phải tuân thủ các thông số kỹ thuật sau đây:</w:t>
      </w:r>
    </w:p>
    <w:tbl>
      <w:tblPr>
        <w:tblW w:w="4977" w:type="pct"/>
        <w:jc w:val="center"/>
        <w:tblLayout w:type="fixed"/>
        <w:tblCellMar>
          <w:left w:w="0" w:type="dxa"/>
          <w:right w:w="0" w:type="dxa"/>
        </w:tblCellMar>
        <w:tblLook w:val="04A0" w:firstRow="1" w:lastRow="0" w:firstColumn="1" w:lastColumn="0" w:noHBand="0" w:noVBand="1"/>
      </w:tblPr>
      <w:tblGrid>
        <w:gridCol w:w="699"/>
        <w:gridCol w:w="2420"/>
        <w:gridCol w:w="1363"/>
        <w:gridCol w:w="905"/>
        <w:gridCol w:w="8932"/>
      </w:tblGrid>
      <w:tr w:rsidR="00D11420" w:rsidRPr="00793A7F" w14:paraId="788E316E" w14:textId="77777777" w:rsidTr="00CF00B1">
        <w:trPr>
          <w:tblHeader/>
          <w:jc w:val="center"/>
        </w:trPr>
        <w:tc>
          <w:tcPr>
            <w:tcW w:w="244" w:type="pct"/>
            <w:tcBorders>
              <w:top w:val="single" w:sz="8" w:space="0" w:color="auto"/>
              <w:left w:val="single" w:sz="8" w:space="0" w:color="auto"/>
              <w:bottom w:val="single" w:sz="8" w:space="0" w:color="auto"/>
              <w:right w:val="single" w:sz="8" w:space="0" w:color="auto"/>
            </w:tcBorders>
            <w:vAlign w:val="center"/>
            <w:hideMark/>
          </w:tcPr>
          <w:p w14:paraId="7030DD46" w14:textId="77777777" w:rsidR="00D11420" w:rsidRPr="00793A7F" w:rsidRDefault="00D11420" w:rsidP="00D710C1">
            <w:pPr>
              <w:spacing w:before="120" w:after="60"/>
              <w:ind w:left="-513" w:firstLine="513"/>
              <w:jc w:val="center"/>
              <w:rPr>
                <w:b/>
                <w:sz w:val="26"/>
                <w:szCs w:val="26"/>
              </w:rPr>
            </w:pPr>
            <w:r w:rsidRPr="00793A7F">
              <w:rPr>
                <w:b/>
                <w:sz w:val="26"/>
                <w:szCs w:val="26"/>
              </w:rPr>
              <w:t>TT</w:t>
            </w:r>
          </w:p>
        </w:tc>
        <w:tc>
          <w:tcPr>
            <w:tcW w:w="845" w:type="pct"/>
            <w:tcBorders>
              <w:top w:val="single" w:sz="8" w:space="0" w:color="auto"/>
              <w:left w:val="nil"/>
              <w:bottom w:val="single" w:sz="8" w:space="0" w:color="auto"/>
              <w:right w:val="single" w:sz="8" w:space="0" w:color="auto"/>
            </w:tcBorders>
            <w:vAlign w:val="center"/>
            <w:hideMark/>
          </w:tcPr>
          <w:p w14:paraId="1DA5BCD2" w14:textId="77777777" w:rsidR="00D11420" w:rsidRPr="00793A7F" w:rsidRDefault="00D11420" w:rsidP="00D710C1">
            <w:pPr>
              <w:spacing w:before="120" w:after="60"/>
              <w:jc w:val="center"/>
              <w:rPr>
                <w:sz w:val="26"/>
                <w:szCs w:val="26"/>
              </w:rPr>
            </w:pPr>
            <w:r w:rsidRPr="00793A7F">
              <w:rPr>
                <w:b/>
                <w:bCs/>
                <w:sz w:val="26"/>
                <w:szCs w:val="26"/>
              </w:rPr>
              <w:t>Danh mục hàng hóa</w:t>
            </w:r>
          </w:p>
        </w:tc>
        <w:tc>
          <w:tcPr>
            <w:tcW w:w="476" w:type="pct"/>
            <w:tcBorders>
              <w:top w:val="single" w:sz="8" w:space="0" w:color="auto"/>
              <w:left w:val="single" w:sz="8" w:space="0" w:color="auto"/>
              <w:bottom w:val="single" w:sz="8" w:space="0" w:color="auto"/>
              <w:right w:val="single" w:sz="8" w:space="0" w:color="auto"/>
            </w:tcBorders>
            <w:vAlign w:val="center"/>
            <w:hideMark/>
          </w:tcPr>
          <w:p w14:paraId="7A497776" w14:textId="77777777" w:rsidR="00D11420" w:rsidRPr="00793A7F" w:rsidRDefault="00D11420" w:rsidP="00D710C1">
            <w:pPr>
              <w:spacing w:before="120" w:after="60"/>
              <w:jc w:val="center"/>
              <w:rPr>
                <w:b/>
                <w:sz w:val="26"/>
                <w:szCs w:val="26"/>
              </w:rPr>
            </w:pPr>
            <w:r w:rsidRPr="00793A7F">
              <w:rPr>
                <w:b/>
                <w:sz w:val="26"/>
                <w:szCs w:val="26"/>
              </w:rPr>
              <w:t>Đơn vị</w:t>
            </w:r>
          </w:p>
        </w:tc>
        <w:tc>
          <w:tcPr>
            <w:tcW w:w="316" w:type="pct"/>
            <w:tcBorders>
              <w:top w:val="single" w:sz="8" w:space="0" w:color="auto"/>
              <w:left w:val="nil"/>
              <w:bottom w:val="single" w:sz="8" w:space="0" w:color="auto"/>
              <w:right w:val="single" w:sz="8" w:space="0" w:color="auto"/>
            </w:tcBorders>
            <w:vAlign w:val="center"/>
            <w:hideMark/>
          </w:tcPr>
          <w:p w14:paraId="6F78EC64" w14:textId="77777777" w:rsidR="00D11420" w:rsidRPr="00793A7F" w:rsidRDefault="00D11420" w:rsidP="00D710C1">
            <w:pPr>
              <w:spacing w:before="120" w:after="60"/>
              <w:jc w:val="center"/>
              <w:rPr>
                <w:sz w:val="26"/>
                <w:szCs w:val="26"/>
              </w:rPr>
            </w:pPr>
            <w:r w:rsidRPr="00793A7F">
              <w:rPr>
                <w:b/>
                <w:bCs/>
                <w:sz w:val="26"/>
                <w:szCs w:val="26"/>
              </w:rPr>
              <w:t>SL</w:t>
            </w:r>
          </w:p>
        </w:tc>
        <w:tc>
          <w:tcPr>
            <w:tcW w:w="3119" w:type="pct"/>
            <w:tcBorders>
              <w:top w:val="single" w:sz="8" w:space="0" w:color="auto"/>
              <w:left w:val="nil"/>
              <w:bottom w:val="single" w:sz="8" w:space="0" w:color="auto"/>
              <w:right w:val="single" w:sz="8" w:space="0" w:color="auto"/>
            </w:tcBorders>
            <w:vAlign w:val="center"/>
            <w:hideMark/>
          </w:tcPr>
          <w:p w14:paraId="0D11A25B" w14:textId="77777777" w:rsidR="00D11420" w:rsidRPr="00793A7F" w:rsidRDefault="00D11420" w:rsidP="00D710C1">
            <w:pPr>
              <w:spacing w:before="120" w:after="60"/>
              <w:ind w:right="133"/>
              <w:jc w:val="center"/>
              <w:rPr>
                <w:sz w:val="26"/>
                <w:szCs w:val="26"/>
              </w:rPr>
            </w:pPr>
            <w:r w:rsidRPr="00793A7F">
              <w:rPr>
                <w:b/>
                <w:bCs/>
                <w:sz w:val="26"/>
                <w:szCs w:val="26"/>
              </w:rPr>
              <w:t>Mô tả hàng hóa</w:t>
            </w:r>
          </w:p>
        </w:tc>
      </w:tr>
      <w:tr w:rsidR="00D11420" w:rsidRPr="00793A7F" w14:paraId="5F33E176" w14:textId="77777777" w:rsidTr="00CF00B1">
        <w:trPr>
          <w:jc w:val="center"/>
        </w:trPr>
        <w:tc>
          <w:tcPr>
            <w:tcW w:w="244" w:type="pct"/>
            <w:tcBorders>
              <w:top w:val="nil"/>
              <w:left w:val="single" w:sz="8" w:space="0" w:color="auto"/>
              <w:bottom w:val="single" w:sz="8" w:space="0" w:color="auto"/>
              <w:right w:val="single" w:sz="8" w:space="0" w:color="auto"/>
            </w:tcBorders>
            <w:vAlign w:val="center"/>
            <w:hideMark/>
          </w:tcPr>
          <w:p w14:paraId="020B47E5" w14:textId="77777777" w:rsidR="00D11420" w:rsidRPr="00793A7F" w:rsidRDefault="00D11420" w:rsidP="00D710C1">
            <w:pPr>
              <w:spacing w:before="120" w:after="60"/>
              <w:jc w:val="center"/>
              <w:rPr>
                <w:sz w:val="26"/>
                <w:szCs w:val="26"/>
              </w:rPr>
            </w:pPr>
            <w:r w:rsidRPr="00793A7F">
              <w:rPr>
                <w:sz w:val="26"/>
                <w:szCs w:val="26"/>
              </w:rPr>
              <w:t>(1)</w:t>
            </w:r>
          </w:p>
        </w:tc>
        <w:tc>
          <w:tcPr>
            <w:tcW w:w="845" w:type="pct"/>
            <w:tcBorders>
              <w:top w:val="nil"/>
              <w:left w:val="nil"/>
              <w:bottom w:val="single" w:sz="8" w:space="0" w:color="auto"/>
              <w:right w:val="single" w:sz="8" w:space="0" w:color="auto"/>
            </w:tcBorders>
            <w:vAlign w:val="center"/>
            <w:hideMark/>
          </w:tcPr>
          <w:p w14:paraId="05D1C448" w14:textId="77777777" w:rsidR="00D11420" w:rsidRPr="00793A7F" w:rsidRDefault="00D11420" w:rsidP="00D710C1">
            <w:pPr>
              <w:spacing w:before="120" w:after="60"/>
              <w:jc w:val="center"/>
              <w:rPr>
                <w:sz w:val="26"/>
                <w:szCs w:val="26"/>
              </w:rPr>
            </w:pPr>
            <w:r w:rsidRPr="00793A7F">
              <w:rPr>
                <w:sz w:val="26"/>
                <w:szCs w:val="26"/>
              </w:rPr>
              <w:t>(2)</w:t>
            </w:r>
          </w:p>
        </w:tc>
        <w:tc>
          <w:tcPr>
            <w:tcW w:w="476" w:type="pct"/>
            <w:tcBorders>
              <w:top w:val="nil"/>
              <w:left w:val="single" w:sz="8" w:space="0" w:color="auto"/>
              <w:bottom w:val="single" w:sz="8" w:space="0" w:color="auto"/>
              <w:right w:val="single" w:sz="8" w:space="0" w:color="auto"/>
            </w:tcBorders>
            <w:vAlign w:val="center"/>
            <w:hideMark/>
          </w:tcPr>
          <w:p w14:paraId="5B63B874" w14:textId="77777777" w:rsidR="00D11420" w:rsidRPr="00793A7F" w:rsidRDefault="00D11420" w:rsidP="00D710C1">
            <w:pPr>
              <w:spacing w:before="120" w:after="60"/>
              <w:jc w:val="center"/>
              <w:rPr>
                <w:sz w:val="26"/>
                <w:szCs w:val="26"/>
              </w:rPr>
            </w:pPr>
            <w:r w:rsidRPr="00793A7F">
              <w:rPr>
                <w:sz w:val="26"/>
                <w:szCs w:val="26"/>
              </w:rPr>
              <w:t>(3)</w:t>
            </w:r>
          </w:p>
        </w:tc>
        <w:tc>
          <w:tcPr>
            <w:tcW w:w="316" w:type="pct"/>
            <w:tcBorders>
              <w:top w:val="nil"/>
              <w:left w:val="nil"/>
              <w:bottom w:val="single" w:sz="8" w:space="0" w:color="auto"/>
              <w:right w:val="single" w:sz="8" w:space="0" w:color="auto"/>
            </w:tcBorders>
            <w:vAlign w:val="center"/>
            <w:hideMark/>
          </w:tcPr>
          <w:p w14:paraId="1BA810C0" w14:textId="77777777" w:rsidR="00D11420" w:rsidRPr="00793A7F" w:rsidRDefault="00D11420" w:rsidP="00D710C1">
            <w:pPr>
              <w:spacing w:before="120" w:after="60"/>
              <w:jc w:val="center"/>
              <w:rPr>
                <w:sz w:val="26"/>
                <w:szCs w:val="26"/>
              </w:rPr>
            </w:pPr>
            <w:r w:rsidRPr="00793A7F">
              <w:rPr>
                <w:sz w:val="26"/>
                <w:szCs w:val="26"/>
              </w:rPr>
              <w:t>(4)</w:t>
            </w:r>
          </w:p>
        </w:tc>
        <w:tc>
          <w:tcPr>
            <w:tcW w:w="3119" w:type="pct"/>
            <w:tcBorders>
              <w:top w:val="nil"/>
              <w:left w:val="nil"/>
              <w:bottom w:val="single" w:sz="8" w:space="0" w:color="auto"/>
              <w:right w:val="single" w:sz="8" w:space="0" w:color="auto"/>
            </w:tcBorders>
            <w:vAlign w:val="center"/>
            <w:hideMark/>
          </w:tcPr>
          <w:p w14:paraId="19975F68" w14:textId="77777777" w:rsidR="00D11420" w:rsidRPr="00793A7F" w:rsidRDefault="00D11420" w:rsidP="00D710C1">
            <w:pPr>
              <w:spacing w:before="120" w:after="60"/>
              <w:ind w:right="133"/>
              <w:jc w:val="center"/>
              <w:rPr>
                <w:sz w:val="26"/>
                <w:szCs w:val="26"/>
              </w:rPr>
            </w:pPr>
            <w:r w:rsidRPr="00793A7F">
              <w:rPr>
                <w:sz w:val="26"/>
                <w:szCs w:val="26"/>
              </w:rPr>
              <w:t>(5)</w:t>
            </w:r>
          </w:p>
        </w:tc>
      </w:tr>
      <w:tr w:rsidR="00D11420" w:rsidRPr="00793A7F" w14:paraId="1F4C3840" w14:textId="77777777" w:rsidTr="00CF00B1">
        <w:trPr>
          <w:jc w:val="center"/>
        </w:trPr>
        <w:tc>
          <w:tcPr>
            <w:tcW w:w="244" w:type="pct"/>
            <w:tcBorders>
              <w:top w:val="nil"/>
              <w:left w:val="single" w:sz="8" w:space="0" w:color="auto"/>
              <w:bottom w:val="single" w:sz="8" w:space="0" w:color="auto"/>
              <w:right w:val="single" w:sz="8" w:space="0" w:color="auto"/>
            </w:tcBorders>
            <w:vAlign w:val="center"/>
          </w:tcPr>
          <w:p w14:paraId="645D4D0C" w14:textId="77777777" w:rsidR="00D11420" w:rsidRPr="00793A7F" w:rsidRDefault="00D11420" w:rsidP="00D710C1">
            <w:pPr>
              <w:spacing w:before="120" w:after="60"/>
              <w:jc w:val="center"/>
              <w:rPr>
                <w:sz w:val="26"/>
                <w:szCs w:val="26"/>
              </w:rPr>
            </w:pPr>
            <w:r w:rsidRPr="00793A7F">
              <w:rPr>
                <w:sz w:val="26"/>
                <w:szCs w:val="26"/>
              </w:rPr>
              <w:t>1</w:t>
            </w:r>
          </w:p>
        </w:tc>
        <w:tc>
          <w:tcPr>
            <w:tcW w:w="845" w:type="pct"/>
            <w:tcBorders>
              <w:top w:val="nil"/>
              <w:left w:val="nil"/>
              <w:bottom w:val="single" w:sz="8" w:space="0" w:color="auto"/>
              <w:right w:val="single" w:sz="8" w:space="0" w:color="auto"/>
            </w:tcBorders>
            <w:vAlign w:val="center"/>
          </w:tcPr>
          <w:p w14:paraId="6A61B5C0" w14:textId="77777777" w:rsidR="00D11420" w:rsidRPr="00D04E6B" w:rsidRDefault="00D11420" w:rsidP="00D710C1">
            <w:pPr>
              <w:spacing w:before="120" w:after="60"/>
              <w:ind w:left="128" w:right="128"/>
              <w:rPr>
                <w:sz w:val="27"/>
                <w:szCs w:val="27"/>
              </w:rPr>
            </w:pPr>
            <w:r>
              <w:rPr>
                <w:b/>
                <w:sz w:val="27"/>
                <w:szCs w:val="27"/>
              </w:rPr>
              <w:t>Máy tính xách tay</w:t>
            </w:r>
          </w:p>
        </w:tc>
        <w:tc>
          <w:tcPr>
            <w:tcW w:w="476" w:type="pct"/>
            <w:tcBorders>
              <w:top w:val="nil"/>
              <w:left w:val="single" w:sz="8" w:space="0" w:color="auto"/>
              <w:bottom w:val="single" w:sz="8" w:space="0" w:color="auto"/>
              <w:right w:val="single" w:sz="8" w:space="0" w:color="auto"/>
            </w:tcBorders>
            <w:vAlign w:val="center"/>
          </w:tcPr>
          <w:p w14:paraId="41867246" w14:textId="77777777" w:rsidR="00D11420" w:rsidRPr="00793A7F" w:rsidRDefault="00D11420" w:rsidP="00D710C1">
            <w:pPr>
              <w:widowControl w:val="0"/>
              <w:autoSpaceDE w:val="0"/>
              <w:autoSpaceDN w:val="0"/>
              <w:adjustRightInd w:val="0"/>
              <w:spacing w:before="120" w:after="60"/>
              <w:ind w:left="2"/>
              <w:jc w:val="center"/>
              <w:rPr>
                <w:sz w:val="26"/>
                <w:szCs w:val="26"/>
              </w:rPr>
            </w:pPr>
            <w:r w:rsidRPr="00BC6006">
              <w:rPr>
                <w:bCs/>
                <w:sz w:val="27"/>
                <w:szCs w:val="27"/>
              </w:rPr>
              <w:t>Chiếc</w:t>
            </w:r>
          </w:p>
        </w:tc>
        <w:tc>
          <w:tcPr>
            <w:tcW w:w="316" w:type="pct"/>
            <w:tcBorders>
              <w:top w:val="nil"/>
              <w:left w:val="nil"/>
              <w:bottom w:val="single" w:sz="8" w:space="0" w:color="auto"/>
              <w:right w:val="single" w:sz="8" w:space="0" w:color="auto"/>
            </w:tcBorders>
            <w:vAlign w:val="center"/>
          </w:tcPr>
          <w:p w14:paraId="5DDAB401" w14:textId="77777777" w:rsidR="00D11420" w:rsidRPr="00BC6006" w:rsidRDefault="00D11420" w:rsidP="00D710C1">
            <w:pPr>
              <w:widowControl w:val="0"/>
              <w:spacing w:before="120" w:after="60"/>
              <w:jc w:val="center"/>
              <w:rPr>
                <w:bCs/>
                <w:sz w:val="27"/>
                <w:szCs w:val="27"/>
              </w:rPr>
            </w:pPr>
            <w:r w:rsidRPr="00BC6006">
              <w:rPr>
                <w:bCs/>
                <w:sz w:val="27"/>
                <w:szCs w:val="27"/>
              </w:rPr>
              <w:t>0</w:t>
            </w:r>
            <w:r>
              <w:rPr>
                <w:bCs/>
                <w:sz w:val="27"/>
                <w:szCs w:val="27"/>
              </w:rPr>
              <w:t>5</w:t>
            </w:r>
          </w:p>
        </w:tc>
        <w:tc>
          <w:tcPr>
            <w:tcW w:w="3119" w:type="pct"/>
            <w:tcBorders>
              <w:top w:val="nil"/>
              <w:left w:val="nil"/>
              <w:bottom w:val="single" w:sz="8" w:space="0" w:color="auto"/>
              <w:right w:val="single" w:sz="8" w:space="0" w:color="auto"/>
            </w:tcBorders>
            <w:vAlign w:val="center"/>
          </w:tcPr>
          <w:tbl>
            <w:tblPr>
              <w:tblStyle w:val="TableGrid"/>
              <w:tblW w:w="8919" w:type="dxa"/>
              <w:tblInd w:w="0" w:type="dxa"/>
              <w:tblLayout w:type="fixed"/>
              <w:tblLook w:val="04A0" w:firstRow="1" w:lastRow="0" w:firstColumn="1" w:lastColumn="0" w:noHBand="0" w:noVBand="1"/>
            </w:tblPr>
            <w:tblGrid>
              <w:gridCol w:w="1813"/>
              <w:gridCol w:w="7106"/>
            </w:tblGrid>
            <w:tr w:rsidR="00D11420" w:rsidRPr="00793A7F" w14:paraId="54120667" w14:textId="77777777" w:rsidTr="00CF00B1">
              <w:tc>
                <w:tcPr>
                  <w:tcW w:w="8919" w:type="dxa"/>
                  <w:gridSpan w:val="2"/>
                  <w:vAlign w:val="center"/>
                </w:tcPr>
                <w:p w14:paraId="2A387CA1" w14:textId="77777777" w:rsidR="00D11420" w:rsidRPr="004A2068" w:rsidRDefault="00D11420" w:rsidP="00D710C1">
                  <w:pPr>
                    <w:spacing w:before="120" w:after="60"/>
                    <w:ind w:right="133"/>
                    <w:rPr>
                      <w:b/>
                      <w:i/>
                      <w:sz w:val="26"/>
                      <w:szCs w:val="26"/>
                    </w:rPr>
                  </w:pPr>
                  <w:r w:rsidRPr="004A2068">
                    <w:rPr>
                      <w:b/>
                      <w:i/>
                      <w:sz w:val="26"/>
                      <w:szCs w:val="26"/>
                    </w:rPr>
                    <w:t>Chất lượng hàng hóa</w:t>
                  </w:r>
                </w:p>
              </w:tc>
            </w:tr>
            <w:tr w:rsidR="00D11420" w:rsidRPr="00793A7F" w14:paraId="3A014B72" w14:textId="77777777" w:rsidTr="00CF00B1">
              <w:tc>
                <w:tcPr>
                  <w:tcW w:w="1813" w:type="dxa"/>
                  <w:vAlign w:val="center"/>
                </w:tcPr>
                <w:p w14:paraId="528C760F" w14:textId="77777777" w:rsidR="00D11420" w:rsidRPr="00793A7F" w:rsidRDefault="00D11420" w:rsidP="00D710C1">
                  <w:pPr>
                    <w:spacing w:before="120" w:after="60"/>
                    <w:ind w:right="133"/>
                    <w:rPr>
                      <w:sz w:val="26"/>
                      <w:szCs w:val="26"/>
                    </w:rPr>
                  </w:pPr>
                  <w:r w:rsidRPr="00793A7F">
                    <w:rPr>
                      <w:sz w:val="26"/>
                      <w:szCs w:val="26"/>
                    </w:rPr>
                    <w:t>Tình trạng</w:t>
                  </w:r>
                </w:p>
              </w:tc>
              <w:tc>
                <w:tcPr>
                  <w:tcW w:w="7106" w:type="dxa"/>
                  <w:vAlign w:val="center"/>
                </w:tcPr>
                <w:p w14:paraId="7199F2B7" w14:textId="77777777" w:rsidR="00D11420" w:rsidRPr="00793A7F" w:rsidRDefault="00D11420" w:rsidP="00D710C1">
                  <w:pPr>
                    <w:spacing w:before="120" w:after="60"/>
                    <w:ind w:right="133"/>
                    <w:rPr>
                      <w:sz w:val="26"/>
                      <w:szCs w:val="26"/>
                    </w:rPr>
                  </w:pPr>
                  <w:r w:rsidRPr="00793A7F">
                    <w:rPr>
                      <w:sz w:val="26"/>
                      <w:szCs w:val="26"/>
                    </w:rPr>
                    <w:t>Mới 100%, chưa qua sử dụng, hoạt động tốt, các thông số đảm bảo đúng tài liệu kỹ thuật của NSX.</w:t>
                  </w:r>
                </w:p>
              </w:tc>
            </w:tr>
            <w:tr w:rsidR="00D11420" w:rsidRPr="00793A7F" w14:paraId="29B9107F" w14:textId="77777777" w:rsidTr="00CF00B1">
              <w:tc>
                <w:tcPr>
                  <w:tcW w:w="1813" w:type="dxa"/>
                  <w:vAlign w:val="center"/>
                </w:tcPr>
                <w:p w14:paraId="5EB81CB8" w14:textId="77777777" w:rsidR="00D11420" w:rsidRPr="00793A7F" w:rsidRDefault="00D11420" w:rsidP="00D710C1">
                  <w:pPr>
                    <w:spacing w:before="120" w:after="60"/>
                    <w:ind w:right="133"/>
                    <w:rPr>
                      <w:sz w:val="26"/>
                      <w:szCs w:val="26"/>
                    </w:rPr>
                  </w:pPr>
                  <w:r w:rsidRPr="00793A7F">
                    <w:rPr>
                      <w:sz w:val="26"/>
                      <w:szCs w:val="26"/>
                    </w:rPr>
                    <w:t>Chứng nhận chất lượng, xuất xứ</w:t>
                  </w:r>
                </w:p>
              </w:tc>
              <w:tc>
                <w:tcPr>
                  <w:tcW w:w="7106" w:type="dxa"/>
                  <w:vAlign w:val="center"/>
                </w:tcPr>
                <w:p w14:paraId="5832A38C" w14:textId="77777777" w:rsidR="00D11420" w:rsidRPr="00793A7F" w:rsidRDefault="00D11420" w:rsidP="00D710C1">
                  <w:pPr>
                    <w:spacing w:before="120" w:after="60"/>
                    <w:ind w:right="133"/>
                    <w:rPr>
                      <w:sz w:val="26"/>
                      <w:szCs w:val="26"/>
                    </w:rPr>
                  </w:pPr>
                  <w:r w:rsidRPr="00793A7F">
                    <w:rPr>
                      <w:sz w:val="26"/>
                      <w:szCs w:val="26"/>
                    </w:rPr>
                    <w:t>Chứng chỉ CO (Certificate of Origin) của nước sản xuất và chứng chỉ CQ (Certificate of Quality) của hãng sản xuất thiết bị. Bản gốc hoặc bản sao công chứng (có bản gốc để đối chiếu).</w:t>
                  </w:r>
                </w:p>
              </w:tc>
            </w:tr>
            <w:tr w:rsidR="00D11420" w:rsidRPr="00793A7F" w14:paraId="138B5B14" w14:textId="77777777" w:rsidTr="00CF00B1">
              <w:tc>
                <w:tcPr>
                  <w:tcW w:w="1813" w:type="dxa"/>
                  <w:vAlign w:val="center"/>
                </w:tcPr>
                <w:p w14:paraId="3BBA9B6C" w14:textId="77777777" w:rsidR="00D11420" w:rsidRPr="00793A7F" w:rsidRDefault="00D11420" w:rsidP="00D710C1">
                  <w:pPr>
                    <w:spacing w:before="120" w:after="60"/>
                    <w:ind w:right="133"/>
                    <w:rPr>
                      <w:sz w:val="26"/>
                      <w:szCs w:val="26"/>
                    </w:rPr>
                  </w:pPr>
                  <w:r w:rsidRPr="00793A7F">
                    <w:rPr>
                      <w:sz w:val="26"/>
                      <w:szCs w:val="26"/>
                    </w:rPr>
                    <w:t>Năm sản xuất</w:t>
                  </w:r>
                </w:p>
              </w:tc>
              <w:tc>
                <w:tcPr>
                  <w:tcW w:w="7106" w:type="dxa"/>
                  <w:vAlign w:val="center"/>
                </w:tcPr>
                <w:p w14:paraId="00E95C6C" w14:textId="3385EA25" w:rsidR="00D11420" w:rsidRPr="00793A7F" w:rsidRDefault="00D11420" w:rsidP="00D710C1">
                  <w:pPr>
                    <w:spacing w:before="120" w:after="60"/>
                    <w:ind w:right="133"/>
                    <w:rPr>
                      <w:sz w:val="26"/>
                      <w:szCs w:val="26"/>
                    </w:rPr>
                  </w:pPr>
                  <w:r w:rsidRPr="00793A7F">
                    <w:rPr>
                      <w:bCs/>
                      <w:sz w:val="26"/>
                      <w:szCs w:val="26"/>
                      <w:lang w:val="nl-NL"/>
                    </w:rPr>
                    <w:t>202</w:t>
                  </w:r>
                  <w:r w:rsidR="001A3027">
                    <w:rPr>
                      <w:bCs/>
                      <w:sz w:val="26"/>
                      <w:szCs w:val="26"/>
                      <w:lang w:val="nl-NL"/>
                    </w:rPr>
                    <w:t>3</w:t>
                  </w:r>
                  <w:r w:rsidRPr="00793A7F">
                    <w:rPr>
                      <w:bCs/>
                      <w:sz w:val="26"/>
                      <w:szCs w:val="26"/>
                      <w:lang w:val="nl-NL"/>
                    </w:rPr>
                    <w:t xml:space="preserve"> trở về sau</w:t>
                  </w:r>
                </w:p>
              </w:tc>
            </w:tr>
            <w:tr w:rsidR="00D11420" w:rsidRPr="00793A7F" w14:paraId="627E033B" w14:textId="77777777" w:rsidTr="00CF00B1">
              <w:tc>
                <w:tcPr>
                  <w:tcW w:w="8919" w:type="dxa"/>
                  <w:gridSpan w:val="2"/>
                  <w:vAlign w:val="center"/>
                </w:tcPr>
                <w:p w14:paraId="6431B873" w14:textId="77777777" w:rsidR="00D11420" w:rsidRPr="00793A7F" w:rsidRDefault="00D11420" w:rsidP="00D710C1">
                  <w:pPr>
                    <w:spacing w:before="120" w:after="60"/>
                    <w:ind w:right="133"/>
                    <w:rPr>
                      <w:sz w:val="26"/>
                      <w:szCs w:val="26"/>
                    </w:rPr>
                  </w:pPr>
                  <w:r w:rsidRPr="004A2068">
                    <w:rPr>
                      <w:b/>
                      <w:i/>
                      <w:sz w:val="26"/>
                      <w:szCs w:val="26"/>
                    </w:rPr>
                    <w:t>Thông số kỹ thuật:</w:t>
                  </w:r>
                </w:p>
              </w:tc>
            </w:tr>
            <w:tr w:rsidR="00D11420" w:rsidRPr="00793A7F" w14:paraId="25DD7D3E" w14:textId="77777777" w:rsidTr="00CF00B1">
              <w:trPr>
                <w:trHeight w:val="557"/>
              </w:trPr>
              <w:tc>
                <w:tcPr>
                  <w:tcW w:w="1813" w:type="dxa"/>
                  <w:vAlign w:val="center"/>
                </w:tcPr>
                <w:p w14:paraId="174EE2BA" w14:textId="77777777" w:rsidR="00D11420" w:rsidRPr="00793A7F" w:rsidRDefault="00D11420" w:rsidP="00D710C1">
                  <w:pPr>
                    <w:spacing w:before="120" w:after="60"/>
                    <w:ind w:right="133"/>
                    <w:rPr>
                      <w:sz w:val="26"/>
                      <w:szCs w:val="26"/>
                    </w:rPr>
                  </w:pPr>
                  <w:r>
                    <w:rPr>
                      <w:sz w:val="26"/>
                      <w:szCs w:val="26"/>
                    </w:rPr>
                    <w:t>CPU</w:t>
                  </w:r>
                </w:p>
              </w:tc>
              <w:tc>
                <w:tcPr>
                  <w:tcW w:w="7106" w:type="dxa"/>
                  <w:vAlign w:val="center"/>
                </w:tcPr>
                <w:p w14:paraId="485CA973" w14:textId="19903AFB" w:rsidR="00D11420" w:rsidRPr="00793A7F" w:rsidRDefault="00D11420" w:rsidP="00D710C1">
                  <w:pPr>
                    <w:spacing w:before="120" w:after="60"/>
                    <w:ind w:right="133"/>
                    <w:rPr>
                      <w:bCs/>
                      <w:sz w:val="26"/>
                      <w:szCs w:val="26"/>
                      <w:lang w:val="nl-NL"/>
                    </w:rPr>
                  </w:pPr>
                  <w:r>
                    <w:rPr>
                      <w:bCs/>
                      <w:sz w:val="26"/>
                      <w:szCs w:val="26"/>
                      <w:lang w:val="nl-NL"/>
                    </w:rPr>
                    <w:t xml:space="preserve">≥ </w:t>
                  </w:r>
                  <w:r w:rsidR="001A3027" w:rsidRPr="001A3027">
                    <w:rPr>
                      <w:bCs/>
                      <w:sz w:val="26"/>
                      <w:szCs w:val="26"/>
                      <w:lang w:val="nl-NL"/>
                    </w:rPr>
                    <w:t>Core I7 (Thế hệ 12) hoặc AMD Ryzen 7 (5800H)</w:t>
                  </w:r>
                  <w:r w:rsidR="001A30F5">
                    <w:rPr>
                      <w:bCs/>
                      <w:sz w:val="26"/>
                      <w:szCs w:val="26"/>
                      <w:lang w:val="nl-NL"/>
                    </w:rPr>
                    <w:t>;</w:t>
                  </w:r>
                </w:p>
              </w:tc>
            </w:tr>
            <w:tr w:rsidR="00D11420" w:rsidRPr="00793A7F" w14:paraId="06F507C9" w14:textId="77777777" w:rsidTr="00CF00B1">
              <w:trPr>
                <w:trHeight w:val="557"/>
              </w:trPr>
              <w:tc>
                <w:tcPr>
                  <w:tcW w:w="1813" w:type="dxa"/>
                  <w:vAlign w:val="center"/>
                </w:tcPr>
                <w:p w14:paraId="3D1A6C8B" w14:textId="77777777" w:rsidR="00D11420" w:rsidRPr="00793A7F" w:rsidRDefault="00D11420" w:rsidP="00D710C1">
                  <w:pPr>
                    <w:spacing w:before="120" w:after="60"/>
                    <w:ind w:right="133"/>
                    <w:rPr>
                      <w:sz w:val="26"/>
                      <w:szCs w:val="26"/>
                    </w:rPr>
                  </w:pPr>
                  <w:r>
                    <w:rPr>
                      <w:sz w:val="26"/>
                      <w:szCs w:val="26"/>
                    </w:rPr>
                    <w:t>RAM</w:t>
                  </w:r>
                </w:p>
              </w:tc>
              <w:tc>
                <w:tcPr>
                  <w:tcW w:w="7106" w:type="dxa"/>
                  <w:vAlign w:val="center"/>
                </w:tcPr>
                <w:p w14:paraId="39C2F31A" w14:textId="05A922EA" w:rsidR="00D11420" w:rsidRPr="00793A7F" w:rsidRDefault="00D11420" w:rsidP="00D710C1">
                  <w:pPr>
                    <w:spacing w:before="120" w:after="60"/>
                    <w:ind w:right="133"/>
                    <w:rPr>
                      <w:sz w:val="26"/>
                      <w:szCs w:val="26"/>
                    </w:rPr>
                  </w:pPr>
                  <w:r w:rsidRPr="001066CD">
                    <w:rPr>
                      <w:bCs/>
                      <w:sz w:val="26"/>
                      <w:szCs w:val="26"/>
                      <w:lang w:val="nl-NL"/>
                    </w:rPr>
                    <w:t>≥ 16 G</w:t>
                  </w:r>
                  <w:r w:rsidR="001A30F5">
                    <w:rPr>
                      <w:bCs/>
                      <w:sz w:val="26"/>
                      <w:szCs w:val="26"/>
                      <w:lang w:val="nl-NL"/>
                    </w:rPr>
                    <w:t>B</w:t>
                  </w:r>
                  <w:r w:rsidRPr="001066CD">
                    <w:rPr>
                      <w:bCs/>
                      <w:sz w:val="26"/>
                      <w:szCs w:val="26"/>
                      <w:lang w:val="nl-NL"/>
                    </w:rPr>
                    <w:t>,</w:t>
                  </w:r>
                  <w:r w:rsidR="001A30F5">
                    <w:rPr>
                      <w:bCs/>
                      <w:sz w:val="26"/>
                      <w:szCs w:val="26"/>
                      <w:lang w:val="nl-NL"/>
                    </w:rPr>
                    <w:t xml:space="preserve"> có</w:t>
                  </w:r>
                  <w:r w:rsidRPr="001066CD">
                    <w:rPr>
                      <w:bCs/>
                      <w:sz w:val="26"/>
                      <w:szCs w:val="26"/>
                      <w:lang w:val="nl-NL"/>
                    </w:rPr>
                    <w:t xml:space="preserve"> ≥ </w:t>
                  </w:r>
                  <w:r w:rsidR="001A30F5">
                    <w:rPr>
                      <w:bCs/>
                      <w:sz w:val="26"/>
                      <w:szCs w:val="26"/>
                      <w:lang w:val="nl-NL"/>
                    </w:rPr>
                    <w:t>02 khe RAM</w:t>
                  </w:r>
                  <w:r w:rsidRPr="001066CD">
                    <w:rPr>
                      <w:bCs/>
                      <w:sz w:val="26"/>
                      <w:szCs w:val="26"/>
                      <w:lang w:val="nl-NL"/>
                    </w:rPr>
                    <w:t>,</w:t>
                  </w:r>
                  <w:r w:rsidR="00F70431">
                    <w:rPr>
                      <w:bCs/>
                      <w:sz w:val="26"/>
                      <w:szCs w:val="26"/>
                      <w:lang w:val="nl-NL"/>
                    </w:rPr>
                    <w:t xml:space="preserve"> bus </w:t>
                  </w:r>
                  <w:r w:rsidR="00F70431" w:rsidRPr="001066CD">
                    <w:rPr>
                      <w:bCs/>
                      <w:sz w:val="26"/>
                      <w:szCs w:val="26"/>
                      <w:lang w:val="nl-NL"/>
                    </w:rPr>
                    <w:t>≥</w:t>
                  </w:r>
                  <w:r w:rsidR="00F70431">
                    <w:rPr>
                      <w:bCs/>
                      <w:sz w:val="26"/>
                      <w:szCs w:val="26"/>
                      <w:lang w:val="nl-NL"/>
                    </w:rPr>
                    <w:t xml:space="preserve"> 5200</w:t>
                  </w:r>
                  <w:r w:rsidR="004952DD">
                    <w:rPr>
                      <w:bCs/>
                      <w:sz w:val="26"/>
                      <w:szCs w:val="26"/>
                      <w:lang w:val="nl-NL"/>
                    </w:rPr>
                    <w:t>MHz</w:t>
                  </w:r>
                  <w:r w:rsidR="00F70431">
                    <w:rPr>
                      <w:bCs/>
                      <w:sz w:val="26"/>
                      <w:szCs w:val="26"/>
                      <w:lang w:val="nl-NL"/>
                    </w:rPr>
                    <w:t>,</w:t>
                  </w:r>
                  <w:r w:rsidRPr="001066CD">
                    <w:rPr>
                      <w:bCs/>
                      <w:sz w:val="26"/>
                      <w:szCs w:val="26"/>
                      <w:lang w:val="nl-NL"/>
                    </w:rPr>
                    <w:t xml:space="preserve"> có </w:t>
                  </w:r>
                  <w:r w:rsidR="001A30F5">
                    <w:rPr>
                      <w:bCs/>
                      <w:sz w:val="26"/>
                      <w:szCs w:val="26"/>
                      <w:lang w:val="nl-NL"/>
                    </w:rPr>
                    <w:t>thể</w:t>
                  </w:r>
                  <w:r w:rsidRPr="001066CD">
                    <w:rPr>
                      <w:bCs/>
                      <w:sz w:val="26"/>
                      <w:szCs w:val="26"/>
                      <w:lang w:val="nl-NL"/>
                    </w:rPr>
                    <w:t xml:space="preserve"> nâng cấp</w:t>
                  </w:r>
                  <w:r w:rsidR="001A30F5">
                    <w:rPr>
                      <w:bCs/>
                      <w:sz w:val="26"/>
                      <w:szCs w:val="26"/>
                      <w:lang w:val="nl-NL"/>
                    </w:rPr>
                    <w:t>;</w:t>
                  </w:r>
                </w:p>
              </w:tc>
            </w:tr>
            <w:tr w:rsidR="00D11420" w:rsidRPr="00793A7F" w14:paraId="4200A715" w14:textId="77777777" w:rsidTr="00CF00B1">
              <w:tc>
                <w:tcPr>
                  <w:tcW w:w="1813" w:type="dxa"/>
                  <w:vAlign w:val="center"/>
                </w:tcPr>
                <w:p w14:paraId="01386D9C" w14:textId="77777777" w:rsidR="00D11420" w:rsidRPr="00793A7F" w:rsidRDefault="00D11420" w:rsidP="00D710C1">
                  <w:pPr>
                    <w:spacing w:before="120" w:after="60"/>
                    <w:ind w:right="133"/>
                    <w:rPr>
                      <w:sz w:val="26"/>
                      <w:szCs w:val="26"/>
                    </w:rPr>
                  </w:pPr>
                  <w:r>
                    <w:rPr>
                      <w:sz w:val="26"/>
                      <w:szCs w:val="26"/>
                    </w:rPr>
                    <w:lastRenderedPageBreak/>
                    <w:t>Ổ cứng</w:t>
                  </w:r>
                </w:p>
              </w:tc>
              <w:tc>
                <w:tcPr>
                  <w:tcW w:w="7106" w:type="dxa"/>
                  <w:vAlign w:val="center"/>
                </w:tcPr>
                <w:p w14:paraId="6CD1A700" w14:textId="35C0E50E" w:rsidR="00D11420" w:rsidRPr="00793A7F" w:rsidRDefault="00D11420" w:rsidP="00D710C1">
                  <w:pPr>
                    <w:spacing w:before="120" w:after="60"/>
                    <w:ind w:right="133"/>
                    <w:rPr>
                      <w:sz w:val="26"/>
                      <w:szCs w:val="26"/>
                    </w:rPr>
                  </w:pPr>
                  <w:r w:rsidRPr="001066CD">
                    <w:rPr>
                      <w:bCs/>
                      <w:sz w:val="26"/>
                      <w:szCs w:val="26"/>
                      <w:lang w:val="nl-NL"/>
                    </w:rPr>
                    <w:t>≥ 512 GB NVMe</w:t>
                  </w:r>
                  <w:r w:rsidR="001A30F5">
                    <w:rPr>
                      <w:bCs/>
                      <w:sz w:val="26"/>
                      <w:szCs w:val="26"/>
                      <w:lang w:val="nl-NL"/>
                    </w:rPr>
                    <w:t>;</w:t>
                  </w:r>
                </w:p>
              </w:tc>
            </w:tr>
            <w:tr w:rsidR="00D11420" w:rsidRPr="00793A7F" w14:paraId="52C3ABA0" w14:textId="77777777" w:rsidTr="00CF00B1">
              <w:tc>
                <w:tcPr>
                  <w:tcW w:w="1813" w:type="dxa"/>
                  <w:vAlign w:val="center"/>
                </w:tcPr>
                <w:p w14:paraId="2E16AE37" w14:textId="77777777" w:rsidR="00D11420" w:rsidRPr="00793A7F" w:rsidRDefault="00D11420" w:rsidP="00D710C1">
                  <w:pPr>
                    <w:spacing w:before="120" w:after="60"/>
                    <w:ind w:right="133"/>
                    <w:rPr>
                      <w:sz w:val="26"/>
                      <w:szCs w:val="26"/>
                    </w:rPr>
                  </w:pPr>
                  <w:r>
                    <w:rPr>
                      <w:sz w:val="26"/>
                      <w:szCs w:val="26"/>
                    </w:rPr>
                    <w:t>Card đồ họa</w:t>
                  </w:r>
                </w:p>
              </w:tc>
              <w:tc>
                <w:tcPr>
                  <w:tcW w:w="7106" w:type="dxa"/>
                  <w:vAlign w:val="center"/>
                </w:tcPr>
                <w:p w14:paraId="372648CD" w14:textId="3C11DA75" w:rsidR="00D11420" w:rsidRPr="00793A7F" w:rsidRDefault="00D11420" w:rsidP="00D710C1">
                  <w:pPr>
                    <w:spacing w:before="120" w:after="60"/>
                    <w:ind w:right="133"/>
                    <w:rPr>
                      <w:bCs/>
                      <w:sz w:val="26"/>
                      <w:szCs w:val="26"/>
                      <w:lang w:val="nl-NL"/>
                    </w:rPr>
                  </w:pPr>
                  <w:r>
                    <w:rPr>
                      <w:bCs/>
                      <w:sz w:val="26"/>
                      <w:szCs w:val="26"/>
                      <w:lang w:val="nl-NL"/>
                    </w:rPr>
                    <w:t>≥ NVIDIA GeForce RTX 3050</w:t>
                  </w:r>
                  <w:r w:rsidR="001A30F5">
                    <w:rPr>
                      <w:bCs/>
                      <w:sz w:val="26"/>
                      <w:szCs w:val="26"/>
                      <w:lang w:val="nl-NL"/>
                    </w:rPr>
                    <w:t>;</w:t>
                  </w:r>
                </w:p>
              </w:tc>
            </w:tr>
            <w:tr w:rsidR="00D11420" w:rsidRPr="00793A7F" w14:paraId="2710F76C" w14:textId="77777777" w:rsidTr="00CF00B1">
              <w:tc>
                <w:tcPr>
                  <w:tcW w:w="1813" w:type="dxa"/>
                  <w:vAlign w:val="center"/>
                </w:tcPr>
                <w:p w14:paraId="379BFA15" w14:textId="77777777" w:rsidR="00D11420" w:rsidRPr="00793A7F" w:rsidRDefault="00D11420" w:rsidP="00D710C1">
                  <w:pPr>
                    <w:spacing w:before="120" w:after="60"/>
                    <w:ind w:right="133"/>
                    <w:rPr>
                      <w:sz w:val="26"/>
                      <w:szCs w:val="26"/>
                    </w:rPr>
                  </w:pPr>
                  <w:r>
                    <w:rPr>
                      <w:sz w:val="26"/>
                      <w:szCs w:val="26"/>
                    </w:rPr>
                    <w:t>Màn hình</w:t>
                  </w:r>
                </w:p>
              </w:tc>
              <w:tc>
                <w:tcPr>
                  <w:tcW w:w="7106" w:type="dxa"/>
                  <w:vAlign w:val="center"/>
                </w:tcPr>
                <w:p w14:paraId="75D5D31D" w14:textId="0A9BD446" w:rsidR="00D11420" w:rsidRPr="00793A7F" w:rsidRDefault="001A30F5" w:rsidP="00D710C1">
                  <w:pPr>
                    <w:spacing w:before="120" w:after="60"/>
                    <w:ind w:right="133"/>
                    <w:rPr>
                      <w:sz w:val="26"/>
                      <w:szCs w:val="26"/>
                    </w:rPr>
                  </w:pPr>
                  <w:r>
                    <w:rPr>
                      <w:bCs/>
                      <w:sz w:val="26"/>
                      <w:szCs w:val="26"/>
                      <w:lang w:val="nl-NL"/>
                    </w:rPr>
                    <w:t xml:space="preserve">≥ </w:t>
                  </w:r>
                  <w:r w:rsidR="00D11420" w:rsidRPr="001066CD">
                    <w:rPr>
                      <w:bCs/>
                      <w:sz w:val="26"/>
                      <w:szCs w:val="26"/>
                      <w:lang w:val="nl-NL"/>
                    </w:rPr>
                    <w:t>15” FHD</w:t>
                  </w:r>
                </w:p>
              </w:tc>
            </w:tr>
            <w:tr w:rsidR="00D11420" w:rsidRPr="00793A7F" w14:paraId="6777408E" w14:textId="77777777" w:rsidTr="00CF00B1">
              <w:tc>
                <w:tcPr>
                  <w:tcW w:w="1813" w:type="dxa"/>
                  <w:vAlign w:val="center"/>
                </w:tcPr>
                <w:p w14:paraId="0A7CC10B" w14:textId="77777777" w:rsidR="00D11420" w:rsidRPr="00793A7F" w:rsidRDefault="00D11420" w:rsidP="00D710C1">
                  <w:pPr>
                    <w:spacing w:before="120" w:after="60"/>
                    <w:ind w:right="133"/>
                    <w:rPr>
                      <w:sz w:val="26"/>
                      <w:szCs w:val="26"/>
                    </w:rPr>
                  </w:pPr>
                  <w:r>
                    <w:rPr>
                      <w:sz w:val="26"/>
                      <w:szCs w:val="26"/>
                    </w:rPr>
                    <w:t>Hệ điều hành</w:t>
                  </w:r>
                </w:p>
              </w:tc>
              <w:tc>
                <w:tcPr>
                  <w:tcW w:w="7106" w:type="dxa"/>
                  <w:vAlign w:val="center"/>
                </w:tcPr>
                <w:p w14:paraId="6F06805C" w14:textId="77777777" w:rsidR="00D11420" w:rsidRPr="00793A7F" w:rsidRDefault="005F0C63" w:rsidP="00D710C1">
                  <w:pPr>
                    <w:spacing w:before="120" w:after="60"/>
                    <w:ind w:right="133"/>
                    <w:rPr>
                      <w:bCs/>
                      <w:sz w:val="26"/>
                      <w:szCs w:val="26"/>
                      <w:lang w:val="nl-NL"/>
                    </w:rPr>
                  </w:pPr>
                  <w:r>
                    <w:rPr>
                      <w:bCs/>
                      <w:sz w:val="26"/>
                      <w:szCs w:val="26"/>
                      <w:lang w:val="nl-NL"/>
                    </w:rPr>
                    <w:t>Windows 11</w:t>
                  </w:r>
                </w:p>
              </w:tc>
            </w:tr>
            <w:tr w:rsidR="00D11420" w:rsidRPr="00793A7F" w14:paraId="5668EC11" w14:textId="77777777" w:rsidTr="00CF00B1">
              <w:tc>
                <w:tcPr>
                  <w:tcW w:w="1813" w:type="dxa"/>
                  <w:vAlign w:val="center"/>
                </w:tcPr>
                <w:p w14:paraId="7FE99F14" w14:textId="77777777" w:rsidR="00D11420" w:rsidRDefault="00D11420" w:rsidP="00D710C1">
                  <w:pPr>
                    <w:spacing w:before="120" w:after="60"/>
                    <w:ind w:right="133"/>
                    <w:rPr>
                      <w:sz w:val="26"/>
                      <w:szCs w:val="26"/>
                    </w:rPr>
                  </w:pPr>
                  <w:r>
                    <w:rPr>
                      <w:sz w:val="26"/>
                      <w:szCs w:val="26"/>
                    </w:rPr>
                    <w:t>Bảo hành</w:t>
                  </w:r>
                </w:p>
              </w:tc>
              <w:tc>
                <w:tcPr>
                  <w:tcW w:w="7106" w:type="dxa"/>
                  <w:vAlign w:val="center"/>
                </w:tcPr>
                <w:p w14:paraId="4088AD30" w14:textId="77777777" w:rsidR="00D11420" w:rsidRDefault="00D11420" w:rsidP="00D710C1">
                  <w:pPr>
                    <w:spacing w:before="120" w:after="60"/>
                    <w:ind w:right="133"/>
                    <w:rPr>
                      <w:bCs/>
                      <w:sz w:val="26"/>
                      <w:szCs w:val="26"/>
                      <w:lang w:val="nl-NL"/>
                    </w:rPr>
                  </w:pPr>
                  <w:r w:rsidRPr="006E5721">
                    <w:rPr>
                      <w:bCs/>
                      <w:sz w:val="26"/>
                      <w:szCs w:val="26"/>
                      <w:lang w:val="nl-NL"/>
                    </w:rPr>
                    <w:t>≥ 12 thán</w:t>
                  </w:r>
                  <w:r w:rsidR="0055193E">
                    <w:rPr>
                      <w:bCs/>
                      <w:sz w:val="26"/>
                      <w:szCs w:val="26"/>
                      <w:lang w:val="nl-NL"/>
                    </w:rPr>
                    <w:t>g chính hãng tại Việt Nam</w:t>
                  </w:r>
                </w:p>
              </w:tc>
            </w:tr>
          </w:tbl>
          <w:p w14:paraId="12353C05" w14:textId="77777777" w:rsidR="00D11420" w:rsidRPr="00793A7F" w:rsidRDefault="00D11420" w:rsidP="00D710C1">
            <w:pPr>
              <w:spacing w:before="120" w:after="60"/>
              <w:ind w:right="133"/>
              <w:jc w:val="center"/>
              <w:rPr>
                <w:sz w:val="26"/>
                <w:szCs w:val="26"/>
              </w:rPr>
            </w:pPr>
          </w:p>
        </w:tc>
      </w:tr>
    </w:tbl>
    <w:p w14:paraId="4A16BE13" w14:textId="77777777" w:rsidR="00793A7F" w:rsidRPr="00793A7F" w:rsidRDefault="00793A7F" w:rsidP="00D710C1">
      <w:pPr>
        <w:spacing w:before="120" w:after="120"/>
        <w:ind w:firstLine="709"/>
        <w:rPr>
          <w:b/>
          <w:i/>
          <w:sz w:val="28"/>
          <w:szCs w:val="28"/>
          <w:lang w:val="nl-NL"/>
        </w:rPr>
      </w:pPr>
      <w:r w:rsidRPr="00793A7F">
        <w:rPr>
          <w:b/>
          <w:i/>
          <w:sz w:val="28"/>
          <w:szCs w:val="28"/>
          <w:lang w:val="nl-NL"/>
        </w:rPr>
        <w:lastRenderedPageBreak/>
        <w:t>1.3. Các yêu cầu khác</w:t>
      </w:r>
    </w:p>
    <w:p w14:paraId="6586BC09" w14:textId="77777777" w:rsidR="00793A7F" w:rsidRPr="00793A7F" w:rsidRDefault="00793A7F" w:rsidP="00D710C1">
      <w:pPr>
        <w:widowControl w:val="0"/>
        <w:spacing w:before="120" w:after="20"/>
        <w:ind w:firstLine="720"/>
        <w:rPr>
          <w:sz w:val="27"/>
          <w:szCs w:val="27"/>
          <w:lang w:val="fr-FR"/>
        </w:rPr>
      </w:pPr>
      <w:r w:rsidRPr="00793A7F">
        <w:rPr>
          <w:sz w:val="27"/>
          <w:szCs w:val="27"/>
          <w:lang w:val="fr-FR"/>
        </w:rPr>
        <w:t xml:space="preserve">1.3.1. Phương thức thanh toán: </w:t>
      </w:r>
    </w:p>
    <w:p w14:paraId="7CE89D00" w14:textId="77777777" w:rsidR="00793A7F" w:rsidRPr="00793A7F" w:rsidRDefault="00793A7F" w:rsidP="00D710C1">
      <w:pPr>
        <w:widowControl w:val="0"/>
        <w:spacing w:before="120" w:after="20"/>
        <w:ind w:firstLine="720"/>
        <w:rPr>
          <w:sz w:val="27"/>
          <w:szCs w:val="27"/>
        </w:rPr>
      </w:pPr>
      <w:r w:rsidRPr="00793A7F">
        <w:rPr>
          <w:sz w:val="27"/>
          <w:szCs w:val="27"/>
          <w:lang w:val="es-ES"/>
        </w:rPr>
        <w:t xml:space="preserve">a. </w:t>
      </w:r>
      <w:r w:rsidRPr="00793A7F">
        <w:rPr>
          <w:sz w:val="27"/>
          <w:szCs w:val="27"/>
        </w:rPr>
        <w:t>Tạm ứng: Không tạm ứng.</w:t>
      </w:r>
    </w:p>
    <w:p w14:paraId="02DC133F" w14:textId="77777777" w:rsidR="00793A7F" w:rsidRPr="00793A7F" w:rsidRDefault="00793A7F" w:rsidP="00D710C1">
      <w:pPr>
        <w:pStyle w:val="BodyText"/>
        <w:widowControl w:val="0"/>
        <w:spacing w:before="120" w:after="20"/>
        <w:ind w:firstLine="720"/>
        <w:rPr>
          <w:i/>
          <w:iCs/>
          <w:spacing w:val="0"/>
          <w:sz w:val="27"/>
          <w:szCs w:val="27"/>
          <w:lang w:val="it-IT"/>
        </w:rPr>
      </w:pPr>
      <w:r w:rsidRPr="00793A7F">
        <w:rPr>
          <w:bCs/>
          <w:spacing w:val="0"/>
          <w:sz w:val="27"/>
          <w:szCs w:val="27"/>
          <w:lang w:val="it-IT"/>
        </w:rPr>
        <w:t>b. Hình thức thanh toán:</w:t>
      </w:r>
      <w:r w:rsidRPr="00793A7F">
        <w:rPr>
          <w:spacing w:val="0"/>
          <w:sz w:val="27"/>
          <w:szCs w:val="27"/>
          <w:lang w:val="it-IT"/>
        </w:rPr>
        <w:t xml:space="preserve"> Chuyển khoản.</w:t>
      </w:r>
    </w:p>
    <w:p w14:paraId="4FDB104F" w14:textId="77777777" w:rsidR="00793A7F" w:rsidRPr="00793A7F" w:rsidRDefault="00793A7F" w:rsidP="00D710C1">
      <w:pPr>
        <w:pStyle w:val="BodyText"/>
        <w:widowControl w:val="0"/>
        <w:spacing w:before="120" w:after="20"/>
        <w:ind w:firstLine="720"/>
        <w:rPr>
          <w:spacing w:val="0"/>
          <w:sz w:val="27"/>
          <w:szCs w:val="27"/>
          <w:lang w:val="it-IT"/>
        </w:rPr>
      </w:pPr>
      <w:r w:rsidRPr="00793A7F">
        <w:rPr>
          <w:bCs/>
          <w:spacing w:val="0"/>
          <w:sz w:val="27"/>
          <w:szCs w:val="27"/>
          <w:lang w:val="it-IT"/>
        </w:rPr>
        <w:t>c. Thời hạn thanh toán:</w:t>
      </w:r>
      <w:r w:rsidRPr="00793A7F">
        <w:rPr>
          <w:spacing w:val="0"/>
          <w:sz w:val="27"/>
          <w:szCs w:val="27"/>
          <w:lang w:val="it-IT"/>
        </w:rPr>
        <w:t xml:space="preserve"> Không quá 10 ngày làm việc kể từ khi nhà thầu xuất trình đầy đủ các chứng từ theo yêu cầu.</w:t>
      </w:r>
    </w:p>
    <w:p w14:paraId="220D77ED" w14:textId="77777777" w:rsidR="00793A7F" w:rsidRPr="00793A7F" w:rsidRDefault="00793A7F" w:rsidP="00D710C1">
      <w:pPr>
        <w:pStyle w:val="BodyText"/>
        <w:widowControl w:val="0"/>
        <w:spacing w:before="120" w:after="20"/>
        <w:ind w:firstLine="720"/>
        <w:rPr>
          <w:bCs/>
          <w:spacing w:val="0"/>
          <w:sz w:val="27"/>
          <w:szCs w:val="27"/>
          <w:lang w:val="it-IT"/>
        </w:rPr>
      </w:pPr>
      <w:r w:rsidRPr="00793A7F">
        <w:rPr>
          <w:bCs/>
          <w:spacing w:val="0"/>
          <w:sz w:val="27"/>
          <w:szCs w:val="27"/>
          <w:lang w:val="it-IT"/>
        </w:rPr>
        <w:t xml:space="preserve">d. Phương thức thanh toán: </w:t>
      </w:r>
    </w:p>
    <w:p w14:paraId="79BE85AD" w14:textId="77777777" w:rsidR="00793A7F" w:rsidRPr="00793A7F" w:rsidRDefault="00793A7F" w:rsidP="00D710C1">
      <w:pPr>
        <w:pStyle w:val="BodyText"/>
        <w:widowControl w:val="0"/>
        <w:spacing w:before="120" w:after="20"/>
        <w:ind w:firstLine="720"/>
        <w:rPr>
          <w:spacing w:val="0"/>
          <w:sz w:val="27"/>
          <w:szCs w:val="27"/>
          <w:lang w:val="it-IT"/>
        </w:rPr>
      </w:pPr>
      <w:r w:rsidRPr="00793A7F">
        <w:rPr>
          <w:spacing w:val="0"/>
          <w:sz w:val="27"/>
          <w:szCs w:val="27"/>
        </w:rPr>
        <w:t>Chủ đầu tư</w:t>
      </w:r>
      <w:r w:rsidRPr="00793A7F">
        <w:rPr>
          <w:spacing w:val="0"/>
          <w:sz w:val="27"/>
          <w:szCs w:val="27"/>
          <w:lang w:val="nl-NL"/>
        </w:rPr>
        <w:t xml:space="preserve"> (Bên A) sẽ thanh toán cho Nhà thầu 100% giá trị thực hiện hợp đồng</w:t>
      </w:r>
      <w:r w:rsidRPr="00793A7F">
        <w:rPr>
          <w:spacing w:val="0"/>
          <w:sz w:val="27"/>
          <w:szCs w:val="27"/>
          <w:lang w:val="it-IT"/>
        </w:rPr>
        <w:t xml:space="preserve"> sau khi </w:t>
      </w:r>
      <w:r w:rsidRPr="00793A7F">
        <w:rPr>
          <w:spacing w:val="0"/>
          <w:sz w:val="27"/>
          <w:szCs w:val="27"/>
          <w:lang w:val="nl-NL"/>
        </w:rPr>
        <w:t>Nhà thầu</w:t>
      </w:r>
      <w:r w:rsidRPr="00793A7F">
        <w:rPr>
          <w:spacing w:val="0"/>
          <w:sz w:val="27"/>
          <w:szCs w:val="27"/>
          <w:lang w:val="it-IT"/>
        </w:rPr>
        <w:t xml:space="preserve"> (Bên B) cung cấp cho </w:t>
      </w:r>
      <w:r w:rsidRPr="00793A7F">
        <w:rPr>
          <w:spacing w:val="0"/>
          <w:sz w:val="27"/>
          <w:szCs w:val="27"/>
        </w:rPr>
        <w:t>Bên A</w:t>
      </w:r>
      <w:r w:rsidRPr="00793A7F">
        <w:rPr>
          <w:spacing w:val="0"/>
          <w:sz w:val="27"/>
          <w:szCs w:val="27"/>
          <w:lang w:val="it-IT"/>
        </w:rPr>
        <w:t xml:space="preserve"> các hồ sơ, chứng từ thanh toán đảm bảo theo quy định gồm:</w:t>
      </w:r>
    </w:p>
    <w:p w14:paraId="1D1B4219" w14:textId="77777777" w:rsidR="00793A7F" w:rsidRPr="00793A7F" w:rsidRDefault="00793A7F" w:rsidP="00D710C1">
      <w:pPr>
        <w:spacing w:before="120" w:after="20"/>
        <w:ind w:firstLine="720"/>
        <w:rPr>
          <w:sz w:val="27"/>
          <w:szCs w:val="27"/>
          <w:lang w:val="nl-NL"/>
        </w:rPr>
      </w:pPr>
      <w:r w:rsidRPr="00793A7F">
        <w:rPr>
          <w:sz w:val="27"/>
          <w:szCs w:val="27"/>
          <w:lang w:val="nl-NL"/>
        </w:rPr>
        <w:t>- Giấy đề nghị thanh toán của bên B (Bản gốc);</w:t>
      </w:r>
    </w:p>
    <w:p w14:paraId="39C3837D" w14:textId="77777777" w:rsidR="00793A7F" w:rsidRPr="00793A7F" w:rsidRDefault="00793A7F" w:rsidP="00D710C1">
      <w:pPr>
        <w:spacing w:before="120" w:after="20"/>
        <w:ind w:firstLine="720"/>
        <w:rPr>
          <w:sz w:val="27"/>
          <w:szCs w:val="27"/>
          <w:lang w:val="nl-NL"/>
        </w:rPr>
      </w:pPr>
      <w:r w:rsidRPr="00793A7F">
        <w:rPr>
          <w:sz w:val="27"/>
          <w:szCs w:val="27"/>
          <w:lang w:val="nl-NL"/>
        </w:rPr>
        <w:t>- Biên bản đối chiếu công nợ (Bản gốc);</w:t>
      </w:r>
    </w:p>
    <w:p w14:paraId="1C98140D" w14:textId="77777777" w:rsidR="00793A7F" w:rsidRPr="00793A7F" w:rsidRDefault="00793A7F" w:rsidP="00D710C1">
      <w:pPr>
        <w:spacing w:before="120" w:after="20"/>
        <w:ind w:firstLine="720"/>
        <w:rPr>
          <w:sz w:val="27"/>
          <w:szCs w:val="27"/>
          <w:lang w:val="nl-NL"/>
        </w:rPr>
      </w:pPr>
      <w:r w:rsidRPr="00793A7F">
        <w:rPr>
          <w:sz w:val="27"/>
          <w:szCs w:val="27"/>
          <w:lang w:val="nl-NL"/>
        </w:rPr>
        <w:t>- Biên bản thanh lý hợp đồng (Bản gốc);</w:t>
      </w:r>
    </w:p>
    <w:p w14:paraId="1145EEB3" w14:textId="77777777" w:rsidR="00793A7F" w:rsidRPr="00793A7F" w:rsidRDefault="00793A7F" w:rsidP="00D710C1">
      <w:pPr>
        <w:spacing w:before="120" w:after="20"/>
        <w:ind w:firstLine="720"/>
        <w:rPr>
          <w:sz w:val="27"/>
          <w:szCs w:val="27"/>
        </w:rPr>
      </w:pPr>
      <w:r w:rsidRPr="00793A7F">
        <w:rPr>
          <w:sz w:val="27"/>
          <w:szCs w:val="27"/>
          <w:lang w:val="nl-NL"/>
        </w:rPr>
        <w:t>- Thư bảo lãnh bảo hành do ngân hàng hoạt động hợp pháp tại Việt Nam cung cấp mà Chủ đầu tư có thể tra cứu được trên mạng (Bản gốc)</w:t>
      </w:r>
      <w:r w:rsidRPr="00793A7F">
        <w:rPr>
          <w:sz w:val="27"/>
          <w:szCs w:val="27"/>
        </w:rPr>
        <w:t>;</w:t>
      </w:r>
    </w:p>
    <w:p w14:paraId="27E7EC42" w14:textId="30811AF0" w:rsidR="00D710C1" w:rsidRPr="00793A7F" w:rsidRDefault="00793A7F" w:rsidP="00D710C1">
      <w:pPr>
        <w:spacing w:before="120" w:after="20"/>
        <w:ind w:firstLine="720"/>
        <w:rPr>
          <w:sz w:val="27"/>
          <w:szCs w:val="27"/>
        </w:rPr>
      </w:pPr>
      <w:r w:rsidRPr="00793A7F">
        <w:rPr>
          <w:sz w:val="27"/>
          <w:szCs w:val="27"/>
        </w:rPr>
        <w:t>- Bảng tính giá trị quyết toán hợp đồng (gọi là quyết toán A-B), trong đó nêu rõ giá trị công việc hoàn thành theo hợp đồng; giá trị khối lượng công việc phát sinh (nếu có) ngoài phạm vi công việc theo hợp đồng đã ký;</w:t>
      </w:r>
    </w:p>
    <w:p w14:paraId="172EE75C" w14:textId="77777777" w:rsidR="00793A7F" w:rsidRPr="00793A7F" w:rsidRDefault="00793A7F" w:rsidP="00D710C1">
      <w:pPr>
        <w:spacing w:before="120" w:after="20"/>
        <w:ind w:firstLine="720"/>
        <w:rPr>
          <w:sz w:val="27"/>
          <w:szCs w:val="27"/>
          <w:lang w:val="nl-NL"/>
        </w:rPr>
      </w:pPr>
      <w:r w:rsidRPr="00793A7F">
        <w:rPr>
          <w:sz w:val="27"/>
          <w:szCs w:val="27"/>
          <w:lang w:val="nl-NL"/>
        </w:rPr>
        <w:t>- Hóa đơn hợp pháp theo quy định;</w:t>
      </w:r>
    </w:p>
    <w:p w14:paraId="7D6E72C2" w14:textId="77777777" w:rsidR="00793A7F" w:rsidRDefault="00793A7F" w:rsidP="00D710C1">
      <w:pPr>
        <w:spacing w:before="120" w:after="20"/>
        <w:ind w:firstLine="720"/>
        <w:rPr>
          <w:sz w:val="27"/>
          <w:szCs w:val="27"/>
          <w:lang w:val="nl-NL"/>
        </w:rPr>
      </w:pPr>
      <w:r w:rsidRPr="00793A7F">
        <w:rPr>
          <w:sz w:val="27"/>
          <w:szCs w:val="27"/>
          <w:lang w:val="nl-NL"/>
        </w:rPr>
        <w:lastRenderedPageBreak/>
        <w:t>- Biên bản nghiệm thu hoàn thành (Bản gốc);</w:t>
      </w:r>
    </w:p>
    <w:p w14:paraId="1135817A" w14:textId="77777777" w:rsidR="00AB501D" w:rsidRPr="00793A7F" w:rsidRDefault="00AB501D" w:rsidP="00D710C1">
      <w:pPr>
        <w:spacing w:before="120" w:after="20"/>
        <w:ind w:firstLine="720"/>
        <w:rPr>
          <w:sz w:val="27"/>
          <w:szCs w:val="27"/>
        </w:rPr>
      </w:pPr>
      <w:r>
        <w:rPr>
          <w:sz w:val="27"/>
          <w:szCs w:val="27"/>
          <w:lang w:val="nl-NL"/>
        </w:rPr>
        <w:t xml:space="preserve">- </w:t>
      </w:r>
      <w:r w:rsidRPr="00793A7F">
        <w:rPr>
          <w:sz w:val="27"/>
          <w:szCs w:val="27"/>
          <w:lang w:val="nl-NL"/>
        </w:rPr>
        <w:t>Bản gốc hoặc bản sao có chứng thực các hồ sơ sau: Chứng nhận xuất xứ (CO – Certificate Of Origin); chứng nhận chất lượng (CQ - Certificate Of Quality)</w:t>
      </w:r>
      <w:r w:rsidR="00192151">
        <w:rPr>
          <w:sz w:val="27"/>
          <w:szCs w:val="27"/>
          <w:lang w:val="nl-NL"/>
        </w:rPr>
        <w:t>.</w:t>
      </w:r>
    </w:p>
    <w:p w14:paraId="4CB4E8AE" w14:textId="77777777" w:rsidR="00793A7F" w:rsidRPr="00793A7F" w:rsidRDefault="00793A7F" w:rsidP="00D710C1">
      <w:pPr>
        <w:widowControl w:val="0"/>
        <w:spacing w:before="120" w:after="20"/>
        <w:ind w:firstLine="720"/>
        <w:rPr>
          <w:sz w:val="27"/>
          <w:szCs w:val="27"/>
        </w:rPr>
      </w:pPr>
      <w:r w:rsidRPr="00793A7F">
        <w:rPr>
          <w:sz w:val="27"/>
          <w:szCs w:val="27"/>
        </w:rPr>
        <w:t>- Các tài liệu pháp lý khác có liên quan …</w:t>
      </w:r>
    </w:p>
    <w:p w14:paraId="534F405D" w14:textId="77777777" w:rsidR="00793A7F" w:rsidRPr="00793A7F" w:rsidRDefault="00793A7F" w:rsidP="00D710C1">
      <w:pPr>
        <w:spacing w:before="120" w:after="20"/>
        <w:ind w:firstLine="720"/>
        <w:rPr>
          <w:sz w:val="27"/>
          <w:szCs w:val="27"/>
        </w:rPr>
      </w:pPr>
      <w:r w:rsidRPr="00793A7F">
        <w:rPr>
          <w:sz w:val="27"/>
          <w:szCs w:val="27"/>
        </w:rPr>
        <w:t>1.3.2. Tính hợp lệ của hàng hóa</w:t>
      </w:r>
    </w:p>
    <w:p w14:paraId="226511DE" w14:textId="77777777" w:rsidR="00793A7F" w:rsidRPr="00793A7F" w:rsidRDefault="00793A7F" w:rsidP="00D710C1">
      <w:pPr>
        <w:spacing w:before="120" w:after="20"/>
        <w:ind w:firstLine="720"/>
        <w:rPr>
          <w:sz w:val="27"/>
          <w:szCs w:val="27"/>
          <w:lang w:val="nl-NL"/>
        </w:rPr>
      </w:pPr>
      <w:r w:rsidRPr="00793A7F">
        <w:rPr>
          <w:sz w:val="27"/>
          <w:szCs w:val="27"/>
          <w:lang w:val="nl-NL"/>
        </w:rPr>
        <w:t>- Bản gốc hoặc bản sao có chứng thực các hồ sơ sau: Chứng nhận xuất xứ (CO – Certificate Of Origin); chứng nhận chất lượng (CQ - Certificate Of Quality). (có bản gốc để đối chiếu).</w:t>
      </w:r>
    </w:p>
    <w:p w14:paraId="1A6B4293" w14:textId="77777777" w:rsidR="00793A7F" w:rsidRPr="00793A7F" w:rsidRDefault="00793A7F" w:rsidP="00D710C1">
      <w:pPr>
        <w:spacing w:before="120" w:after="20"/>
        <w:ind w:firstLine="720"/>
        <w:rPr>
          <w:sz w:val="27"/>
          <w:szCs w:val="27"/>
          <w:lang w:val="nl-NL"/>
        </w:rPr>
      </w:pPr>
      <w:r w:rsidRPr="00793A7F">
        <w:rPr>
          <w:sz w:val="27"/>
          <w:szCs w:val="27"/>
          <w:lang w:val="nl-NL"/>
        </w:rPr>
        <w:t>- Bản gốc hoặc bản sao có chứng thực giấy chứng nhận hợp quy, Thư xác nhận của nhà phân phối.</w:t>
      </w:r>
    </w:p>
    <w:p w14:paraId="1FE5BB79" w14:textId="77777777" w:rsidR="00793A7F" w:rsidRPr="00793A7F" w:rsidRDefault="00793A7F" w:rsidP="00D710C1">
      <w:pPr>
        <w:spacing w:before="120" w:after="20"/>
        <w:ind w:firstLine="720"/>
        <w:rPr>
          <w:sz w:val="27"/>
          <w:szCs w:val="27"/>
          <w:lang w:val="nl-NL"/>
        </w:rPr>
      </w:pPr>
      <w:r w:rsidRPr="00793A7F">
        <w:rPr>
          <w:sz w:val="27"/>
          <w:szCs w:val="27"/>
          <w:lang w:val="nl-NL"/>
        </w:rPr>
        <w:t>- Bản sao có công chứng các tài liệu chứng minh việc hoàn thành các nghĩa vụ theo quy định, pháp luật hiện hành cho lô hàng (Packing list, vận đơn vận tải, tờ khai hải quan và các tài liệu khác…).</w:t>
      </w:r>
    </w:p>
    <w:p w14:paraId="4B55E207" w14:textId="77777777" w:rsidR="00793A7F" w:rsidRPr="00793A7F" w:rsidRDefault="00793A7F" w:rsidP="00D710C1">
      <w:pPr>
        <w:spacing w:before="120" w:after="20"/>
        <w:ind w:firstLine="720"/>
        <w:rPr>
          <w:sz w:val="27"/>
          <w:szCs w:val="27"/>
        </w:rPr>
      </w:pPr>
      <w:r w:rsidRPr="00793A7F">
        <w:rPr>
          <w:sz w:val="27"/>
          <w:szCs w:val="27"/>
        </w:rPr>
        <w:t>1.3.3. Bảo hành</w:t>
      </w:r>
    </w:p>
    <w:p w14:paraId="38CD14EA" w14:textId="747656B5" w:rsidR="00793A7F" w:rsidRPr="00793A7F" w:rsidRDefault="00793A7F" w:rsidP="00D710C1">
      <w:pPr>
        <w:spacing w:before="120" w:after="20"/>
        <w:ind w:firstLine="720"/>
        <w:rPr>
          <w:sz w:val="27"/>
          <w:szCs w:val="27"/>
        </w:rPr>
      </w:pPr>
      <w:r w:rsidRPr="00793A7F">
        <w:rPr>
          <w:sz w:val="27"/>
          <w:szCs w:val="27"/>
        </w:rPr>
        <w:t xml:space="preserve">a. Thời gian bảo hành là: </w:t>
      </w:r>
      <w:r w:rsidR="006C4CD9">
        <w:rPr>
          <w:bCs/>
          <w:sz w:val="26"/>
          <w:szCs w:val="26"/>
          <w:lang w:val="nl-NL"/>
        </w:rPr>
        <w:t>≥</w:t>
      </w:r>
      <w:r w:rsidRPr="00793A7F">
        <w:rPr>
          <w:sz w:val="27"/>
          <w:szCs w:val="27"/>
        </w:rPr>
        <w:t xml:space="preserve"> </w:t>
      </w:r>
      <w:r w:rsidR="00FC6991">
        <w:rPr>
          <w:sz w:val="27"/>
          <w:szCs w:val="27"/>
        </w:rPr>
        <w:t>12</w:t>
      </w:r>
      <w:r w:rsidRPr="00793A7F">
        <w:rPr>
          <w:sz w:val="27"/>
          <w:szCs w:val="27"/>
        </w:rPr>
        <w:t xml:space="preserve"> tháng kể từ ngày </w:t>
      </w:r>
      <w:r w:rsidRPr="00793A7F">
        <w:rPr>
          <w:sz w:val="27"/>
          <w:szCs w:val="27"/>
          <w:lang w:val="nl-NL"/>
        </w:rPr>
        <w:t>nghiệm thu hoàn thành</w:t>
      </w:r>
      <w:r w:rsidRPr="00793A7F">
        <w:rPr>
          <w:sz w:val="27"/>
          <w:szCs w:val="27"/>
          <w:lang w:val="es-ES"/>
        </w:rPr>
        <w:t>.</w:t>
      </w:r>
      <w:r w:rsidRPr="00793A7F">
        <w:rPr>
          <w:sz w:val="27"/>
          <w:szCs w:val="27"/>
        </w:rPr>
        <w:t xml:space="preserve"> </w:t>
      </w:r>
    </w:p>
    <w:p w14:paraId="2EA81DD7" w14:textId="77777777" w:rsidR="00793A7F" w:rsidRPr="00793A7F" w:rsidRDefault="00793A7F" w:rsidP="00D710C1">
      <w:pPr>
        <w:spacing w:before="120" w:after="20"/>
        <w:ind w:firstLine="720"/>
        <w:rPr>
          <w:sz w:val="27"/>
          <w:szCs w:val="27"/>
        </w:rPr>
      </w:pPr>
      <w:r w:rsidRPr="00793A7F">
        <w:rPr>
          <w:sz w:val="27"/>
          <w:szCs w:val="27"/>
        </w:rPr>
        <w:t xml:space="preserve">b. Địa điểm để áp dụng bảo hành là: Tòa nhà </w:t>
      </w:r>
      <w:r w:rsidR="002C68EF">
        <w:rPr>
          <w:sz w:val="27"/>
          <w:szCs w:val="27"/>
        </w:rPr>
        <w:t>Petrolimex Quảng Ninh; Khu 1</w:t>
      </w:r>
      <w:r w:rsidRPr="00793A7F">
        <w:rPr>
          <w:sz w:val="27"/>
          <w:szCs w:val="27"/>
        </w:rPr>
        <w:t>, phường Bãi Cháy, tỉnh Quảng Ninh.</w:t>
      </w:r>
    </w:p>
    <w:p w14:paraId="028D89DD" w14:textId="77777777" w:rsidR="00793A7F" w:rsidRPr="00793A7F" w:rsidRDefault="00793A7F" w:rsidP="00D710C1">
      <w:pPr>
        <w:spacing w:before="120" w:after="20"/>
        <w:ind w:firstLine="720"/>
        <w:rPr>
          <w:sz w:val="27"/>
          <w:szCs w:val="27"/>
        </w:rPr>
      </w:pPr>
      <w:r w:rsidRPr="00793A7F">
        <w:rPr>
          <w:sz w:val="27"/>
          <w:szCs w:val="27"/>
        </w:rPr>
        <w:t>c. Bảo đảm bảo hành:</w:t>
      </w:r>
    </w:p>
    <w:p w14:paraId="0AEEA513" w14:textId="77777777" w:rsidR="00793A7F" w:rsidRPr="00793A7F" w:rsidRDefault="00793A7F" w:rsidP="00D710C1">
      <w:pPr>
        <w:spacing w:before="120" w:after="20"/>
        <w:ind w:firstLine="720"/>
        <w:rPr>
          <w:sz w:val="27"/>
          <w:szCs w:val="27"/>
        </w:rPr>
      </w:pPr>
      <w:r w:rsidRPr="00793A7F">
        <w:rPr>
          <w:sz w:val="27"/>
          <w:szCs w:val="27"/>
        </w:rPr>
        <w:t xml:space="preserve">- Trong vòng 05 ngày làm việc kể từ ngày </w:t>
      </w:r>
      <w:r w:rsidRPr="00793A7F">
        <w:rPr>
          <w:sz w:val="27"/>
          <w:szCs w:val="27"/>
          <w:lang w:val="nl-NL"/>
        </w:rPr>
        <w:t>nghiệm thu hoàn thành,</w:t>
      </w:r>
      <w:r w:rsidRPr="00793A7F">
        <w:rPr>
          <w:sz w:val="27"/>
          <w:szCs w:val="27"/>
        </w:rPr>
        <w:t xml:space="preserve"> Nhà thầu phải cung cấp cho Chủ đầu tư 01 Thư bảo lãnh bảo hành nhằm đảm bảo trách nhiệm bảo hành hàng hóa của nhà thầu.</w:t>
      </w:r>
    </w:p>
    <w:p w14:paraId="003F8FD1" w14:textId="77777777" w:rsidR="00793A7F" w:rsidRPr="00793A7F" w:rsidRDefault="00793A7F" w:rsidP="00D710C1">
      <w:pPr>
        <w:spacing w:before="120" w:after="20"/>
        <w:ind w:firstLine="720"/>
        <w:rPr>
          <w:sz w:val="27"/>
          <w:szCs w:val="27"/>
          <w:lang w:val="vi-VN"/>
        </w:rPr>
      </w:pPr>
      <w:r w:rsidRPr="00793A7F">
        <w:rPr>
          <w:sz w:val="27"/>
          <w:szCs w:val="27"/>
        </w:rPr>
        <w:t xml:space="preserve">- </w:t>
      </w:r>
      <w:r w:rsidRPr="00793A7F">
        <w:rPr>
          <w:sz w:val="27"/>
          <w:szCs w:val="27"/>
          <w:lang w:val="vi-VN"/>
        </w:rPr>
        <w:t xml:space="preserve">Hình thức bảo hành bằng chứng thư bảo lãnh của ngân hàng hoạt động hợp pháp tại Việt Nam </w:t>
      </w:r>
      <w:r w:rsidRPr="00793A7F">
        <w:rPr>
          <w:sz w:val="27"/>
          <w:szCs w:val="27"/>
          <w:lang w:val="en-GB"/>
        </w:rPr>
        <w:t xml:space="preserve">phát hành </w:t>
      </w:r>
      <w:r w:rsidRPr="00793A7F">
        <w:rPr>
          <w:sz w:val="27"/>
          <w:szCs w:val="27"/>
          <w:lang w:val="nl-NL"/>
        </w:rPr>
        <w:t>mà bên A có thể tra cứu được trên mạng của ngân hàng đó và bảo lãnh được ngân hàng cam kết thanh toán không được hủy ngang</w:t>
      </w:r>
      <w:r w:rsidRPr="00793A7F">
        <w:rPr>
          <w:sz w:val="27"/>
          <w:szCs w:val="27"/>
          <w:lang w:val="vi-VN"/>
        </w:rPr>
        <w:t>. Chủ đầu tư sẽ giải tỏa bảo lãnh bảo hành cho Nhà thầu sau thời hạn bảo hành nếu trong thời gian bảo hành các hư hỏng cần khắc phục không phải do lỗi của nhà thầu.</w:t>
      </w:r>
    </w:p>
    <w:p w14:paraId="217CFB17" w14:textId="77777777" w:rsidR="00793A7F" w:rsidRPr="00793A7F" w:rsidRDefault="00793A7F" w:rsidP="00D710C1">
      <w:pPr>
        <w:spacing w:before="120" w:after="20"/>
        <w:ind w:firstLine="720"/>
        <w:rPr>
          <w:sz w:val="27"/>
          <w:szCs w:val="27"/>
          <w:lang w:val="vi-VN"/>
        </w:rPr>
      </w:pPr>
      <w:r w:rsidRPr="00793A7F">
        <w:rPr>
          <w:sz w:val="27"/>
          <w:szCs w:val="27"/>
          <w:lang w:val="en-GB"/>
        </w:rPr>
        <w:t xml:space="preserve">- </w:t>
      </w:r>
      <w:r w:rsidRPr="00793A7F">
        <w:rPr>
          <w:sz w:val="27"/>
          <w:szCs w:val="27"/>
          <w:lang w:val="vi-VN"/>
        </w:rPr>
        <w:t>Trong thời gian bảo hành, Nhà thầu sẽ tiếp nhận phản ánh hỏng hóc của hàng hóa từ Chủ đầu tư trong vòng 02 ngày (Kể từ khi nhận được thông báo của Chủ đầu tư bằng điện thoại, công văn). Chế độ bảo hành tuân thủ theo tiêu chuẩn của hãng sản xuất.</w:t>
      </w:r>
    </w:p>
    <w:p w14:paraId="52B97873" w14:textId="77777777" w:rsidR="00793A7F" w:rsidRDefault="00793A7F" w:rsidP="00D710C1">
      <w:pPr>
        <w:widowControl w:val="0"/>
        <w:spacing w:before="120" w:after="20"/>
        <w:ind w:firstLine="720"/>
        <w:rPr>
          <w:sz w:val="27"/>
          <w:szCs w:val="27"/>
          <w:lang w:val="vi-VN"/>
        </w:rPr>
      </w:pPr>
      <w:r w:rsidRPr="00793A7F">
        <w:rPr>
          <w:sz w:val="27"/>
          <w:szCs w:val="27"/>
        </w:rPr>
        <w:t>- Bảo đảm bảo hành này có giá trị bằng 5% giá trị hợp đồng</w:t>
      </w:r>
      <w:r w:rsidRPr="00793A7F">
        <w:rPr>
          <w:sz w:val="27"/>
          <w:szCs w:val="27"/>
          <w:lang w:val="vi-VN"/>
        </w:rPr>
        <w:t>.</w:t>
      </w:r>
    </w:p>
    <w:p w14:paraId="304EC5EF" w14:textId="77777777" w:rsidR="00074593" w:rsidRDefault="00074593" w:rsidP="00D710C1">
      <w:pPr>
        <w:spacing w:before="120" w:after="20"/>
        <w:ind w:firstLine="720"/>
        <w:rPr>
          <w:sz w:val="27"/>
          <w:szCs w:val="27"/>
        </w:rPr>
      </w:pPr>
      <w:r w:rsidRPr="00793A7F">
        <w:rPr>
          <w:sz w:val="27"/>
          <w:szCs w:val="27"/>
        </w:rPr>
        <w:t>1.3.</w:t>
      </w:r>
      <w:r>
        <w:rPr>
          <w:sz w:val="27"/>
          <w:szCs w:val="27"/>
        </w:rPr>
        <w:t>4</w:t>
      </w:r>
      <w:r w:rsidRPr="00793A7F">
        <w:rPr>
          <w:sz w:val="27"/>
          <w:szCs w:val="27"/>
        </w:rPr>
        <w:t xml:space="preserve">. </w:t>
      </w:r>
      <w:r>
        <w:rPr>
          <w:sz w:val="27"/>
          <w:szCs w:val="27"/>
        </w:rPr>
        <w:t>Đơn giá hàng hóa:</w:t>
      </w:r>
    </w:p>
    <w:p w14:paraId="590C1E11" w14:textId="77777777" w:rsidR="00074593" w:rsidRDefault="00074593" w:rsidP="00D710C1">
      <w:pPr>
        <w:spacing w:before="120" w:after="20"/>
        <w:ind w:firstLine="720"/>
        <w:rPr>
          <w:sz w:val="27"/>
          <w:szCs w:val="27"/>
        </w:rPr>
      </w:pPr>
      <w:r>
        <w:rPr>
          <w:sz w:val="27"/>
          <w:szCs w:val="27"/>
        </w:rPr>
        <w:lastRenderedPageBreak/>
        <w:t>-</w:t>
      </w:r>
      <w:r w:rsidR="00ED4466">
        <w:rPr>
          <w:sz w:val="27"/>
          <w:szCs w:val="27"/>
        </w:rPr>
        <w:t xml:space="preserve"> </w:t>
      </w:r>
      <w:r>
        <w:rPr>
          <w:sz w:val="27"/>
          <w:szCs w:val="27"/>
        </w:rPr>
        <w:t>Đơn giá của hàng hóa đã bao gồm thuế, phí,</w:t>
      </w:r>
      <w:r w:rsidR="00364C31">
        <w:rPr>
          <w:sz w:val="27"/>
          <w:szCs w:val="27"/>
        </w:rPr>
        <w:t xml:space="preserve"> lệ phí phát sinh,</w:t>
      </w:r>
      <w:r w:rsidR="00D46B35">
        <w:rPr>
          <w:sz w:val="27"/>
          <w:szCs w:val="27"/>
        </w:rPr>
        <w:t xml:space="preserve"> chi phí vận chuyển thiết bị đến Trụ sở Petrolimex Quảng Ninh</w:t>
      </w:r>
      <w:r>
        <w:rPr>
          <w:sz w:val="27"/>
          <w:szCs w:val="27"/>
        </w:rPr>
        <w:t>.</w:t>
      </w:r>
    </w:p>
    <w:p w14:paraId="40EA4D83" w14:textId="77777777" w:rsidR="00846C6B" w:rsidRDefault="00846C6B" w:rsidP="00D710C1">
      <w:pPr>
        <w:spacing w:before="120" w:after="20"/>
        <w:ind w:firstLine="720"/>
        <w:rPr>
          <w:sz w:val="27"/>
          <w:szCs w:val="27"/>
        </w:rPr>
      </w:pPr>
      <w:r>
        <w:rPr>
          <w:sz w:val="27"/>
          <w:szCs w:val="27"/>
        </w:rPr>
        <w:t xml:space="preserve">1.3.5. </w:t>
      </w:r>
      <w:r w:rsidRPr="00846C6B">
        <w:rPr>
          <w:sz w:val="27"/>
          <w:szCs w:val="27"/>
        </w:rPr>
        <w:t>Điều chỉnh thuế:</w:t>
      </w:r>
    </w:p>
    <w:p w14:paraId="77AC8489" w14:textId="77777777" w:rsidR="00846C6B" w:rsidRPr="00793A7F" w:rsidRDefault="00846C6B" w:rsidP="00D710C1">
      <w:pPr>
        <w:spacing w:before="120" w:after="20"/>
        <w:ind w:firstLine="720"/>
        <w:rPr>
          <w:sz w:val="27"/>
          <w:szCs w:val="27"/>
        </w:rPr>
      </w:pPr>
      <w:r w:rsidRPr="00846C6B">
        <w:rPr>
          <w:sz w:val="27"/>
          <w:szCs w:val="27"/>
        </w:rPr>
        <w:t>Khi chính sách thuế của Nhà nước thay đổi thì được điều chỉnh thuế suất và tiền thuế tương ứng nhưng tổng giá trị của hợp đồng (Trước thuế GTGT) không thay đổi</w:t>
      </w:r>
      <w:r>
        <w:rPr>
          <w:sz w:val="27"/>
          <w:szCs w:val="27"/>
        </w:rPr>
        <w:t>.</w:t>
      </w:r>
    </w:p>
    <w:p w14:paraId="306575D4" w14:textId="77777777" w:rsidR="00793A7F" w:rsidRPr="00793A7F" w:rsidRDefault="00793A7F" w:rsidP="00D710C1">
      <w:pPr>
        <w:pStyle w:val="SectionVIHeader"/>
        <w:spacing w:after="120"/>
        <w:ind w:firstLine="709"/>
        <w:jc w:val="left"/>
        <w:rPr>
          <w:b w:val="0"/>
          <w:sz w:val="28"/>
          <w:szCs w:val="28"/>
          <w:lang w:val="nl-NL"/>
        </w:rPr>
      </w:pPr>
      <w:r w:rsidRPr="00793A7F">
        <w:rPr>
          <w:sz w:val="28"/>
          <w:szCs w:val="28"/>
          <w:lang w:val="nl-NL"/>
        </w:rPr>
        <w:t xml:space="preserve">Mục 2. Bản vẽ: </w:t>
      </w:r>
      <w:r w:rsidRPr="00793A7F">
        <w:rPr>
          <w:b w:val="0"/>
          <w:sz w:val="28"/>
          <w:szCs w:val="28"/>
          <w:lang w:val="nl-NL"/>
        </w:rPr>
        <w:t>Không có.</w:t>
      </w:r>
    </w:p>
    <w:p w14:paraId="3F661BCF" w14:textId="77777777" w:rsidR="00793A7F" w:rsidRPr="00793A7F" w:rsidRDefault="00793A7F" w:rsidP="00D710C1">
      <w:pPr>
        <w:pStyle w:val="SectionVIHeader"/>
        <w:widowControl w:val="0"/>
        <w:spacing w:after="120"/>
        <w:ind w:firstLine="709"/>
        <w:jc w:val="left"/>
        <w:rPr>
          <w:sz w:val="32"/>
          <w:szCs w:val="32"/>
        </w:rPr>
      </w:pPr>
      <w:r w:rsidRPr="00793A7F">
        <w:rPr>
          <w:sz w:val="28"/>
        </w:rPr>
        <w:t>Mục 3. Kiểm tra và thử nghiệm</w:t>
      </w:r>
    </w:p>
    <w:p w14:paraId="4B45AD37" w14:textId="77777777" w:rsidR="00793A7F" w:rsidRPr="00D762D3" w:rsidRDefault="00793A7F" w:rsidP="00D710C1">
      <w:pPr>
        <w:spacing w:before="120" w:after="20"/>
        <w:ind w:firstLine="720"/>
        <w:rPr>
          <w:sz w:val="27"/>
          <w:szCs w:val="27"/>
        </w:rPr>
      </w:pPr>
      <w:r w:rsidRPr="00D762D3">
        <w:rPr>
          <w:sz w:val="27"/>
          <w:szCs w:val="27"/>
        </w:rPr>
        <w:t>- Kiểm tra tính xác thực của các hồ sơ đối hàng hóa của gói thầu:</w:t>
      </w:r>
    </w:p>
    <w:p w14:paraId="4B12E8BA" w14:textId="77777777" w:rsidR="00793A7F" w:rsidRPr="00D762D3" w:rsidRDefault="00793A7F" w:rsidP="00D710C1">
      <w:pPr>
        <w:spacing w:before="120" w:after="20"/>
        <w:ind w:firstLine="720"/>
        <w:rPr>
          <w:sz w:val="27"/>
          <w:szCs w:val="27"/>
        </w:rPr>
      </w:pPr>
      <w:r w:rsidRPr="00D762D3">
        <w:rPr>
          <w:sz w:val="27"/>
          <w:szCs w:val="27"/>
        </w:rPr>
        <w:t xml:space="preserve">+ Bản gốc hoặc bản sao có chứng thực các hồ sơ sau: Chứng nhận xuất xứ (CO </w:t>
      </w:r>
      <w:r w:rsidR="000B1759">
        <w:rPr>
          <w:sz w:val="27"/>
          <w:szCs w:val="27"/>
        </w:rPr>
        <w:t>-</w:t>
      </w:r>
      <w:r w:rsidRPr="00D762D3">
        <w:rPr>
          <w:sz w:val="27"/>
          <w:szCs w:val="27"/>
        </w:rPr>
        <w:t xml:space="preserve"> Certificate </w:t>
      </w:r>
      <w:r w:rsidR="000B1759">
        <w:rPr>
          <w:sz w:val="27"/>
          <w:szCs w:val="27"/>
        </w:rPr>
        <w:t>o</w:t>
      </w:r>
      <w:r w:rsidRPr="00D762D3">
        <w:rPr>
          <w:sz w:val="27"/>
          <w:szCs w:val="27"/>
        </w:rPr>
        <w:t>f Origin); chứng nhận chất lượng (CQ - Certificate Of Quality). (có bản gốc để đối chiếu).</w:t>
      </w:r>
    </w:p>
    <w:p w14:paraId="2F7707EE" w14:textId="77777777" w:rsidR="00793A7F" w:rsidRPr="00D762D3" w:rsidRDefault="00793A7F" w:rsidP="00D710C1">
      <w:pPr>
        <w:spacing w:before="120" w:after="20"/>
        <w:ind w:firstLine="720"/>
        <w:rPr>
          <w:sz w:val="27"/>
          <w:szCs w:val="27"/>
        </w:rPr>
      </w:pPr>
      <w:r w:rsidRPr="00D762D3">
        <w:rPr>
          <w:sz w:val="27"/>
          <w:szCs w:val="27"/>
        </w:rPr>
        <w:t>+ Bản gốc hoặc bản sao có chứng thực giấy chứng nhận hợp quy, Thư xác nhận của nhà phân phối.</w:t>
      </w:r>
    </w:p>
    <w:p w14:paraId="0477FF92" w14:textId="77777777" w:rsidR="00793A7F" w:rsidRPr="00D762D3" w:rsidRDefault="00793A7F" w:rsidP="00D710C1">
      <w:pPr>
        <w:spacing w:before="120" w:after="20"/>
        <w:ind w:firstLine="720"/>
        <w:rPr>
          <w:sz w:val="27"/>
          <w:szCs w:val="27"/>
        </w:rPr>
      </w:pPr>
      <w:r w:rsidRPr="00D762D3">
        <w:rPr>
          <w:sz w:val="27"/>
          <w:szCs w:val="27"/>
        </w:rPr>
        <w:t>+ Bản sao có công chứng các tài liệu chứng minh việc hoàn thành các nghĩa vụ theo quy định, pháp luật hiện hành cho lô hàng (Packing list, vận đơn vận tải, tờ khai hải quan và các tài liệu khác…)</w:t>
      </w:r>
    </w:p>
    <w:p w14:paraId="0A9429CE" w14:textId="77777777" w:rsidR="00793A7F" w:rsidRPr="00D762D3" w:rsidRDefault="00793A7F" w:rsidP="00D710C1">
      <w:pPr>
        <w:spacing w:before="120" w:after="20"/>
        <w:ind w:firstLine="720"/>
        <w:rPr>
          <w:sz w:val="27"/>
          <w:szCs w:val="27"/>
        </w:rPr>
      </w:pPr>
      <w:r w:rsidRPr="00D762D3">
        <w:rPr>
          <w:sz w:val="27"/>
          <w:szCs w:val="27"/>
        </w:rPr>
        <w:t>+ Hàng hóa đáp ứng được yêu cầu về tính hợp lệ tại Khoản 1.3.2, Chương V Yêu cầu về kỹ thuật.</w:t>
      </w:r>
    </w:p>
    <w:p w14:paraId="71148C4A" w14:textId="77777777" w:rsidR="00793A7F" w:rsidRPr="00D762D3" w:rsidRDefault="00793A7F" w:rsidP="00D710C1">
      <w:pPr>
        <w:spacing w:before="120" w:after="20"/>
        <w:ind w:firstLine="720"/>
        <w:rPr>
          <w:sz w:val="27"/>
          <w:szCs w:val="27"/>
        </w:rPr>
      </w:pPr>
      <w:r w:rsidRPr="00D762D3">
        <w:rPr>
          <w:sz w:val="27"/>
          <w:szCs w:val="27"/>
        </w:rPr>
        <w:t>+ Biên bản nghiệm thu thông số kỹ thuật của máy đúng với catalogue của nhà sản xuất và yêu cầu kỹ thuật tại Chương V của E-HSMT.</w:t>
      </w:r>
    </w:p>
    <w:p w14:paraId="3C56E586" w14:textId="77777777" w:rsidR="00793A7F" w:rsidRPr="00D762D3" w:rsidRDefault="00793A7F" w:rsidP="00D762D3">
      <w:pPr>
        <w:spacing w:before="20" w:after="20" w:line="259" w:lineRule="auto"/>
        <w:ind w:firstLine="720"/>
        <w:rPr>
          <w:sz w:val="27"/>
          <w:szCs w:val="27"/>
        </w:rPr>
      </w:pPr>
    </w:p>
    <w:p w14:paraId="6CB01C38" w14:textId="77777777" w:rsidR="00793A7F" w:rsidRPr="00793A7F" w:rsidRDefault="00793A7F" w:rsidP="00793A7F">
      <w:pPr>
        <w:spacing w:after="200" w:line="276" w:lineRule="auto"/>
        <w:ind w:firstLine="709"/>
        <w:jc w:val="left"/>
        <w:rPr>
          <w:i/>
          <w:iCs/>
          <w:sz w:val="28"/>
        </w:rPr>
      </w:pPr>
    </w:p>
    <w:p w14:paraId="3B3788AE" w14:textId="77777777" w:rsidR="008F666E" w:rsidRPr="00793A7F" w:rsidRDefault="008F666E" w:rsidP="00793A7F"/>
    <w:sectPr w:rsidR="008F666E" w:rsidRPr="00793A7F" w:rsidSect="00D710C1">
      <w:pgSz w:w="16838" w:h="11906" w:orient="landscape"/>
      <w:pgMar w:top="1080" w:right="1440" w:bottom="117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6E"/>
    <w:rsid w:val="00074593"/>
    <w:rsid w:val="000B1759"/>
    <w:rsid w:val="000D4DA6"/>
    <w:rsid w:val="001066CD"/>
    <w:rsid w:val="00177AB6"/>
    <w:rsid w:val="00192151"/>
    <w:rsid w:val="001A3027"/>
    <w:rsid w:val="001A30F5"/>
    <w:rsid w:val="002C68EF"/>
    <w:rsid w:val="00357B1F"/>
    <w:rsid w:val="00364C31"/>
    <w:rsid w:val="003C13FB"/>
    <w:rsid w:val="00493745"/>
    <w:rsid w:val="004952DD"/>
    <w:rsid w:val="004A2068"/>
    <w:rsid w:val="0051023C"/>
    <w:rsid w:val="00534102"/>
    <w:rsid w:val="00543978"/>
    <w:rsid w:val="00545CF7"/>
    <w:rsid w:val="0055193E"/>
    <w:rsid w:val="005F0C63"/>
    <w:rsid w:val="006C4CD9"/>
    <w:rsid w:val="006E5721"/>
    <w:rsid w:val="006F04FC"/>
    <w:rsid w:val="00793A7F"/>
    <w:rsid w:val="008233C4"/>
    <w:rsid w:val="00846C6B"/>
    <w:rsid w:val="0088147D"/>
    <w:rsid w:val="008F666E"/>
    <w:rsid w:val="009B63F1"/>
    <w:rsid w:val="00AB0675"/>
    <w:rsid w:val="00AB501D"/>
    <w:rsid w:val="00B574B1"/>
    <w:rsid w:val="00C02FB0"/>
    <w:rsid w:val="00C44B95"/>
    <w:rsid w:val="00CF00B1"/>
    <w:rsid w:val="00D04E6B"/>
    <w:rsid w:val="00D11420"/>
    <w:rsid w:val="00D13A38"/>
    <w:rsid w:val="00D46B35"/>
    <w:rsid w:val="00D710C1"/>
    <w:rsid w:val="00D762D3"/>
    <w:rsid w:val="00E03EFB"/>
    <w:rsid w:val="00ED4466"/>
    <w:rsid w:val="00F27576"/>
    <w:rsid w:val="00F70431"/>
    <w:rsid w:val="00F84F8C"/>
    <w:rsid w:val="00FC6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9B23"/>
  <w15:chartTrackingRefBased/>
  <w15:docId w15:val="{21A360D7-032D-416F-B8D3-36F04E0A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6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666E"/>
    <w:pPr>
      <w:suppressAutoHyphens/>
      <w:ind w:right="-72"/>
    </w:pPr>
    <w:rPr>
      <w:spacing w:val="-4"/>
    </w:rPr>
  </w:style>
  <w:style w:type="character" w:customStyle="1" w:styleId="BodyTextChar">
    <w:name w:val="Body Text Char"/>
    <w:basedOn w:val="DefaultParagraphFont"/>
    <w:link w:val="BodyText"/>
    <w:rsid w:val="008F666E"/>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8F666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F666E"/>
    <w:rPr>
      <w:rFonts w:ascii="Times New Roman" w:eastAsia="Times New Roman" w:hAnsi="Times New Roman" w:cs="Times New Roman"/>
      <w:sz w:val="24"/>
      <w:szCs w:val="20"/>
      <w:lang w:val="en-US"/>
    </w:rPr>
  </w:style>
  <w:style w:type="paragraph" w:styleId="Subtitle">
    <w:name w:val="Subtitle"/>
    <w:basedOn w:val="Normal"/>
    <w:link w:val="SubtitleChar"/>
    <w:qFormat/>
    <w:rsid w:val="008F666E"/>
    <w:pPr>
      <w:jc w:val="center"/>
    </w:pPr>
    <w:rPr>
      <w:b/>
      <w:sz w:val="44"/>
    </w:rPr>
  </w:style>
  <w:style w:type="character" w:customStyle="1" w:styleId="SubtitleChar">
    <w:name w:val="Subtitle Char"/>
    <w:basedOn w:val="DefaultParagraphFont"/>
    <w:link w:val="Subtitle"/>
    <w:rsid w:val="008F666E"/>
    <w:rPr>
      <w:rFonts w:ascii="Times New Roman" w:eastAsia="Times New Roman" w:hAnsi="Times New Roman" w:cs="Times New Roman"/>
      <w:b/>
      <w:sz w:val="44"/>
      <w:szCs w:val="20"/>
      <w:lang w:val="en-US"/>
    </w:rPr>
  </w:style>
  <w:style w:type="paragraph" w:styleId="BodyTextIndent3">
    <w:name w:val="Body Text Indent 3"/>
    <w:basedOn w:val="Normal"/>
    <w:link w:val="BodyTextIndent3Char"/>
    <w:rsid w:val="008F666E"/>
    <w:pPr>
      <w:spacing w:before="120"/>
      <w:ind w:left="1440" w:hanging="1440"/>
    </w:pPr>
    <w:rPr>
      <w:b/>
    </w:rPr>
  </w:style>
  <w:style w:type="character" w:customStyle="1" w:styleId="BodyTextIndent3Char">
    <w:name w:val="Body Text Indent 3 Char"/>
    <w:basedOn w:val="DefaultParagraphFont"/>
    <w:link w:val="BodyTextIndent3"/>
    <w:rsid w:val="008F666E"/>
    <w:rPr>
      <w:rFonts w:ascii="Times New Roman" w:eastAsia="Times New Roman" w:hAnsi="Times New Roman" w:cs="Times New Roman"/>
      <w:b/>
      <w:sz w:val="24"/>
      <w:szCs w:val="20"/>
      <w:lang w:val="en-US"/>
    </w:rPr>
  </w:style>
  <w:style w:type="paragraph" w:customStyle="1" w:styleId="SectionVIHeader">
    <w:name w:val="Section VI. Header"/>
    <w:basedOn w:val="Normal"/>
    <w:rsid w:val="008F666E"/>
    <w:pPr>
      <w:spacing w:before="120" w:after="240"/>
      <w:jc w:val="center"/>
    </w:pPr>
    <w:rPr>
      <w:b/>
      <w:sz w:val="36"/>
    </w:rPr>
  </w:style>
  <w:style w:type="table" w:styleId="TableGrid">
    <w:name w:val="Table Grid"/>
    <w:basedOn w:val="TableNormal"/>
    <w:uiPriority w:val="59"/>
    <w:rsid w:val="008F666E"/>
    <w:pPr>
      <w:spacing w:after="0" w:line="240" w:lineRule="auto"/>
    </w:pPr>
    <w:rPr>
      <w:rFonts w:ascii="Times New Roman" w:hAnsi="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B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5</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Tran Ba (B12)</dc:creator>
  <cp:keywords/>
  <dc:description/>
  <cp:lastModifiedBy>Hung, Dang Van (Quang Ninh)</cp:lastModifiedBy>
  <cp:revision>48</cp:revision>
  <cp:lastPrinted>2025-10-07T07:45:00Z</cp:lastPrinted>
  <dcterms:created xsi:type="dcterms:W3CDTF">2025-07-29T06:39:00Z</dcterms:created>
  <dcterms:modified xsi:type="dcterms:W3CDTF">2025-11-24T09:24:00Z</dcterms:modified>
</cp:coreProperties>
</file>