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FF97" w14:textId="77777777" w:rsidR="000F0210" w:rsidRPr="000F0210" w:rsidRDefault="000F0210" w:rsidP="000F0210">
      <w:pPr>
        <w:jc w:val="center"/>
        <w:outlineLvl w:val="0"/>
        <w:rPr>
          <w:b/>
          <w:sz w:val="26"/>
          <w:szCs w:val="26"/>
          <w:lang w:val="nl-NL"/>
        </w:rPr>
      </w:pPr>
      <w:r w:rsidRPr="000F0210">
        <w:rPr>
          <w:b/>
          <w:sz w:val="26"/>
          <w:szCs w:val="26"/>
          <w:lang w:val="nl-NL"/>
        </w:rPr>
        <w:t>Phần 2. YÊU CẦU VỀ KỸ THUẬT</w:t>
      </w:r>
    </w:p>
    <w:p w14:paraId="127304E5" w14:textId="77777777" w:rsidR="000F0210" w:rsidRPr="000F0210" w:rsidRDefault="000F0210" w:rsidP="000F0210">
      <w:pPr>
        <w:widowControl w:val="0"/>
        <w:spacing w:before="120" w:after="120" w:line="264" w:lineRule="auto"/>
        <w:jc w:val="center"/>
        <w:outlineLvl w:val="1"/>
        <w:rPr>
          <w:sz w:val="26"/>
          <w:szCs w:val="26"/>
          <w:lang w:val="nl-NL"/>
        </w:rPr>
      </w:pPr>
      <w:r w:rsidRPr="000F0210">
        <w:rPr>
          <w:b/>
          <w:sz w:val="26"/>
          <w:szCs w:val="26"/>
          <w:lang w:val="nl-NL"/>
        </w:rPr>
        <w:t>Chương V. YÊU CẦU VỀ KỸ THUẬT</w:t>
      </w:r>
    </w:p>
    <w:p w14:paraId="618F9224" w14:textId="77777777" w:rsidR="000F0210" w:rsidRPr="000F0210" w:rsidRDefault="000F0210" w:rsidP="000F0210">
      <w:pPr>
        <w:pStyle w:val="Subtitle"/>
        <w:rPr>
          <w:color w:val="auto"/>
          <w:sz w:val="26"/>
          <w:szCs w:val="26"/>
          <w:lang w:val="nl-NL"/>
        </w:rPr>
      </w:pPr>
    </w:p>
    <w:p w14:paraId="5BE65DD2" w14:textId="77777777" w:rsidR="000F0210" w:rsidRPr="000F0210" w:rsidRDefault="000F0210" w:rsidP="000F0210">
      <w:pPr>
        <w:spacing w:before="120" w:after="120" w:line="264" w:lineRule="auto"/>
        <w:ind w:right="-284" w:firstLine="709"/>
        <w:rPr>
          <w:b/>
          <w:sz w:val="26"/>
          <w:szCs w:val="26"/>
          <w:lang w:val="nl-NL"/>
        </w:rPr>
      </w:pPr>
      <w:r w:rsidRPr="000F0210">
        <w:rPr>
          <w:b/>
          <w:sz w:val="26"/>
          <w:szCs w:val="26"/>
          <w:lang w:val="nl-NL"/>
        </w:rPr>
        <w:t>1.1. Giới thiệu chung về dự án/dự toán mua sắm, gói thầu</w:t>
      </w:r>
    </w:p>
    <w:p w14:paraId="2FAA2CF6"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Tên Chủ đầu tư: Ban Quản lý dự án đầu tư xây dựng khu vực I tỉnh Quảng Ninh.</w:t>
      </w:r>
    </w:p>
    <w:p w14:paraId="2E8BB3E2"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Tên gói thầu: Gói thầu số 01: Mua sắm xe ô tô phục vụ công tác chung của Ban Quản lý dự án đầu tư xây dựng khu vực I tỉnh Quảng Ninh.</w:t>
      </w:r>
    </w:p>
    <w:p w14:paraId="4080A8C3"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Hình thức, phương thức lựa chọn nhà thầu: Chào hàng cạnh tranh trong nước qua mạng, một giai đoạn một túi hồ sơ.</w:t>
      </w:r>
    </w:p>
    <w:p w14:paraId="22D71B81" w14:textId="4DC177C2" w:rsidR="000F0210" w:rsidRPr="000F0210" w:rsidRDefault="000F0210" w:rsidP="000F0210">
      <w:pPr>
        <w:spacing w:before="120" w:after="120" w:line="264" w:lineRule="auto"/>
        <w:ind w:right="-284" w:firstLine="709"/>
        <w:rPr>
          <w:bCs/>
          <w:spacing w:val="-4"/>
          <w:sz w:val="26"/>
          <w:szCs w:val="26"/>
          <w:lang w:val="nl-NL"/>
        </w:rPr>
      </w:pPr>
      <w:r w:rsidRPr="000F0210">
        <w:rPr>
          <w:bCs/>
          <w:spacing w:val="-4"/>
          <w:sz w:val="26"/>
          <w:szCs w:val="26"/>
          <w:lang w:val="nl-NL"/>
        </w:rPr>
        <w:t>- Địa điểm thực hiện: Ban Quản lý dự án đầu tư xây dựng khu vực I tỉnh Quảng Ninh</w:t>
      </w:r>
      <w:r w:rsidR="00275BE5">
        <w:rPr>
          <w:bCs/>
          <w:spacing w:val="-4"/>
          <w:sz w:val="26"/>
          <w:szCs w:val="26"/>
          <w:lang w:val="nl-NL"/>
        </w:rPr>
        <w:t>, trụ sở liên cơ quan số 3, phường Hạ Long, tỉnh Quảng Ninh</w:t>
      </w:r>
      <w:r w:rsidRPr="000F0210">
        <w:rPr>
          <w:bCs/>
          <w:spacing w:val="-4"/>
          <w:sz w:val="26"/>
          <w:szCs w:val="26"/>
          <w:lang w:val="nl-NL"/>
        </w:rPr>
        <w:t>.</w:t>
      </w:r>
    </w:p>
    <w:p w14:paraId="3146F576"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Loại hợp đồng: Trọn gói.</w:t>
      </w:r>
    </w:p>
    <w:p w14:paraId="0A43824B"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Thời gian thực hiện gói thầu: 30 ngày (trong năm 2025).</w:t>
      </w:r>
    </w:p>
    <w:p w14:paraId="5AEA233A" w14:textId="77777777" w:rsidR="000F0210" w:rsidRPr="000F0210" w:rsidRDefault="000F0210" w:rsidP="000F0210">
      <w:pPr>
        <w:spacing w:before="120" w:after="120" w:line="264" w:lineRule="auto"/>
        <w:ind w:right="-284" w:firstLine="709"/>
        <w:rPr>
          <w:b/>
          <w:sz w:val="26"/>
          <w:szCs w:val="26"/>
          <w:lang w:val="nl-NL"/>
        </w:rPr>
      </w:pPr>
      <w:r w:rsidRPr="000F0210">
        <w:rPr>
          <w:b/>
          <w:sz w:val="26"/>
          <w:szCs w:val="26"/>
          <w:lang w:val="nl-NL"/>
        </w:rPr>
        <w:t>1.2. Yêu cầu về kỹ thuật</w:t>
      </w:r>
    </w:p>
    <w:p w14:paraId="635659CF"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Yêu cầu về kỹ thuật bao gồm yêu cầu về kỹ thuật chung và yêu cầu về kỹ thuật chi tiết đối với hàng hóa thuộc phạm vi cung cấp của gói thầu, cụ thể:</w:t>
      </w:r>
    </w:p>
    <w:p w14:paraId="02C05011"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xml:space="preserve">a) Yêu cầu về kỹ thuật chung: </w:t>
      </w:r>
    </w:p>
    <w:p w14:paraId="26CC44F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Hàng hóa được cung cấp phải là hàng hóa mới 100%, chưa qua sử dụng, sản xuất năm 2025 và phải là hàng hóa chính hãng.</w:t>
      </w:r>
    </w:p>
    <w:p w14:paraId="057D7DD7"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phải đề xuất rõ ký mã hiệu, nhãn hiệu, hãng sản xuất, năm sản xuất, xuất xứ, mô tả thông số kỹ thuật, quy cách của hàng hóa.</w:t>
      </w:r>
    </w:p>
    <w:p w14:paraId="3A5152A2"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Tài liệu chứng minh đặc tính, thông số kỹ thuật của hàng hóa chào hàng: Nhà thầu phải cung cấp catalogue hoặc tài liệu kỹ thuật có đầy đủ nội dung chứng minh các đặc tính, thông số kỹ thuật của hàng hóa chào hàng và được dẫn chiếu rõ ràng.</w:t>
      </w:r>
    </w:p>
    <w:p w14:paraId="5CDBED29"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phải cam kết bàn giao cho chủ đầu tư các giấy tờ sau khi giao hàng:</w:t>
      </w:r>
    </w:p>
    <w:p w14:paraId="7C2635B4"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Trường hợp hàng hóa nhập khẩu: Bản gốc hoặc bản công chứng: Giấy chứng nhận xuất xứ (C/O), Giấy chứng nhận chất lượng sản phẩm của nhà sản xuất (C/Q) và các giấy tờ liên quan khác theo quy định đối với hàng hóa nhập khẩu hoặc đầy đủ giấy tờ để xe đi đăng ký.</w:t>
      </w:r>
    </w:p>
    <w:p w14:paraId="60E7253D"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Trường hợp hàng hóa sản xuất trong nước: Bản gốc hoặc bản công chứng: Phiếu kiểm tra chất lượng xuất xưởng, Giấy chứng nhận chất lượng an toàn kỹ thuật và bảo vệ môi trường xe ô tô sản xuất lắp ráp, hóa đơn bán hàng và giấy bảo hành của nhà sản xuất hoặc đại lý phân phối (nếu có).</w:t>
      </w:r>
    </w:p>
    <w:p w14:paraId="1E8C6FE7"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Tất cả các tài liệu chứng minh sự phù hợp của hàng hóa nếu bằng tiếng nước ngoài phải được dịch sang tiếng Việt. Nhà thầu phải chịu trách nhiệm về tính chính xác, tính pháp lý của bản dịch so với bản gốc.</w:t>
      </w:r>
    </w:p>
    <w:p w14:paraId="0CADA32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lastRenderedPageBreak/>
        <w:t>- Nhà thầu có cam kết chịu trách nhiệm về tính chính xác của các văn bản có yếu tố nước ngoài, văn bản và catalogue của nhà sản xuất. Trong trường hợp nghi ngờ gian lận tài liệu, Chủ đầu tư sẽ yêu cầu nhà thầu cung cấp bản gốc để đối chiếu.</w:t>
      </w:r>
    </w:p>
    <w:p w14:paraId="7C57AA8F"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Nhà thầu chịu trách nhiệm về tính trung thực, chính xác của các thông tin, thông số kỹ thuật do nhà thầu cung cấp. Trong trường hợp phát hiện thông số tại tài liệu nhà thầu cung cấp có sự khác biệt so với thông tin trên website của hãng sản xuất (các tính năng, thông số kỹ thuật trên website chính thức của hãng sản xuất cũng có thể được coi là tài liệu kỹ thuật dùng để đánh giá sự đáp ứng về kỹ thuật của hàng hóa dự thầu) hoặc trường hợp cần thiết khác, Chủ đầu tư có thể yêu cầu nhà thầu bổ sung, làm rõ. Mọi gian lận về hồ sơ, tài liệu, các thông số kỹ thuật của hàng hóa của nhà thầu là căn cứ để Chủ đầu tư đề nghị cấm tham gia hoạt động đấu thầu, tạo cảnh báo trên Hệ thống mạng đấu thầu quốc gia hoặc chuyển các cơ quan chức năng xử lý theo quy định.</w:t>
      </w:r>
    </w:p>
    <w:p w14:paraId="4A372908"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 Các tài liệu chứng minh sự phù hợp của hàng hóa dự thầu được đánh dấu vào các thông số kỹ thuật và các nội dung đề xuất để chứng minh tính đáp ứng của hàng hóa, các tài liệu được phân loại thành từng file riêng và ghi tên file tương ứng với từng tài liệu, scan đính kèm E-HSDT để Chủ đầu tư thuận tiện trong việc kiểm tra, đánh giá.</w:t>
      </w:r>
    </w:p>
    <w:p w14:paraId="412E0620"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b) Yêu cầu về kỹ thuật cụ thể:</w:t>
      </w:r>
    </w:p>
    <w:p w14:paraId="1DADDAE2"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 “Tương đương” có nghĩa là có chất lượng, tính năng sử dụng bằng thông số mời thầu. Nhà thầu có văn bản giải trình, cung cấp tài liệu chứng minh hàng hóa nhà thầu chào có thông số kỹ thuật tương đương hoặc tốt hơn. Trường hợp nhà thầu không có văn bản giải trình, tài liệu chứng minh thì đơn vị tư vấn tiến hành đánh giá theo đúng tài liệu kỹ thuật trong E-HSDT của nhà thầu. Tất cả hàng hóa phải đáp ứng các yêu cầu kỹ thuật tại E-HSMT thì mới được coi là đáp ứng và được xem xét, đánh giá ở bước tiếp theo.</w:t>
      </w:r>
    </w:p>
    <w:p w14:paraId="31B2E11A" w14:textId="77777777" w:rsidR="000F0210" w:rsidRPr="000F0210" w:rsidRDefault="000F0210" w:rsidP="000F0210">
      <w:pPr>
        <w:spacing w:before="120" w:after="120" w:line="264" w:lineRule="auto"/>
        <w:ind w:right="-284" w:firstLine="709"/>
        <w:rPr>
          <w:bCs/>
          <w:sz w:val="26"/>
          <w:szCs w:val="26"/>
          <w:lang w:val="nl-NL"/>
        </w:rPr>
      </w:pPr>
      <w:r w:rsidRPr="000F0210">
        <w:rPr>
          <w:bCs/>
          <w:sz w:val="26"/>
          <w:szCs w:val="26"/>
          <w:lang w:val="nl-NL"/>
        </w:rPr>
        <w:t>Yêu cầu kỹ thuật chi tiết theo bảng dưới đây:</w:t>
      </w:r>
    </w:p>
    <w:tbl>
      <w:tblPr>
        <w:tblW w:w="9351" w:type="dxa"/>
        <w:tblInd w:w="113" w:type="dxa"/>
        <w:tblLook w:val="04A0" w:firstRow="1" w:lastRow="0" w:firstColumn="1" w:lastColumn="0" w:noHBand="0" w:noVBand="1"/>
      </w:tblPr>
      <w:tblGrid>
        <w:gridCol w:w="1200"/>
        <w:gridCol w:w="3898"/>
        <w:gridCol w:w="4253"/>
      </w:tblGrid>
      <w:tr w:rsidR="000F0210" w:rsidRPr="001E262F" w14:paraId="7001FDE8" w14:textId="77777777" w:rsidTr="00E33499">
        <w:trPr>
          <w:trHeight w:val="699"/>
          <w:tblHead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2637C" w14:textId="77777777" w:rsidR="000F0210" w:rsidRPr="001E262F" w:rsidRDefault="000F0210" w:rsidP="00E33499">
            <w:pPr>
              <w:jc w:val="center"/>
              <w:rPr>
                <w:b/>
                <w:bCs/>
                <w:sz w:val="26"/>
                <w:szCs w:val="26"/>
                <w:lang w:val="vi-VN" w:eastAsia="vi-VN"/>
              </w:rPr>
            </w:pPr>
            <w:r w:rsidRPr="001E262F">
              <w:rPr>
                <w:b/>
                <w:bCs/>
                <w:sz w:val="26"/>
                <w:szCs w:val="26"/>
                <w:lang w:val="vi-VN" w:eastAsia="vi-VN"/>
              </w:rPr>
              <w:t>Hạng mục số</w:t>
            </w:r>
          </w:p>
        </w:tc>
        <w:tc>
          <w:tcPr>
            <w:tcW w:w="3898" w:type="dxa"/>
            <w:tcBorders>
              <w:top w:val="single" w:sz="4" w:space="0" w:color="auto"/>
              <w:left w:val="nil"/>
              <w:bottom w:val="single" w:sz="4" w:space="0" w:color="auto"/>
              <w:right w:val="single" w:sz="4" w:space="0" w:color="auto"/>
            </w:tcBorders>
            <w:shd w:val="clear" w:color="000000" w:fill="FFFFFF"/>
            <w:vAlign w:val="center"/>
            <w:hideMark/>
          </w:tcPr>
          <w:p w14:paraId="5D5F58FF" w14:textId="77777777" w:rsidR="000F0210" w:rsidRPr="001E262F" w:rsidRDefault="000F0210" w:rsidP="00E33499">
            <w:pPr>
              <w:jc w:val="center"/>
              <w:rPr>
                <w:b/>
                <w:bCs/>
                <w:sz w:val="26"/>
                <w:szCs w:val="26"/>
                <w:lang w:val="vi-VN" w:eastAsia="vi-VN"/>
              </w:rPr>
            </w:pPr>
            <w:r w:rsidRPr="001E262F">
              <w:rPr>
                <w:b/>
                <w:bCs/>
                <w:sz w:val="26"/>
                <w:szCs w:val="26"/>
                <w:lang w:val="vi-VN" w:eastAsia="vi-VN"/>
              </w:rPr>
              <w:t>Tên hàng hóa/dịch vụ liên quan</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2DE61D62" w14:textId="77777777" w:rsidR="000F0210" w:rsidRPr="001E262F" w:rsidRDefault="000F0210" w:rsidP="00E33499">
            <w:pPr>
              <w:jc w:val="center"/>
              <w:rPr>
                <w:b/>
                <w:bCs/>
                <w:sz w:val="26"/>
                <w:szCs w:val="26"/>
                <w:lang w:val="vi-VN" w:eastAsia="vi-VN"/>
              </w:rPr>
            </w:pPr>
            <w:r w:rsidRPr="001E262F">
              <w:rPr>
                <w:b/>
                <w:bCs/>
                <w:sz w:val="26"/>
                <w:szCs w:val="26"/>
                <w:lang w:val="vi-VN" w:eastAsia="vi-VN"/>
              </w:rPr>
              <w:t>Thông số kỹ thuật và các tiêu chuẩn</w:t>
            </w:r>
          </w:p>
        </w:tc>
      </w:tr>
      <w:tr w:rsidR="000F0210" w:rsidRPr="001E262F" w14:paraId="6DEA50D8" w14:textId="77777777" w:rsidTr="00E33499">
        <w:trPr>
          <w:trHeight w:val="58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776AE29" w14:textId="77777777" w:rsidR="000F0210" w:rsidRPr="001E262F" w:rsidRDefault="000F0210" w:rsidP="00E33499">
            <w:pPr>
              <w:jc w:val="center"/>
              <w:rPr>
                <w:b/>
                <w:bCs/>
                <w:sz w:val="26"/>
                <w:szCs w:val="26"/>
                <w:lang w:val="vi-VN" w:eastAsia="vi-VN"/>
              </w:rPr>
            </w:pPr>
            <w:r w:rsidRPr="001E262F">
              <w:rPr>
                <w:b/>
                <w:bCs/>
                <w:sz w:val="26"/>
                <w:szCs w:val="26"/>
                <w:lang w:val="vi-VN" w:eastAsia="vi-VN"/>
              </w:rPr>
              <w:t>1</w:t>
            </w:r>
          </w:p>
        </w:tc>
        <w:tc>
          <w:tcPr>
            <w:tcW w:w="3898" w:type="dxa"/>
            <w:tcBorders>
              <w:top w:val="nil"/>
              <w:left w:val="nil"/>
              <w:bottom w:val="single" w:sz="4" w:space="0" w:color="auto"/>
              <w:right w:val="single" w:sz="4" w:space="0" w:color="auto"/>
            </w:tcBorders>
            <w:shd w:val="clear" w:color="000000" w:fill="FFFFFF"/>
            <w:vAlign w:val="center"/>
            <w:hideMark/>
          </w:tcPr>
          <w:p w14:paraId="3F041E8E" w14:textId="77777777" w:rsidR="000F0210" w:rsidRPr="001E262F" w:rsidRDefault="000F0210" w:rsidP="00E33499">
            <w:pPr>
              <w:jc w:val="center"/>
              <w:rPr>
                <w:b/>
                <w:bCs/>
                <w:sz w:val="26"/>
                <w:szCs w:val="26"/>
                <w:lang w:val="vi-VN" w:eastAsia="vi-VN"/>
              </w:rPr>
            </w:pPr>
            <w:r w:rsidRPr="001E262F">
              <w:rPr>
                <w:b/>
                <w:bCs/>
                <w:sz w:val="26"/>
                <w:szCs w:val="26"/>
                <w:lang w:val="vi-VN" w:eastAsia="vi-VN"/>
              </w:rPr>
              <w:t>Thông số kỹ thuật</w:t>
            </w:r>
          </w:p>
        </w:tc>
        <w:tc>
          <w:tcPr>
            <w:tcW w:w="4253" w:type="dxa"/>
            <w:tcBorders>
              <w:top w:val="nil"/>
              <w:left w:val="nil"/>
              <w:bottom w:val="single" w:sz="4" w:space="0" w:color="auto"/>
              <w:right w:val="single" w:sz="4" w:space="0" w:color="auto"/>
            </w:tcBorders>
            <w:shd w:val="clear" w:color="000000" w:fill="FFFFFF"/>
            <w:noWrap/>
            <w:vAlign w:val="center"/>
            <w:hideMark/>
          </w:tcPr>
          <w:p w14:paraId="1C150840"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23C2C0E3" w14:textId="77777777" w:rsidTr="00E33499">
        <w:trPr>
          <w:trHeight w:val="424"/>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12C6741"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2F81FAF6" w14:textId="77777777" w:rsidR="000F0210" w:rsidRPr="001E262F" w:rsidRDefault="000F0210" w:rsidP="00E33499">
            <w:pPr>
              <w:jc w:val="center"/>
              <w:rPr>
                <w:sz w:val="26"/>
                <w:szCs w:val="26"/>
                <w:lang w:val="vi-VN" w:eastAsia="vi-VN"/>
              </w:rPr>
            </w:pPr>
            <w:r w:rsidRPr="001E262F">
              <w:rPr>
                <w:sz w:val="26"/>
                <w:szCs w:val="26"/>
                <w:lang w:val="vi-VN" w:eastAsia="vi-VN"/>
              </w:rPr>
              <w:t>Số chỗ</w:t>
            </w:r>
          </w:p>
        </w:tc>
        <w:tc>
          <w:tcPr>
            <w:tcW w:w="4253" w:type="dxa"/>
            <w:tcBorders>
              <w:top w:val="nil"/>
              <w:left w:val="nil"/>
              <w:bottom w:val="single" w:sz="4" w:space="0" w:color="auto"/>
              <w:right w:val="single" w:sz="4" w:space="0" w:color="auto"/>
            </w:tcBorders>
            <w:shd w:val="clear" w:color="000000" w:fill="FFFFFF"/>
            <w:vAlign w:val="center"/>
            <w:hideMark/>
          </w:tcPr>
          <w:p w14:paraId="28857ABF" w14:textId="77777777" w:rsidR="000F0210" w:rsidRPr="001E262F" w:rsidRDefault="000F0210" w:rsidP="00E33499">
            <w:pPr>
              <w:jc w:val="center"/>
              <w:rPr>
                <w:sz w:val="26"/>
                <w:szCs w:val="26"/>
                <w:lang w:val="vi-VN" w:eastAsia="vi-VN"/>
              </w:rPr>
            </w:pPr>
            <w:r w:rsidRPr="001E262F">
              <w:rPr>
                <w:sz w:val="26"/>
                <w:szCs w:val="26"/>
                <w:lang w:val="vi-VN" w:eastAsia="vi-VN"/>
              </w:rPr>
              <w:t>07 chỗ</w:t>
            </w:r>
          </w:p>
        </w:tc>
      </w:tr>
      <w:tr w:rsidR="000F0210" w:rsidRPr="001E262F" w14:paraId="13AC81A2"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16E9398"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A20DA81" w14:textId="77777777" w:rsidR="000F0210" w:rsidRPr="001E262F" w:rsidRDefault="000F0210" w:rsidP="00E33499">
            <w:pPr>
              <w:jc w:val="center"/>
              <w:rPr>
                <w:sz w:val="26"/>
                <w:szCs w:val="26"/>
                <w:lang w:val="vi-VN" w:eastAsia="vi-VN"/>
              </w:rPr>
            </w:pPr>
            <w:r w:rsidRPr="001E262F">
              <w:rPr>
                <w:sz w:val="26"/>
                <w:szCs w:val="26"/>
                <w:lang w:val="vi-VN" w:eastAsia="vi-VN"/>
              </w:rPr>
              <w:t>Xuất xứ</w:t>
            </w:r>
          </w:p>
        </w:tc>
        <w:tc>
          <w:tcPr>
            <w:tcW w:w="4253" w:type="dxa"/>
            <w:tcBorders>
              <w:top w:val="nil"/>
              <w:left w:val="nil"/>
              <w:bottom w:val="single" w:sz="4" w:space="0" w:color="auto"/>
              <w:right w:val="single" w:sz="4" w:space="0" w:color="auto"/>
            </w:tcBorders>
            <w:shd w:val="clear" w:color="000000" w:fill="FFFFFF"/>
            <w:vAlign w:val="center"/>
            <w:hideMark/>
          </w:tcPr>
          <w:p w14:paraId="296B47C1" w14:textId="77777777" w:rsidR="000F0210" w:rsidRPr="001E262F" w:rsidRDefault="000F0210" w:rsidP="00E33499">
            <w:pPr>
              <w:jc w:val="center"/>
              <w:rPr>
                <w:sz w:val="26"/>
                <w:szCs w:val="26"/>
                <w:lang w:val="vi-VN" w:eastAsia="vi-VN"/>
              </w:rPr>
            </w:pPr>
            <w:r w:rsidRPr="001E262F">
              <w:rPr>
                <w:sz w:val="26"/>
                <w:szCs w:val="26"/>
                <w:lang w:val="vi-VN" w:eastAsia="vi-VN"/>
              </w:rPr>
              <w:t>Đông Nam Á</w:t>
            </w:r>
          </w:p>
        </w:tc>
      </w:tr>
      <w:tr w:rsidR="000F0210" w:rsidRPr="001E262F" w14:paraId="4B8E36E1"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BF5DCC2"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222E9D1" w14:textId="77777777" w:rsidR="000F0210" w:rsidRPr="001E262F" w:rsidRDefault="000F0210" w:rsidP="00E33499">
            <w:pPr>
              <w:jc w:val="center"/>
              <w:rPr>
                <w:sz w:val="26"/>
                <w:szCs w:val="26"/>
                <w:lang w:val="vi-VN" w:eastAsia="vi-VN"/>
              </w:rPr>
            </w:pPr>
            <w:r w:rsidRPr="001E262F">
              <w:rPr>
                <w:sz w:val="26"/>
                <w:szCs w:val="26"/>
                <w:lang w:val="vi-VN" w:eastAsia="vi-VN"/>
              </w:rPr>
              <w:t>Hộp số</w:t>
            </w:r>
          </w:p>
        </w:tc>
        <w:tc>
          <w:tcPr>
            <w:tcW w:w="4253" w:type="dxa"/>
            <w:tcBorders>
              <w:top w:val="nil"/>
              <w:left w:val="nil"/>
              <w:bottom w:val="single" w:sz="4" w:space="0" w:color="auto"/>
              <w:right w:val="single" w:sz="4" w:space="0" w:color="auto"/>
            </w:tcBorders>
            <w:shd w:val="clear" w:color="000000" w:fill="FFFFFF"/>
            <w:noWrap/>
            <w:vAlign w:val="center"/>
            <w:hideMark/>
          </w:tcPr>
          <w:p w14:paraId="10709EF1" w14:textId="77777777" w:rsidR="000F0210" w:rsidRPr="001E262F" w:rsidRDefault="000F0210" w:rsidP="00E33499">
            <w:pPr>
              <w:jc w:val="center"/>
              <w:rPr>
                <w:sz w:val="26"/>
                <w:szCs w:val="26"/>
                <w:lang w:val="vi-VN" w:eastAsia="vi-VN"/>
              </w:rPr>
            </w:pPr>
            <w:r w:rsidRPr="001E262F">
              <w:rPr>
                <w:sz w:val="26"/>
                <w:szCs w:val="26"/>
                <w:lang w:val="vi-VN" w:eastAsia="vi-VN"/>
              </w:rPr>
              <w:t>≥ Tự động 8 cấp</w:t>
            </w:r>
          </w:p>
        </w:tc>
      </w:tr>
      <w:tr w:rsidR="000F0210" w:rsidRPr="001E262F" w14:paraId="7B358BFF"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9DC307A"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F3C90E2" w14:textId="77777777" w:rsidR="000F0210" w:rsidRPr="001E262F" w:rsidRDefault="000F0210" w:rsidP="00E33499">
            <w:pPr>
              <w:jc w:val="center"/>
              <w:rPr>
                <w:sz w:val="26"/>
                <w:szCs w:val="26"/>
                <w:lang w:val="vi-VN" w:eastAsia="vi-VN"/>
              </w:rPr>
            </w:pPr>
            <w:r w:rsidRPr="001E262F">
              <w:rPr>
                <w:sz w:val="26"/>
                <w:szCs w:val="26"/>
                <w:lang w:val="vi-VN" w:eastAsia="vi-VN"/>
              </w:rPr>
              <w:t>Nhiên liệu</w:t>
            </w:r>
          </w:p>
        </w:tc>
        <w:tc>
          <w:tcPr>
            <w:tcW w:w="4253" w:type="dxa"/>
            <w:tcBorders>
              <w:top w:val="nil"/>
              <w:left w:val="nil"/>
              <w:bottom w:val="single" w:sz="4" w:space="0" w:color="auto"/>
              <w:right w:val="single" w:sz="4" w:space="0" w:color="auto"/>
            </w:tcBorders>
            <w:shd w:val="clear" w:color="000000" w:fill="FFFFFF"/>
            <w:noWrap/>
            <w:vAlign w:val="center"/>
            <w:hideMark/>
          </w:tcPr>
          <w:p w14:paraId="518F22C4" w14:textId="77777777" w:rsidR="000F0210" w:rsidRPr="001E262F" w:rsidRDefault="000F0210" w:rsidP="00E33499">
            <w:pPr>
              <w:jc w:val="center"/>
              <w:rPr>
                <w:sz w:val="26"/>
                <w:szCs w:val="26"/>
                <w:lang w:val="vi-VN" w:eastAsia="vi-VN"/>
              </w:rPr>
            </w:pPr>
            <w:r w:rsidRPr="001E262F">
              <w:rPr>
                <w:sz w:val="26"/>
                <w:szCs w:val="26"/>
                <w:lang w:val="vi-VN" w:eastAsia="vi-VN"/>
              </w:rPr>
              <w:t>Diesel</w:t>
            </w:r>
          </w:p>
        </w:tc>
      </w:tr>
      <w:tr w:rsidR="000F0210" w:rsidRPr="001E262F" w14:paraId="450BB2FE" w14:textId="77777777" w:rsidTr="00E33499">
        <w:trPr>
          <w:trHeight w:val="58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048AAD3" w14:textId="77777777" w:rsidR="000F0210" w:rsidRPr="001E262F" w:rsidRDefault="000F0210" w:rsidP="00E33499">
            <w:pPr>
              <w:jc w:val="center"/>
              <w:rPr>
                <w:b/>
                <w:bCs/>
                <w:sz w:val="26"/>
                <w:szCs w:val="26"/>
                <w:lang w:val="vi-VN" w:eastAsia="vi-VN"/>
              </w:rPr>
            </w:pPr>
            <w:r w:rsidRPr="001E262F">
              <w:rPr>
                <w:b/>
                <w:bCs/>
                <w:sz w:val="26"/>
                <w:szCs w:val="26"/>
                <w:lang w:val="vi-VN" w:eastAsia="vi-VN"/>
              </w:rPr>
              <w:t>2</w:t>
            </w:r>
          </w:p>
        </w:tc>
        <w:tc>
          <w:tcPr>
            <w:tcW w:w="3898" w:type="dxa"/>
            <w:tcBorders>
              <w:top w:val="nil"/>
              <w:left w:val="nil"/>
              <w:bottom w:val="single" w:sz="4" w:space="0" w:color="auto"/>
              <w:right w:val="single" w:sz="4" w:space="0" w:color="auto"/>
            </w:tcBorders>
            <w:shd w:val="clear" w:color="000000" w:fill="FFFFFF"/>
            <w:vAlign w:val="center"/>
            <w:hideMark/>
          </w:tcPr>
          <w:p w14:paraId="0ECE3DCB" w14:textId="77777777" w:rsidR="000F0210" w:rsidRPr="001E262F" w:rsidRDefault="000F0210" w:rsidP="00E33499">
            <w:pPr>
              <w:jc w:val="center"/>
              <w:rPr>
                <w:b/>
                <w:bCs/>
                <w:sz w:val="26"/>
                <w:szCs w:val="26"/>
                <w:lang w:val="vi-VN" w:eastAsia="vi-VN"/>
              </w:rPr>
            </w:pPr>
            <w:r w:rsidRPr="001E262F">
              <w:rPr>
                <w:b/>
                <w:bCs/>
                <w:sz w:val="26"/>
                <w:szCs w:val="26"/>
                <w:lang w:val="vi-VN" w:eastAsia="vi-VN"/>
              </w:rPr>
              <w:t>Kích thước chung</w:t>
            </w:r>
          </w:p>
        </w:tc>
        <w:tc>
          <w:tcPr>
            <w:tcW w:w="4253" w:type="dxa"/>
            <w:tcBorders>
              <w:top w:val="nil"/>
              <w:left w:val="nil"/>
              <w:bottom w:val="single" w:sz="4" w:space="0" w:color="auto"/>
              <w:right w:val="single" w:sz="4" w:space="0" w:color="auto"/>
            </w:tcBorders>
            <w:shd w:val="clear" w:color="000000" w:fill="FFFFFF"/>
            <w:vAlign w:val="center"/>
            <w:hideMark/>
          </w:tcPr>
          <w:p w14:paraId="19253FC2"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20870538" w14:textId="77777777" w:rsidTr="00E33499">
        <w:trPr>
          <w:trHeight w:val="852"/>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CDE98FB" w14:textId="77777777" w:rsidR="000F0210" w:rsidRPr="001E262F" w:rsidRDefault="000F0210" w:rsidP="00E33499">
            <w:pPr>
              <w:jc w:val="center"/>
              <w:rPr>
                <w:sz w:val="26"/>
                <w:szCs w:val="26"/>
                <w:lang w:val="vi-VN" w:eastAsia="vi-VN"/>
              </w:rPr>
            </w:pPr>
            <w:r w:rsidRPr="001E262F">
              <w:rPr>
                <w:sz w:val="26"/>
                <w:szCs w:val="26"/>
                <w:lang w:val="vi-VN" w:eastAsia="vi-VN"/>
              </w:rPr>
              <w:lastRenderedPageBreak/>
              <w:t> </w:t>
            </w:r>
          </w:p>
        </w:tc>
        <w:tc>
          <w:tcPr>
            <w:tcW w:w="3898" w:type="dxa"/>
            <w:tcBorders>
              <w:top w:val="nil"/>
              <w:left w:val="nil"/>
              <w:bottom w:val="single" w:sz="4" w:space="0" w:color="auto"/>
              <w:right w:val="single" w:sz="4" w:space="0" w:color="auto"/>
            </w:tcBorders>
            <w:shd w:val="clear" w:color="000000" w:fill="FFFFFF"/>
            <w:vAlign w:val="center"/>
            <w:hideMark/>
          </w:tcPr>
          <w:p w14:paraId="329FC5CD" w14:textId="77777777" w:rsidR="000F0210" w:rsidRPr="001E262F" w:rsidRDefault="000F0210" w:rsidP="00E33499">
            <w:pPr>
              <w:jc w:val="center"/>
              <w:rPr>
                <w:sz w:val="26"/>
                <w:szCs w:val="26"/>
                <w:lang w:val="vi-VN" w:eastAsia="vi-VN"/>
              </w:rPr>
            </w:pPr>
            <w:r w:rsidRPr="001E262F">
              <w:rPr>
                <w:sz w:val="26"/>
                <w:szCs w:val="26"/>
                <w:lang w:val="vi-VN" w:eastAsia="vi-VN"/>
              </w:rPr>
              <w:t>Kích thước tổng thể bên ngoài (D x R x C) (mm x mm x mm)</w:t>
            </w:r>
          </w:p>
        </w:tc>
        <w:tc>
          <w:tcPr>
            <w:tcW w:w="4253" w:type="dxa"/>
            <w:tcBorders>
              <w:top w:val="nil"/>
              <w:left w:val="nil"/>
              <w:bottom w:val="single" w:sz="4" w:space="0" w:color="auto"/>
              <w:right w:val="single" w:sz="4" w:space="0" w:color="auto"/>
            </w:tcBorders>
            <w:shd w:val="clear" w:color="000000" w:fill="FFFFFF"/>
            <w:noWrap/>
            <w:vAlign w:val="center"/>
            <w:hideMark/>
          </w:tcPr>
          <w:p w14:paraId="3674239D" w14:textId="77777777" w:rsidR="000F0210" w:rsidRPr="001E262F" w:rsidRDefault="000F0210" w:rsidP="00E33499">
            <w:pPr>
              <w:jc w:val="center"/>
              <w:rPr>
                <w:sz w:val="26"/>
                <w:szCs w:val="26"/>
                <w:lang w:val="vi-VN" w:eastAsia="vi-VN"/>
              </w:rPr>
            </w:pPr>
            <w:r w:rsidRPr="001E262F">
              <w:rPr>
                <w:sz w:val="26"/>
                <w:szCs w:val="26"/>
                <w:lang w:val="vi-VN" w:eastAsia="vi-VN"/>
              </w:rPr>
              <w:t>≥ 4914 x 1923 x 1785</w:t>
            </w:r>
          </w:p>
        </w:tc>
      </w:tr>
      <w:tr w:rsidR="000F0210" w:rsidRPr="001E262F" w14:paraId="02C871B2" w14:textId="77777777" w:rsidTr="00E33499">
        <w:trPr>
          <w:trHeight w:val="48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6DFFE3F"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A29ACFA" w14:textId="77777777" w:rsidR="000F0210" w:rsidRPr="001E262F" w:rsidRDefault="000F0210" w:rsidP="00E33499">
            <w:pPr>
              <w:jc w:val="center"/>
              <w:rPr>
                <w:sz w:val="26"/>
                <w:szCs w:val="26"/>
                <w:lang w:val="vi-VN" w:eastAsia="vi-VN"/>
              </w:rPr>
            </w:pPr>
            <w:r w:rsidRPr="001E262F">
              <w:rPr>
                <w:sz w:val="26"/>
                <w:szCs w:val="26"/>
                <w:lang w:val="vi-VN" w:eastAsia="vi-VN"/>
              </w:rPr>
              <w:t>Chiều dài cơ sở (mm)</w:t>
            </w:r>
          </w:p>
        </w:tc>
        <w:tc>
          <w:tcPr>
            <w:tcW w:w="4253" w:type="dxa"/>
            <w:tcBorders>
              <w:top w:val="nil"/>
              <w:left w:val="nil"/>
              <w:bottom w:val="single" w:sz="4" w:space="0" w:color="auto"/>
              <w:right w:val="single" w:sz="4" w:space="0" w:color="auto"/>
            </w:tcBorders>
            <w:shd w:val="clear" w:color="000000" w:fill="FFFFFF"/>
            <w:noWrap/>
            <w:vAlign w:val="center"/>
            <w:hideMark/>
          </w:tcPr>
          <w:p w14:paraId="7BDDB07C" w14:textId="77777777" w:rsidR="000F0210" w:rsidRPr="001E262F" w:rsidRDefault="000F0210" w:rsidP="00E33499">
            <w:pPr>
              <w:jc w:val="center"/>
              <w:rPr>
                <w:sz w:val="26"/>
                <w:szCs w:val="26"/>
                <w:lang w:val="vi-VN" w:eastAsia="vi-VN"/>
              </w:rPr>
            </w:pPr>
            <w:r w:rsidRPr="001E262F">
              <w:rPr>
                <w:sz w:val="26"/>
                <w:szCs w:val="26"/>
                <w:lang w:val="vi-VN" w:eastAsia="vi-VN"/>
              </w:rPr>
              <w:t>≥ 2900</w:t>
            </w:r>
          </w:p>
        </w:tc>
      </w:tr>
      <w:tr w:rsidR="000F0210" w:rsidRPr="001E262F" w14:paraId="23B55D58" w14:textId="77777777" w:rsidTr="00E33499">
        <w:trPr>
          <w:trHeight w:val="563"/>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EBE7BD3"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4CA13667" w14:textId="77777777" w:rsidR="000F0210" w:rsidRPr="001E262F" w:rsidRDefault="000F0210" w:rsidP="00E33499">
            <w:pPr>
              <w:jc w:val="center"/>
              <w:rPr>
                <w:sz w:val="26"/>
                <w:szCs w:val="26"/>
                <w:lang w:val="vi-VN" w:eastAsia="vi-VN"/>
              </w:rPr>
            </w:pPr>
            <w:r w:rsidRPr="001E262F">
              <w:rPr>
                <w:sz w:val="26"/>
                <w:szCs w:val="26"/>
                <w:lang w:val="vi-VN" w:eastAsia="vi-VN"/>
              </w:rPr>
              <w:t>Khoảng sáng gầm xe (mm)</w:t>
            </w:r>
          </w:p>
        </w:tc>
        <w:tc>
          <w:tcPr>
            <w:tcW w:w="4253" w:type="dxa"/>
            <w:tcBorders>
              <w:top w:val="nil"/>
              <w:left w:val="nil"/>
              <w:bottom w:val="single" w:sz="4" w:space="0" w:color="auto"/>
              <w:right w:val="single" w:sz="4" w:space="0" w:color="auto"/>
            </w:tcBorders>
            <w:shd w:val="clear" w:color="000000" w:fill="FFFFFF"/>
            <w:noWrap/>
            <w:vAlign w:val="center"/>
            <w:hideMark/>
          </w:tcPr>
          <w:p w14:paraId="5FB0FBB6" w14:textId="77777777" w:rsidR="000F0210" w:rsidRPr="001E262F" w:rsidRDefault="000F0210" w:rsidP="00E33499">
            <w:pPr>
              <w:jc w:val="center"/>
              <w:rPr>
                <w:sz w:val="26"/>
                <w:szCs w:val="26"/>
                <w:lang w:val="vi-VN" w:eastAsia="vi-VN"/>
              </w:rPr>
            </w:pPr>
            <w:r w:rsidRPr="001E262F">
              <w:rPr>
                <w:sz w:val="26"/>
                <w:szCs w:val="26"/>
                <w:lang w:val="vi-VN" w:eastAsia="vi-VN"/>
              </w:rPr>
              <w:t>≥ 200</w:t>
            </w:r>
          </w:p>
        </w:tc>
      </w:tr>
      <w:tr w:rsidR="000F0210" w:rsidRPr="001E262F" w14:paraId="03E2BE70"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FCAC5D7" w14:textId="77777777" w:rsidR="000F0210" w:rsidRPr="001E262F" w:rsidRDefault="000F0210" w:rsidP="00E33499">
            <w:pPr>
              <w:jc w:val="center"/>
              <w:rPr>
                <w:b/>
                <w:bCs/>
                <w:sz w:val="26"/>
                <w:szCs w:val="26"/>
                <w:lang w:val="vi-VN" w:eastAsia="vi-VN"/>
              </w:rPr>
            </w:pPr>
            <w:r w:rsidRPr="001E262F">
              <w:rPr>
                <w:b/>
                <w:bCs/>
                <w:sz w:val="26"/>
                <w:szCs w:val="26"/>
                <w:lang w:val="vi-VN" w:eastAsia="vi-VN"/>
              </w:rPr>
              <w:t>3</w:t>
            </w:r>
          </w:p>
        </w:tc>
        <w:tc>
          <w:tcPr>
            <w:tcW w:w="3898" w:type="dxa"/>
            <w:tcBorders>
              <w:top w:val="nil"/>
              <w:left w:val="nil"/>
              <w:bottom w:val="single" w:sz="4" w:space="0" w:color="auto"/>
              <w:right w:val="single" w:sz="4" w:space="0" w:color="auto"/>
            </w:tcBorders>
            <w:shd w:val="clear" w:color="000000" w:fill="FFFFFF"/>
            <w:vAlign w:val="center"/>
            <w:hideMark/>
          </w:tcPr>
          <w:p w14:paraId="2114D73F" w14:textId="77777777" w:rsidR="000F0210" w:rsidRPr="001E262F" w:rsidRDefault="000F0210" w:rsidP="00E33499">
            <w:pPr>
              <w:jc w:val="center"/>
              <w:rPr>
                <w:b/>
                <w:bCs/>
                <w:sz w:val="26"/>
                <w:szCs w:val="26"/>
                <w:lang w:val="vi-VN" w:eastAsia="vi-VN"/>
              </w:rPr>
            </w:pPr>
            <w:r w:rsidRPr="001E262F">
              <w:rPr>
                <w:b/>
                <w:bCs/>
                <w:sz w:val="26"/>
                <w:szCs w:val="26"/>
                <w:lang w:val="vi-VN" w:eastAsia="vi-VN"/>
              </w:rPr>
              <w:t>Động cơ</w:t>
            </w:r>
          </w:p>
        </w:tc>
        <w:tc>
          <w:tcPr>
            <w:tcW w:w="4253" w:type="dxa"/>
            <w:tcBorders>
              <w:top w:val="nil"/>
              <w:left w:val="nil"/>
              <w:bottom w:val="single" w:sz="4" w:space="0" w:color="auto"/>
              <w:right w:val="single" w:sz="4" w:space="0" w:color="auto"/>
            </w:tcBorders>
            <w:shd w:val="clear" w:color="000000" w:fill="FFFFFF"/>
            <w:noWrap/>
            <w:vAlign w:val="center"/>
            <w:hideMark/>
          </w:tcPr>
          <w:p w14:paraId="37925564"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09EFC099" w14:textId="77777777" w:rsidTr="00E33499">
        <w:trPr>
          <w:trHeight w:val="491"/>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CB091C0"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CD43C09" w14:textId="77777777" w:rsidR="000F0210" w:rsidRPr="001E262F" w:rsidRDefault="000F0210" w:rsidP="00E33499">
            <w:pPr>
              <w:jc w:val="center"/>
              <w:rPr>
                <w:sz w:val="26"/>
                <w:szCs w:val="26"/>
                <w:lang w:val="vi-VN" w:eastAsia="vi-VN"/>
              </w:rPr>
            </w:pPr>
            <w:r w:rsidRPr="001E262F">
              <w:rPr>
                <w:sz w:val="26"/>
                <w:szCs w:val="26"/>
                <w:lang w:val="vi-VN" w:eastAsia="vi-VN"/>
              </w:rPr>
              <w:t>Dung tích xi lanh (cc)</w:t>
            </w:r>
          </w:p>
        </w:tc>
        <w:tc>
          <w:tcPr>
            <w:tcW w:w="4253" w:type="dxa"/>
            <w:tcBorders>
              <w:top w:val="nil"/>
              <w:left w:val="nil"/>
              <w:bottom w:val="single" w:sz="4" w:space="0" w:color="auto"/>
              <w:right w:val="single" w:sz="4" w:space="0" w:color="auto"/>
            </w:tcBorders>
            <w:shd w:val="clear" w:color="000000" w:fill="FFFFFF"/>
            <w:noWrap/>
            <w:vAlign w:val="center"/>
            <w:hideMark/>
          </w:tcPr>
          <w:p w14:paraId="450FCB1C" w14:textId="77777777" w:rsidR="000F0210" w:rsidRPr="001E262F" w:rsidRDefault="000F0210" w:rsidP="00E33499">
            <w:pPr>
              <w:jc w:val="center"/>
              <w:rPr>
                <w:sz w:val="26"/>
                <w:szCs w:val="26"/>
                <w:lang w:val="vi-VN" w:eastAsia="vi-VN"/>
              </w:rPr>
            </w:pPr>
            <w:r w:rsidRPr="001E262F">
              <w:rPr>
                <w:sz w:val="26"/>
                <w:szCs w:val="26"/>
                <w:lang w:val="vi-VN" w:eastAsia="vi-VN"/>
              </w:rPr>
              <w:t>1996</w:t>
            </w:r>
          </w:p>
        </w:tc>
      </w:tr>
      <w:tr w:rsidR="000F0210" w:rsidRPr="001E262F" w14:paraId="485250DB" w14:textId="77777777" w:rsidTr="00E33499">
        <w:trPr>
          <w:trHeight w:val="413"/>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DBC75BD"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51FDAA6D" w14:textId="77777777" w:rsidR="000F0210" w:rsidRPr="001E262F" w:rsidRDefault="000F0210" w:rsidP="00E33499">
            <w:pPr>
              <w:jc w:val="center"/>
              <w:rPr>
                <w:sz w:val="26"/>
                <w:szCs w:val="26"/>
                <w:lang w:val="vi-VN" w:eastAsia="vi-VN"/>
              </w:rPr>
            </w:pPr>
            <w:r w:rsidRPr="001E262F">
              <w:rPr>
                <w:sz w:val="26"/>
                <w:szCs w:val="26"/>
                <w:lang w:val="vi-VN" w:eastAsia="vi-VN"/>
              </w:rPr>
              <w:t>Công suất tối đa (HP)</w:t>
            </w:r>
          </w:p>
        </w:tc>
        <w:tc>
          <w:tcPr>
            <w:tcW w:w="4253" w:type="dxa"/>
            <w:tcBorders>
              <w:top w:val="nil"/>
              <w:left w:val="nil"/>
              <w:bottom w:val="single" w:sz="4" w:space="0" w:color="auto"/>
              <w:right w:val="single" w:sz="4" w:space="0" w:color="auto"/>
            </w:tcBorders>
            <w:shd w:val="clear" w:color="000000" w:fill="FFFFFF"/>
            <w:noWrap/>
            <w:vAlign w:val="center"/>
            <w:hideMark/>
          </w:tcPr>
          <w:p w14:paraId="0B7FFE7A" w14:textId="77777777" w:rsidR="000F0210" w:rsidRPr="001E262F" w:rsidRDefault="000F0210" w:rsidP="00E33499">
            <w:pPr>
              <w:jc w:val="center"/>
              <w:rPr>
                <w:sz w:val="26"/>
                <w:szCs w:val="26"/>
                <w:lang w:val="vi-VN" w:eastAsia="vi-VN"/>
              </w:rPr>
            </w:pPr>
            <w:r w:rsidRPr="001E262F">
              <w:rPr>
                <w:sz w:val="26"/>
                <w:szCs w:val="26"/>
                <w:lang w:val="vi-VN" w:eastAsia="vi-VN"/>
              </w:rPr>
              <w:t>≥ 197</w:t>
            </w:r>
          </w:p>
        </w:tc>
      </w:tr>
      <w:tr w:rsidR="000F0210" w:rsidRPr="001E262F" w14:paraId="37BE336A" w14:textId="77777777" w:rsidTr="00E33499">
        <w:trPr>
          <w:trHeight w:val="419"/>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8F4C6CA"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17AF613" w14:textId="77777777" w:rsidR="000F0210" w:rsidRPr="001E262F" w:rsidRDefault="000F0210" w:rsidP="00E33499">
            <w:pPr>
              <w:jc w:val="center"/>
              <w:rPr>
                <w:sz w:val="26"/>
                <w:szCs w:val="26"/>
                <w:lang w:val="vi-VN" w:eastAsia="vi-VN"/>
              </w:rPr>
            </w:pPr>
            <w:r w:rsidRPr="001E262F">
              <w:rPr>
                <w:sz w:val="26"/>
                <w:szCs w:val="26"/>
                <w:lang w:val="vi-VN" w:eastAsia="vi-VN"/>
              </w:rPr>
              <w:t>Mô men xoắn tối đa (Nm)</w:t>
            </w:r>
          </w:p>
        </w:tc>
        <w:tc>
          <w:tcPr>
            <w:tcW w:w="4253" w:type="dxa"/>
            <w:tcBorders>
              <w:top w:val="nil"/>
              <w:left w:val="nil"/>
              <w:bottom w:val="single" w:sz="4" w:space="0" w:color="auto"/>
              <w:right w:val="single" w:sz="4" w:space="0" w:color="auto"/>
            </w:tcBorders>
            <w:shd w:val="clear" w:color="000000" w:fill="FFFFFF"/>
            <w:noWrap/>
            <w:vAlign w:val="center"/>
            <w:hideMark/>
          </w:tcPr>
          <w:p w14:paraId="653EDD57" w14:textId="77777777" w:rsidR="000F0210" w:rsidRPr="001E262F" w:rsidRDefault="000F0210" w:rsidP="00E33499">
            <w:pPr>
              <w:jc w:val="center"/>
              <w:rPr>
                <w:sz w:val="26"/>
                <w:szCs w:val="26"/>
                <w:lang w:val="vi-VN" w:eastAsia="vi-VN"/>
              </w:rPr>
            </w:pPr>
            <w:r w:rsidRPr="001E262F">
              <w:rPr>
                <w:sz w:val="26"/>
                <w:szCs w:val="26"/>
                <w:lang w:val="vi-VN" w:eastAsia="vi-VN"/>
              </w:rPr>
              <w:t>≥ 440</w:t>
            </w:r>
          </w:p>
        </w:tc>
      </w:tr>
      <w:tr w:rsidR="000F0210" w:rsidRPr="001E262F" w14:paraId="7EC2A241" w14:textId="77777777" w:rsidTr="00E33499">
        <w:trPr>
          <w:trHeight w:val="553"/>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6C74287"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54FE06C" w14:textId="77777777" w:rsidR="000F0210" w:rsidRPr="001E262F" w:rsidRDefault="000F0210" w:rsidP="00E33499">
            <w:pPr>
              <w:jc w:val="center"/>
              <w:rPr>
                <w:sz w:val="26"/>
                <w:szCs w:val="26"/>
                <w:lang w:val="vi-VN" w:eastAsia="vi-VN"/>
              </w:rPr>
            </w:pPr>
            <w:r w:rsidRPr="001E262F">
              <w:rPr>
                <w:sz w:val="26"/>
                <w:szCs w:val="26"/>
                <w:lang w:val="vi-VN" w:eastAsia="vi-VN"/>
              </w:rPr>
              <w:t>Dung tích bình nhiên liệu (lít)</w:t>
            </w:r>
          </w:p>
        </w:tc>
        <w:tc>
          <w:tcPr>
            <w:tcW w:w="4253" w:type="dxa"/>
            <w:tcBorders>
              <w:top w:val="nil"/>
              <w:left w:val="nil"/>
              <w:bottom w:val="single" w:sz="4" w:space="0" w:color="auto"/>
              <w:right w:val="single" w:sz="4" w:space="0" w:color="auto"/>
            </w:tcBorders>
            <w:shd w:val="clear" w:color="000000" w:fill="FFFFFF"/>
            <w:noWrap/>
            <w:vAlign w:val="center"/>
            <w:hideMark/>
          </w:tcPr>
          <w:p w14:paraId="146195F5" w14:textId="77777777" w:rsidR="000F0210" w:rsidRPr="001E262F" w:rsidRDefault="000F0210" w:rsidP="00E33499">
            <w:pPr>
              <w:jc w:val="center"/>
              <w:rPr>
                <w:sz w:val="26"/>
                <w:szCs w:val="26"/>
                <w:lang w:val="vi-VN" w:eastAsia="vi-VN"/>
              </w:rPr>
            </w:pPr>
            <w:r w:rsidRPr="001E262F">
              <w:rPr>
                <w:sz w:val="26"/>
                <w:szCs w:val="26"/>
                <w:lang w:val="vi-VN" w:eastAsia="vi-VN"/>
              </w:rPr>
              <w:t>≥ 71</w:t>
            </w:r>
          </w:p>
        </w:tc>
      </w:tr>
      <w:tr w:rsidR="000F0210" w:rsidRPr="001E262F" w14:paraId="53B33F12" w14:textId="77777777" w:rsidTr="00E33499">
        <w:trPr>
          <w:trHeight w:val="434"/>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BD7980B" w14:textId="77777777" w:rsidR="000F0210" w:rsidRPr="001E262F" w:rsidRDefault="000F0210" w:rsidP="00E33499">
            <w:pPr>
              <w:jc w:val="center"/>
              <w:rPr>
                <w:b/>
                <w:bCs/>
                <w:sz w:val="26"/>
                <w:szCs w:val="26"/>
                <w:lang w:val="vi-VN" w:eastAsia="vi-VN"/>
              </w:rPr>
            </w:pPr>
            <w:r w:rsidRPr="001E262F">
              <w:rPr>
                <w:b/>
                <w:bCs/>
                <w:sz w:val="26"/>
                <w:szCs w:val="26"/>
                <w:lang w:val="vi-VN" w:eastAsia="vi-VN"/>
              </w:rPr>
              <w:t>4</w:t>
            </w:r>
          </w:p>
        </w:tc>
        <w:tc>
          <w:tcPr>
            <w:tcW w:w="3898" w:type="dxa"/>
            <w:tcBorders>
              <w:top w:val="nil"/>
              <w:left w:val="nil"/>
              <w:bottom w:val="single" w:sz="4" w:space="0" w:color="auto"/>
              <w:right w:val="single" w:sz="4" w:space="0" w:color="auto"/>
            </w:tcBorders>
            <w:shd w:val="clear" w:color="000000" w:fill="FFFFFF"/>
            <w:vAlign w:val="center"/>
            <w:hideMark/>
          </w:tcPr>
          <w:p w14:paraId="68F09E5B" w14:textId="77777777" w:rsidR="000F0210" w:rsidRPr="001E262F" w:rsidRDefault="000F0210" w:rsidP="00E33499">
            <w:pPr>
              <w:jc w:val="center"/>
              <w:rPr>
                <w:b/>
                <w:bCs/>
                <w:sz w:val="26"/>
                <w:szCs w:val="26"/>
                <w:lang w:val="vi-VN" w:eastAsia="vi-VN"/>
              </w:rPr>
            </w:pPr>
            <w:r w:rsidRPr="001E262F">
              <w:rPr>
                <w:b/>
                <w:bCs/>
                <w:sz w:val="26"/>
                <w:szCs w:val="26"/>
                <w:lang w:val="vi-VN" w:eastAsia="vi-VN"/>
              </w:rPr>
              <w:t>Tiêu chuẩn khí thải</w:t>
            </w:r>
          </w:p>
        </w:tc>
        <w:tc>
          <w:tcPr>
            <w:tcW w:w="4253" w:type="dxa"/>
            <w:tcBorders>
              <w:top w:val="nil"/>
              <w:left w:val="nil"/>
              <w:bottom w:val="single" w:sz="4" w:space="0" w:color="auto"/>
              <w:right w:val="single" w:sz="4" w:space="0" w:color="auto"/>
            </w:tcBorders>
            <w:shd w:val="clear" w:color="000000" w:fill="FFFFFF"/>
            <w:noWrap/>
            <w:vAlign w:val="center"/>
            <w:hideMark/>
          </w:tcPr>
          <w:p w14:paraId="71F80A62" w14:textId="77777777" w:rsidR="000F0210" w:rsidRPr="001E262F" w:rsidRDefault="000F0210" w:rsidP="00E33499">
            <w:pPr>
              <w:jc w:val="center"/>
              <w:rPr>
                <w:sz w:val="26"/>
                <w:szCs w:val="26"/>
                <w:lang w:val="vi-VN" w:eastAsia="vi-VN"/>
              </w:rPr>
            </w:pPr>
            <w:r w:rsidRPr="001E262F">
              <w:rPr>
                <w:sz w:val="26"/>
                <w:szCs w:val="26"/>
                <w:lang w:val="vi-VN" w:eastAsia="vi-VN"/>
              </w:rPr>
              <w:t>Euro ≥ 5</w:t>
            </w:r>
          </w:p>
        </w:tc>
      </w:tr>
      <w:tr w:rsidR="000F0210" w:rsidRPr="001E262F" w14:paraId="169DF7D6"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E877DEB" w14:textId="77777777" w:rsidR="000F0210" w:rsidRPr="001E262F" w:rsidRDefault="000F0210" w:rsidP="00E33499">
            <w:pPr>
              <w:jc w:val="center"/>
              <w:rPr>
                <w:b/>
                <w:bCs/>
                <w:sz w:val="26"/>
                <w:szCs w:val="26"/>
                <w:lang w:val="vi-VN" w:eastAsia="vi-VN"/>
              </w:rPr>
            </w:pPr>
            <w:r w:rsidRPr="001E262F">
              <w:rPr>
                <w:b/>
                <w:bCs/>
                <w:sz w:val="26"/>
                <w:szCs w:val="26"/>
                <w:lang w:val="vi-VN" w:eastAsia="vi-VN"/>
              </w:rPr>
              <w:t>5</w:t>
            </w:r>
          </w:p>
        </w:tc>
        <w:tc>
          <w:tcPr>
            <w:tcW w:w="3898" w:type="dxa"/>
            <w:tcBorders>
              <w:top w:val="nil"/>
              <w:left w:val="nil"/>
              <w:bottom w:val="single" w:sz="4" w:space="0" w:color="auto"/>
              <w:right w:val="single" w:sz="4" w:space="0" w:color="auto"/>
            </w:tcBorders>
            <w:shd w:val="clear" w:color="000000" w:fill="FFFFFF"/>
            <w:vAlign w:val="center"/>
            <w:hideMark/>
          </w:tcPr>
          <w:p w14:paraId="4EF654D2" w14:textId="77777777" w:rsidR="000F0210" w:rsidRPr="001E262F" w:rsidRDefault="000F0210" w:rsidP="00E33499">
            <w:pPr>
              <w:jc w:val="center"/>
              <w:rPr>
                <w:b/>
                <w:bCs/>
                <w:sz w:val="26"/>
                <w:szCs w:val="26"/>
                <w:lang w:val="vi-VN" w:eastAsia="vi-VN"/>
              </w:rPr>
            </w:pPr>
            <w:r w:rsidRPr="001E262F">
              <w:rPr>
                <w:b/>
                <w:bCs/>
                <w:sz w:val="26"/>
                <w:szCs w:val="26"/>
                <w:lang w:val="vi-VN" w:eastAsia="vi-VN"/>
              </w:rPr>
              <w:t>Hệ thống phanh</w:t>
            </w:r>
          </w:p>
        </w:tc>
        <w:tc>
          <w:tcPr>
            <w:tcW w:w="4253" w:type="dxa"/>
            <w:tcBorders>
              <w:top w:val="nil"/>
              <w:left w:val="nil"/>
              <w:bottom w:val="single" w:sz="4" w:space="0" w:color="auto"/>
              <w:right w:val="single" w:sz="4" w:space="0" w:color="auto"/>
            </w:tcBorders>
            <w:shd w:val="clear" w:color="000000" w:fill="FFFFFF"/>
            <w:noWrap/>
            <w:vAlign w:val="center"/>
            <w:hideMark/>
          </w:tcPr>
          <w:p w14:paraId="5B20DBD2"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41CC4A72" w14:textId="77777777" w:rsidTr="00E33499">
        <w:trPr>
          <w:trHeight w:val="34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5397979"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48F601A8" w14:textId="77777777" w:rsidR="000F0210" w:rsidRPr="001E262F" w:rsidRDefault="000F0210" w:rsidP="00E33499">
            <w:pPr>
              <w:jc w:val="center"/>
              <w:rPr>
                <w:sz w:val="26"/>
                <w:szCs w:val="26"/>
                <w:lang w:val="vi-VN" w:eastAsia="vi-VN"/>
              </w:rPr>
            </w:pPr>
            <w:r w:rsidRPr="001E262F">
              <w:rPr>
                <w:sz w:val="26"/>
                <w:szCs w:val="26"/>
                <w:lang w:val="vi-VN" w:eastAsia="vi-VN"/>
              </w:rPr>
              <w:t>Phanh trước</w:t>
            </w:r>
          </w:p>
        </w:tc>
        <w:tc>
          <w:tcPr>
            <w:tcW w:w="4253" w:type="dxa"/>
            <w:tcBorders>
              <w:top w:val="nil"/>
              <w:left w:val="nil"/>
              <w:bottom w:val="single" w:sz="4" w:space="0" w:color="auto"/>
              <w:right w:val="single" w:sz="4" w:space="0" w:color="auto"/>
            </w:tcBorders>
            <w:shd w:val="clear" w:color="000000" w:fill="FFFFFF"/>
            <w:noWrap/>
            <w:vAlign w:val="center"/>
            <w:hideMark/>
          </w:tcPr>
          <w:p w14:paraId="20AA56AF" w14:textId="77777777" w:rsidR="000F0210" w:rsidRPr="001E262F" w:rsidRDefault="000F0210" w:rsidP="00E33499">
            <w:pPr>
              <w:jc w:val="center"/>
              <w:rPr>
                <w:sz w:val="26"/>
                <w:szCs w:val="26"/>
                <w:lang w:val="vi-VN" w:eastAsia="vi-VN"/>
              </w:rPr>
            </w:pPr>
            <w:r w:rsidRPr="001E262F">
              <w:rPr>
                <w:sz w:val="26"/>
                <w:szCs w:val="26"/>
                <w:lang w:val="vi-VN" w:eastAsia="vi-VN"/>
              </w:rPr>
              <w:t>Đĩa</w:t>
            </w:r>
          </w:p>
        </w:tc>
      </w:tr>
      <w:tr w:rsidR="000F0210" w:rsidRPr="001E262F" w14:paraId="76B62EEB" w14:textId="77777777" w:rsidTr="00E33499">
        <w:trPr>
          <w:trHeight w:val="2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550CD35"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17DD4346" w14:textId="77777777" w:rsidR="000F0210" w:rsidRPr="001E262F" w:rsidRDefault="000F0210" w:rsidP="00E33499">
            <w:pPr>
              <w:jc w:val="center"/>
              <w:rPr>
                <w:sz w:val="26"/>
                <w:szCs w:val="26"/>
                <w:lang w:val="vi-VN" w:eastAsia="vi-VN"/>
              </w:rPr>
            </w:pPr>
            <w:r w:rsidRPr="001E262F">
              <w:rPr>
                <w:sz w:val="26"/>
                <w:szCs w:val="26"/>
                <w:lang w:val="vi-VN" w:eastAsia="vi-VN"/>
              </w:rPr>
              <w:t>Phanh sau</w:t>
            </w:r>
          </w:p>
        </w:tc>
        <w:tc>
          <w:tcPr>
            <w:tcW w:w="4253" w:type="dxa"/>
            <w:tcBorders>
              <w:top w:val="nil"/>
              <w:left w:val="nil"/>
              <w:bottom w:val="single" w:sz="4" w:space="0" w:color="auto"/>
              <w:right w:val="single" w:sz="4" w:space="0" w:color="auto"/>
            </w:tcBorders>
            <w:shd w:val="clear" w:color="000000" w:fill="FFFFFF"/>
            <w:noWrap/>
            <w:vAlign w:val="center"/>
            <w:hideMark/>
          </w:tcPr>
          <w:p w14:paraId="1E6A7FD1" w14:textId="77777777" w:rsidR="000F0210" w:rsidRPr="001E262F" w:rsidRDefault="000F0210" w:rsidP="00E33499">
            <w:pPr>
              <w:jc w:val="center"/>
              <w:rPr>
                <w:sz w:val="26"/>
                <w:szCs w:val="26"/>
                <w:lang w:val="vi-VN" w:eastAsia="vi-VN"/>
              </w:rPr>
            </w:pPr>
            <w:r w:rsidRPr="001E262F">
              <w:rPr>
                <w:sz w:val="26"/>
                <w:szCs w:val="26"/>
                <w:lang w:val="vi-VN" w:eastAsia="vi-VN"/>
              </w:rPr>
              <w:t>Đĩa</w:t>
            </w:r>
          </w:p>
        </w:tc>
      </w:tr>
      <w:tr w:rsidR="000F0210" w:rsidRPr="001E262F" w14:paraId="6C9C56C7" w14:textId="77777777" w:rsidTr="00E33499">
        <w:trPr>
          <w:trHeight w:val="3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632DDD7" w14:textId="77777777" w:rsidR="000F0210" w:rsidRPr="001E262F" w:rsidRDefault="000F0210" w:rsidP="00E33499">
            <w:pPr>
              <w:jc w:val="center"/>
              <w:rPr>
                <w:b/>
                <w:bCs/>
                <w:sz w:val="26"/>
                <w:szCs w:val="26"/>
                <w:lang w:val="vi-VN" w:eastAsia="vi-VN"/>
              </w:rPr>
            </w:pPr>
            <w:r w:rsidRPr="001E262F">
              <w:rPr>
                <w:b/>
                <w:bCs/>
                <w:sz w:val="26"/>
                <w:szCs w:val="26"/>
                <w:lang w:val="vi-VN" w:eastAsia="vi-VN"/>
              </w:rPr>
              <w:t>6</w:t>
            </w:r>
          </w:p>
        </w:tc>
        <w:tc>
          <w:tcPr>
            <w:tcW w:w="3898" w:type="dxa"/>
            <w:tcBorders>
              <w:top w:val="nil"/>
              <w:left w:val="nil"/>
              <w:bottom w:val="single" w:sz="4" w:space="0" w:color="auto"/>
              <w:right w:val="single" w:sz="4" w:space="0" w:color="auto"/>
            </w:tcBorders>
            <w:vAlign w:val="center"/>
            <w:hideMark/>
          </w:tcPr>
          <w:p w14:paraId="28754D4F" w14:textId="77777777" w:rsidR="000F0210" w:rsidRPr="001E262F" w:rsidRDefault="000F0210" w:rsidP="00E33499">
            <w:pPr>
              <w:jc w:val="center"/>
              <w:rPr>
                <w:b/>
                <w:bCs/>
                <w:sz w:val="26"/>
                <w:szCs w:val="26"/>
                <w:lang w:val="vi-VN" w:eastAsia="vi-VN"/>
              </w:rPr>
            </w:pPr>
            <w:r w:rsidRPr="001E262F">
              <w:rPr>
                <w:b/>
                <w:bCs/>
                <w:sz w:val="26"/>
                <w:szCs w:val="26"/>
                <w:lang w:val="vi-VN" w:eastAsia="vi-VN"/>
              </w:rPr>
              <w:t>Ngoại thất</w:t>
            </w:r>
          </w:p>
        </w:tc>
        <w:tc>
          <w:tcPr>
            <w:tcW w:w="4253" w:type="dxa"/>
            <w:tcBorders>
              <w:top w:val="nil"/>
              <w:left w:val="nil"/>
              <w:bottom w:val="single" w:sz="4" w:space="0" w:color="auto"/>
              <w:right w:val="single" w:sz="4" w:space="0" w:color="auto"/>
            </w:tcBorders>
            <w:vAlign w:val="center"/>
            <w:hideMark/>
          </w:tcPr>
          <w:p w14:paraId="37239F20"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6CB3C18C" w14:textId="77777777" w:rsidTr="00E33499">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4BA0D6C"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vAlign w:val="center"/>
            <w:hideMark/>
          </w:tcPr>
          <w:p w14:paraId="30A1CF43" w14:textId="77777777" w:rsidR="000F0210" w:rsidRPr="001E262F" w:rsidRDefault="000F0210" w:rsidP="00E33499">
            <w:pPr>
              <w:jc w:val="center"/>
              <w:rPr>
                <w:sz w:val="26"/>
                <w:szCs w:val="26"/>
                <w:lang w:val="vi-VN" w:eastAsia="vi-VN"/>
              </w:rPr>
            </w:pPr>
            <w:r w:rsidRPr="001E262F">
              <w:rPr>
                <w:sz w:val="26"/>
                <w:szCs w:val="26"/>
                <w:lang w:val="vi-VN" w:eastAsia="vi-VN"/>
              </w:rPr>
              <w:t>Đèn trước</w:t>
            </w:r>
          </w:p>
        </w:tc>
        <w:tc>
          <w:tcPr>
            <w:tcW w:w="4253" w:type="dxa"/>
            <w:tcBorders>
              <w:top w:val="nil"/>
              <w:left w:val="nil"/>
              <w:bottom w:val="single" w:sz="4" w:space="0" w:color="auto"/>
              <w:right w:val="single" w:sz="4" w:space="0" w:color="auto"/>
            </w:tcBorders>
            <w:vAlign w:val="center"/>
            <w:hideMark/>
          </w:tcPr>
          <w:p w14:paraId="4A990DD0" w14:textId="77777777" w:rsidR="000F0210" w:rsidRPr="001E262F" w:rsidRDefault="000F0210" w:rsidP="00E33499">
            <w:pPr>
              <w:jc w:val="center"/>
              <w:rPr>
                <w:sz w:val="26"/>
                <w:szCs w:val="26"/>
                <w:lang w:val="vi-VN" w:eastAsia="vi-VN"/>
              </w:rPr>
            </w:pPr>
            <w:r w:rsidRPr="001E262F">
              <w:rPr>
                <w:sz w:val="26"/>
                <w:szCs w:val="26"/>
                <w:lang w:val="vi-VN" w:eastAsia="vi-VN"/>
              </w:rPr>
              <w:t>LED</w:t>
            </w:r>
          </w:p>
        </w:tc>
      </w:tr>
      <w:tr w:rsidR="000F0210" w:rsidRPr="001E262F" w14:paraId="6F718748" w14:textId="77777777" w:rsidTr="00E33499">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71501A8"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vAlign w:val="center"/>
            <w:hideMark/>
          </w:tcPr>
          <w:p w14:paraId="0BED7628" w14:textId="77777777" w:rsidR="000F0210" w:rsidRPr="001E262F" w:rsidRDefault="000F0210" w:rsidP="00E33499">
            <w:pPr>
              <w:jc w:val="center"/>
              <w:rPr>
                <w:sz w:val="26"/>
                <w:szCs w:val="26"/>
                <w:lang w:val="vi-VN" w:eastAsia="vi-VN"/>
              </w:rPr>
            </w:pPr>
            <w:r w:rsidRPr="001E262F">
              <w:rPr>
                <w:sz w:val="26"/>
                <w:szCs w:val="26"/>
                <w:lang w:val="vi-VN" w:eastAsia="vi-VN"/>
              </w:rPr>
              <w:t>Gương chiếu hậu</w:t>
            </w:r>
          </w:p>
        </w:tc>
        <w:tc>
          <w:tcPr>
            <w:tcW w:w="4253" w:type="dxa"/>
            <w:tcBorders>
              <w:top w:val="nil"/>
              <w:left w:val="nil"/>
              <w:bottom w:val="single" w:sz="4" w:space="0" w:color="auto"/>
              <w:right w:val="single" w:sz="4" w:space="0" w:color="auto"/>
            </w:tcBorders>
            <w:vAlign w:val="center"/>
            <w:hideMark/>
          </w:tcPr>
          <w:p w14:paraId="2FDA9421" w14:textId="77777777" w:rsidR="000F0210" w:rsidRPr="001E262F" w:rsidRDefault="000F0210" w:rsidP="00E33499">
            <w:pPr>
              <w:jc w:val="center"/>
              <w:rPr>
                <w:sz w:val="26"/>
                <w:szCs w:val="26"/>
                <w:lang w:val="vi-VN" w:eastAsia="vi-VN"/>
              </w:rPr>
            </w:pPr>
            <w:r w:rsidRPr="001E262F">
              <w:rPr>
                <w:sz w:val="26"/>
                <w:szCs w:val="26"/>
                <w:lang w:val="vi-VN" w:eastAsia="vi-VN"/>
              </w:rPr>
              <w:t>Gập điện</w:t>
            </w:r>
          </w:p>
        </w:tc>
      </w:tr>
      <w:tr w:rsidR="000F0210" w:rsidRPr="001E262F" w14:paraId="1DCBFE95" w14:textId="77777777" w:rsidTr="00E33499">
        <w:trPr>
          <w:trHeight w:val="34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15FD86E"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4FED6CC" w14:textId="77777777" w:rsidR="000F0210" w:rsidRPr="001E262F" w:rsidRDefault="000F0210" w:rsidP="00E33499">
            <w:pPr>
              <w:jc w:val="center"/>
              <w:rPr>
                <w:sz w:val="26"/>
                <w:szCs w:val="26"/>
                <w:lang w:val="vi-VN" w:eastAsia="vi-VN"/>
              </w:rPr>
            </w:pPr>
            <w:r w:rsidRPr="001E262F">
              <w:rPr>
                <w:sz w:val="26"/>
                <w:szCs w:val="26"/>
                <w:lang w:val="vi-VN" w:eastAsia="vi-VN"/>
              </w:rPr>
              <w:t>Đèn pha</w:t>
            </w:r>
          </w:p>
        </w:tc>
        <w:tc>
          <w:tcPr>
            <w:tcW w:w="4253" w:type="dxa"/>
            <w:tcBorders>
              <w:top w:val="nil"/>
              <w:left w:val="nil"/>
              <w:bottom w:val="single" w:sz="4" w:space="0" w:color="auto"/>
              <w:right w:val="single" w:sz="4" w:space="0" w:color="auto"/>
            </w:tcBorders>
            <w:vAlign w:val="center"/>
            <w:hideMark/>
          </w:tcPr>
          <w:p w14:paraId="3F82F3B3" w14:textId="77777777" w:rsidR="000F0210" w:rsidRPr="001E262F" w:rsidRDefault="000F0210" w:rsidP="00E33499">
            <w:pPr>
              <w:jc w:val="center"/>
              <w:rPr>
                <w:sz w:val="26"/>
                <w:szCs w:val="26"/>
                <w:lang w:val="vi-VN" w:eastAsia="vi-VN"/>
              </w:rPr>
            </w:pPr>
            <w:r w:rsidRPr="001E262F">
              <w:rPr>
                <w:sz w:val="26"/>
                <w:szCs w:val="26"/>
                <w:lang w:val="vi-VN" w:eastAsia="vi-VN"/>
              </w:rPr>
              <w:t>Chống chói tự động</w:t>
            </w:r>
          </w:p>
        </w:tc>
      </w:tr>
      <w:tr w:rsidR="000F0210" w:rsidRPr="001E262F" w14:paraId="718D06B4" w14:textId="77777777" w:rsidTr="00E33499">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5F26AD4"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2FF9128B" w14:textId="77777777" w:rsidR="000F0210" w:rsidRPr="001E262F" w:rsidRDefault="000F0210" w:rsidP="00E33499">
            <w:pPr>
              <w:jc w:val="center"/>
              <w:rPr>
                <w:sz w:val="26"/>
                <w:szCs w:val="26"/>
                <w:lang w:val="vi-VN" w:eastAsia="vi-VN"/>
              </w:rPr>
            </w:pPr>
            <w:r w:rsidRPr="001E262F">
              <w:rPr>
                <w:sz w:val="26"/>
                <w:szCs w:val="26"/>
                <w:lang w:val="vi-VN" w:eastAsia="vi-VN"/>
              </w:rPr>
              <w:t>Cửa sổ trời</w:t>
            </w:r>
          </w:p>
        </w:tc>
        <w:tc>
          <w:tcPr>
            <w:tcW w:w="4253" w:type="dxa"/>
            <w:tcBorders>
              <w:top w:val="nil"/>
              <w:left w:val="nil"/>
              <w:bottom w:val="single" w:sz="4" w:space="0" w:color="auto"/>
              <w:right w:val="single" w:sz="4" w:space="0" w:color="auto"/>
            </w:tcBorders>
            <w:vAlign w:val="center"/>
            <w:hideMark/>
          </w:tcPr>
          <w:p w14:paraId="01493BF0"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4BC6ED2F" w14:textId="77777777" w:rsidTr="00E33499">
        <w:trPr>
          <w:trHeight w:val="412"/>
        </w:trPr>
        <w:tc>
          <w:tcPr>
            <w:tcW w:w="1200" w:type="dxa"/>
            <w:tcBorders>
              <w:top w:val="nil"/>
              <w:left w:val="single" w:sz="4" w:space="0" w:color="auto"/>
              <w:bottom w:val="single" w:sz="4" w:space="0" w:color="auto"/>
              <w:right w:val="single" w:sz="4" w:space="0" w:color="auto"/>
            </w:tcBorders>
            <w:noWrap/>
            <w:vAlign w:val="center"/>
            <w:hideMark/>
          </w:tcPr>
          <w:p w14:paraId="4A472126" w14:textId="77777777" w:rsidR="000F0210" w:rsidRPr="001E262F" w:rsidRDefault="000F0210" w:rsidP="00E33499">
            <w:pPr>
              <w:jc w:val="center"/>
              <w:rPr>
                <w:b/>
                <w:bCs/>
                <w:sz w:val="26"/>
                <w:szCs w:val="26"/>
                <w:lang w:val="vi-VN" w:eastAsia="vi-VN"/>
              </w:rPr>
            </w:pPr>
            <w:r w:rsidRPr="001E262F">
              <w:rPr>
                <w:b/>
                <w:bCs/>
                <w:sz w:val="26"/>
                <w:szCs w:val="26"/>
                <w:lang w:val="vi-VN" w:eastAsia="vi-VN"/>
              </w:rPr>
              <w:t>7</w:t>
            </w:r>
          </w:p>
        </w:tc>
        <w:tc>
          <w:tcPr>
            <w:tcW w:w="3898" w:type="dxa"/>
            <w:tcBorders>
              <w:top w:val="nil"/>
              <w:left w:val="nil"/>
              <w:bottom w:val="single" w:sz="4" w:space="0" w:color="auto"/>
              <w:right w:val="single" w:sz="4" w:space="0" w:color="auto"/>
            </w:tcBorders>
            <w:vAlign w:val="center"/>
            <w:hideMark/>
          </w:tcPr>
          <w:p w14:paraId="25CF9AA1" w14:textId="77777777" w:rsidR="000F0210" w:rsidRPr="001E262F" w:rsidRDefault="000F0210" w:rsidP="00E33499">
            <w:pPr>
              <w:jc w:val="center"/>
              <w:rPr>
                <w:b/>
                <w:bCs/>
                <w:sz w:val="26"/>
                <w:szCs w:val="26"/>
                <w:lang w:val="vi-VN" w:eastAsia="vi-VN"/>
              </w:rPr>
            </w:pPr>
            <w:r w:rsidRPr="001E262F">
              <w:rPr>
                <w:b/>
                <w:bCs/>
                <w:sz w:val="26"/>
                <w:szCs w:val="26"/>
                <w:lang w:val="vi-VN" w:eastAsia="vi-VN"/>
              </w:rPr>
              <w:t>Nội thất</w:t>
            </w:r>
          </w:p>
        </w:tc>
        <w:tc>
          <w:tcPr>
            <w:tcW w:w="4253" w:type="dxa"/>
            <w:tcBorders>
              <w:top w:val="nil"/>
              <w:left w:val="nil"/>
              <w:bottom w:val="single" w:sz="4" w:space="0" w:color="auto"/>
              <w:right w:val="single" w:sz="4" w:space="0" w:color="auto"/>
            </w:tcBorders>
            <w:vAlign w:val="center"/>
            <w:hideMark/>
          </w:tcPr>
          <w:p w14:paraId="286BD494"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594A956D" w14:textId="77777777" w:rsidTr="00E33499">
        <w:trPr>
          <w:trHeight w:val="330"/>
        </w:trPr>
        <w:tc>
          <w:tcPr>
            <w:tcW w:w="1200" w:type="dxa"/>
            <w:tcBorders>
              <w:top w:val="nil"/>
              <w:left w:val="single" w:sz="4" w:space="0" w:color="auto"/>
              <w:bottom w:val="single" w:sz="4" w:space="0" w:color="auto"/>
              <w:right w:val="single" w:sz="4" w:space="0" w:color="auto"/>
            </w:tcBorders>
            <w:noWrap/>
            <w:vAlign w:val="center"/>
            <w:hideMark/>
          </w:tcPr>
          <w:p w14:paraId="2985FF7D" w14:textId="77777777" w:rsidR="000F0210" w:rsidRPr="001E262F" w:rsidRDefault="000F0210" w:rsidP="00E33499">
            <w:pPr>
              <w:jc w:val="center"/>
              <w:rPr>
                <w:sz w:val="26"/>
                <w:szCs w:val="26"/>
                <w:lang w:val="vi-VN" w:eastAsia="vi-VN"/>
              </w:rPr>
            </w:pPr>
            <w:r w:rsidRPr="001E262F">
              <w:rPr>
                <w:sz w:val="26"/>
                <w:szCs w:val="26"/>
                <w:lang w:val="vi-VN" w:eastAsia="vi-VN"/>
              </w:rPr>
              <w:t> </w:t>
            </w:r>
          </w:p>
        </w:tc>
        <w:tc>
          <w:tcPr>
            <w:tcW w:w="3898" w:type="dxa"/>
            <w:tcBorders>
              <w:top w:val="nil"/>
              <w:left w:val="nil"/>
              <w:bottom w:val="single" w:sz="4" w:space="0" w:color="auto"/>
              <w:right w:val="single" w:sz="4" w:space="0" w:color="auto"/>
            </w:tcBorders>
            <w:vAlign w:val="center"/>
            <w:hideMark/>
          </w:tcPr>
          <w:p w14:paraId="14A728F7" w14:textId="77777777" w:rsidR="000F0210" w:rsidRPr="001E262F" w:rsidRDefault="000F0210" w:rsidP="00E33499">
            <w:pPr>
              <w:jc w:val="center"/>
              <w:rPr>
                <w:sz w:val="26"/>
                <w:szCs w:val="26"/>
                <w:lang w:val="vi-VN" w:eastAsia="vi-VN"/>
              </w:rPr>
            </w:pPr>
            <w:r w:rsidRPr="001E262F">
              <w:rPr>
                <w:sz w:val="26"/>
                <w:szCs w:val="26"/>
                <w:lang w:val="vi-VN" w:eastAsia="vi-VN"/>
              </w:rPr>
              <w:t>Ghế ngồi</w:t>
            </w:r>
          </w:p>
        </w:tc>
        <w:tc>
          <w:tcPr>
            <w:tcW w:w="4253" w:type="dxa"/>
            <w:tcBorders>
              <w:top w:val="nil"/>
              <w:left w:val="nil"/>
              <w:bottom w:val="single" w:sz="4" w:space="0" w:color="auto"/>
              <w:right w:val="single" w:sz="4" w:space="0" w:color="auto"/>
            </w:tcBorders>
            <w:vAlign w:val="center"/>
            <w:hideMark/>
          </w:tcPr>
          <w:p w14:paraId="6BDB5B4D"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35DEB731" w14:textId="77777777" w:rsidTr="00E33499">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D536B90"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24523B8C" w14:textId="77777777" w:rsidR="000F0210" w:rsidRPr="001E262F" w:rsidRDefault="000F0210" w:rsidP="00E33499">
            <w:pPr>
              <w:jc w:val="center"/>
              <w:rPr>
                <w:sz w:val="26"/>
                <w:szCs w:val="26"/>
                <w:lang w:val="vi-VN" w:eastAsia="vi-VN"/>
              </w:rPr>
            </w:pPr>
            <w:r w:rsidRPr="001E262F">
              <w:rPr>
                <w:sz w:val="26"/>
                <w:szCs w:val="26"/>
                <w:lang w:val="vi-VN" w:eastAsia="vi-VN"/>
              </w:rPr>
              <w:t>Tay lái</w:t>
            </w:r>
          </w:p>
        </w:tc>
        <w:tc>
          <w:tcPr>
            <w:tcW w:w="4253" w:type="dxa"/>
            <w:tcBorders>
              <w:top w:val="nil"/>
              <w:left w:val="nil"/>
              <w:bottom w:val="single" w:sz="4" w:space="0" w:color="auto"/>
              <w:right w:val="single" w:sz="4" w:space="0" w:color="auto"/>
            </w:tcBorders>
            <w:vAlign w:val="center"/>
            <w:hideMark/>
          </w:tcPr>
          <w:p w14:paraId="01C3213C" w14:textId="77777777" w:rsidR="000F0210" w:rsidRPr="001E262F" w:rsidRDefault="000F0210" w:rsidP="00E33499">
            <w:pPr>
              <w:jc w:val="center"/>
              <w:rPr>
                <w:sz w:val="26"/>
                <w:szCs w:val="26"/>
                <w:lang w:val="vi-VN" w:eastAsia="vi-VN"/>
              </w:rPr>
            </w:pPr>
            <w:r w:rsidRPr="001E262F">
              <w:rPr>
                <w:sz w:val="26"/>
                <w:szCs w:val="26"/>
                <w:lang w:val="vi-VN" w:eastAsia="vi-VN"/>
              </w:rPr>
              <w:t>Bọc da</w:t>
            </w:r>
          </w:p>
        </w:tc>
      </w:tr>
      <w:tr w:rsidR="000F0210" w:rsidRPr="001E262F" w14:paraId="0233D932" w14:textId="77777777" w:rsidTr="00E33499">
        <w:trPr>
          <w:trHeight w:val="407"/>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C2695B7"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2F4A5FD4" w14:textId="77777777" w:rsidR="000F0210" w:rsidRPr="001E262F" w:rsidRDefault="000F0210" w:rsidP="00E33499">
            <w:pPr>
              <w:jc w:val="center"/>
              <w:rPr>
                <w:sz w:val="26"/>
                <w:szCs w:val="26"/>
                <w:lang w:val="vi-VN" w:eastAsia="vi-VN"/>
              </w:rPr>
            </w:pPr>
            <w:r w:rsidRPr="001E262F">
              <w:rPr>
                <w:sz w:val="26"/>
                <w:szCs w:val="26"/>
                <w:lang w:val="vi-VN" w:eastAsia="vi-VN"/>
              </w:rPr>
              <w:t>Ghế trước</w:t>
            </w:r>
          </w:p>
        </w:tc>
        <w:tc>
          <w:tcPr>
            <w:tcW w:w="4253" w:type="dxa"/>
            <w:tcBorders>
              <w:top w:val="nil"/>
              <w:left w:val="nil"/>
              <w:bottom w:val="single" w:sz="4" w:space="0" w:color="auto"/>
              <w:right w:val="single" w:sz="4" w:space="0" w:color="auto"/>
            </w:tcBorders>
            <w:vAlign w:val="center"/>
            <w:hideMark/>
          </w:tcPr>
          <w:p w14:paraId="534B1365" w14:textId="77777777" w:rsidR="000F0210" w:rsidRPr="001E262F" w:rsidRDefault="000F0210" w:rsidP="00E33499">
            <w:pPr>
              <w:jc w:val="center"/>
              <w:rPr>
                <w:sz w:val="26"/>
                <w:szCs w:val="26"/>
                <w:lang w:val="vi-VN" w:eastAsia="vi-VN"/>
              </w:rPr>
            </w:pPr>
            <w:r w:rsidRPr="001E262F">
              <w:rPr>
                <w:sz w:val="26"/>
                <w:szCs w:val="26"/>
                <w:lang w:val="vi-VN" w:eastAsia="vi-VN"/>
              </w:rPr>
              <w:t>Da</w:t>
            </w:r>
          </w:p>
        </w:tc>
      </w:tr>
      <w:tr w:rsidR="000F0210" w:rsidRPr="001E262F" w14:paraId="32FB281B" w14:textId="77777777" w:rsidTr="00E33499">
        <w:trPr>
          <w:trHeight w:val="506"/>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A1FFBED"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nil"/>
              <w:right w:val="single" w:sz="4" w:space="0" w:color="auto"/>
            </w:tcBorders>
            <w:shd w:val="clear" w:color="000000" w:fill="FFFFFF"/>
            <w:vAlign w:val="center"/>
            <w:hideMark/>
          </w:tcPr>
          <w:p w14:paraId="581085BF" w14:textId="77777777" w:rsidR="000F0210" w:rsidRPr="001E262F" w:rsidRDefault="000F0210" w:rsidP="00E33499">
            <w:pPr>
              <w:jc w:val="center"/>
              <w:rPr>
                <w:sz w:val="26"/>
                <w:szCs w:val="26"/>
                <w:lang w:val="vi-VN" w:eastAsia="vi-VN"/>
              </w:rPr>
            </w:pPr>
            <w:r w:rsidRPr="001E262F">
              <w:rPr>
                <w:sz w:val="26"/>
                <w:szCs w:val="26"/>
                <w:lang w:val="vi-VN" w:eastAsia="vi-VN"/>
              </w:rPr>
              <w:t>Gương chiếu hậu trong</w:t>
            </w:r>
          </w:p>
        </w:tc>
        <w:tc>
          <w:tcPr>
            <w:tcW w:w="4253" w:type="dxa"/>
            <w:tcBorders>
              <w:top w:val="nil"/>
              <w:left w:val="nil"/>
              <w:bottom w:val="nil"/>
              <w:right w:val="single" w:sz="4" w:space="0" w:color="auto"/>
            </w:tcBorders>
            <w:vAlign w:val="center"/>
            <w:hideMark/>
          </w:tcPr>
          <w:p w14:paraId="0CE7C848" w14:textId="77777777" w:rsidR="000F0210" w:rsidRPr="001E262F" w:rsidRDefault="000F0210" w:rsidP="00E33499">
            <w:pPr>
              <w:jc w:val="center"/>
              <w:rPr>
                <w:sz w:val="26"/>
                <w:szCs w:val="26"/>
                <w:lang w:val="vi-VN" w:eastAsia="vi-VN"/>
              </w:rPr>
            </w:pPr>
            <w:r w:rsidRPr="001E262F">
              <w:rPr>
                <w:sz w:val="26"/>
                <w:szCs w:val="26"/>
                <w:lang w:val="vi-VN" w:eastAsia="vi-VN"/>
              </w:rPr>
              <w:t>Chống chói tự động</w:t>
            </w:r>
          </w:p>
        </w:tc>
      </w:tr>
      <w:tr w:rsidR="000F0210" w:rsidRPr="001E262F" w14:paraId="5B7DF922" w14:textId="77777777" w:rsidTr="00E33499">
        <w:trPr>
          <w:trHeight w:val="414"/>
        </w:trPr>
        <w:tc>
          <w:tcPr>
            <w:tcW w:w="1200" w:type="dxa"/>
            <w:tcBorders>
              <w:top w:val="nil"/>
              <w:left w:val="single" w:sz="4" w:space="0" w:color="auto"/>
              <w:bottom w:val="single" w:sz="4" w:space="0" w:color="auto"/>
              <w:right w:val="nil"/>
            </w:tcBorders>
            <w:shd w:val="clear" w:color="000000" w:fill="FFFFFF"/>
            <w:vAlign w:val="center"/>
            <w:hideMark/>
          </w:tcPr>
          <w:p w14:paraId="683E6541"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F5976" w14:textId="77777777" w:rsidR="000F0210" w:rsidRPr="001E262F" w:rsidRDefault="000F0210" w:rsidP="00E33499">
            <w:pPr>
              <w:jc w:val="center"/>
              <w:rPr>
                <w:sz w:val="26"/>
                <w:szCs w:val="26"/>
                <w:lang w:val="vi-VN" w:eastAsia="vi-VN"/>
              </w:rPr>
            </w:pPr>
            <w:r w:rsidRPr="001E262F">
              <w:rPr>
                <w:sz w:val="26"/>
                <w:szCs w:val="26"/>
                <w:lang w:val="vi-VN" w:eastAsia="vi-VN"/>
              </w:rPr>
              <w:t>Chìa khóa thông minh</w:t>
            </w:r>
          </w:p>
        </w:tc>
        <w:tc>
          <w:tcPr>
            <w:tcW w:w="4253" w:type="dxa"/>
            <w:tcBorders>
              <w:top w:val="single" w:sz="4" w:space="0" w:color="auto"/>
              <w:left w:val="nil"/>
              <w:bottom w:val="single" w:sz="4" w:space="0" w:color="auto"/>
              <w:right w:val="single" w:sz="4" w:space="0" w:color="auto"/>
            </w:tcBorders>
            <w:vAlign w:val="center"/>
            <w:hideMark/>
          </w:tcPr>
          <w:p w14:paraId="13D7DE75"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3D09BEA3" w14:textId="77777777" w:rsidTr="00E33499">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ACB63E6"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37C41A2A" w14:textId="77777777" w:rsidR="000F0210" w:rsidRPr="001E262F" w:rsidRDefault="000F0210" w:rsidP="00E33499">
            <w:pPr>
              <w:jc w:val="center"/>
              <w:rPr>
                <w:sz w:val="26"/>
                <w:szCs w:val="26"/>
                <w:lang w:val="vi-VN" w:eastAsia="vi-VN"/>
              </w:rPr>
            </w:pPr>
            <w:r w:rsidRPr="001E262F">
              <w:rPr>
                <w:sz w:val="26"/>
                <w:szCs w:val="26"/>
                <w:lang w:val="vi-VN" w:eastAsia="vi-VN"/>
              </w:rPr>
              <w:t>Nhớ ghế lái</w:t>
            </w:r>
          </w:p>
        </w:tc>
        <w:tc>
          <w:tcPr>
            <w:tcW w:w="4253" w:type="dxa"/>
            <w:tcBorders>
              <w:top w:val="nil"/>
              <w:left w:val="nil"/>
              <w:bottom w:val="single" w:sz="4" w:space="0" w:color="auto"/>
              <w:right w:val="single" w:sz="4" w:space="0" w:color="auto"/>
            </w:tcBorders>
            <w:vAlign w:val="center"/>
            <w:hideMark/>
          </w:tcPr>
          <w:p w14:paraId="792C8C27"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0C460AD0" w14:textId="77777777" w:rsidTr="00E33499">
        <w:trPr>
          <w:trHeight w:val="330"/>
        </w:trPr>
        <w:tc>
          <w:tcPr>
            <w:tcW w:w="1200" w:type="dxa"/>
            <w:tcBorders>
              <w:top w:val="nil"/>
              <w:left w:val="single" w:sz="4" w:space="0" w:color="auto"/>
              <w:bottom w:val="single" w:sz="4" w:space="0" w:color="auto"/>
              <w:right w:val="nil"/>
            </w:tcBorders>
            <w:shd w:val="clear" w:color="000000" w:fill="FFFFFF"/>
            <w:vAlign w:val="center"/>
            <w:hideMark/>
          </w:tcPr>
          <w:p w14:paraId="39E34077" w14:textId="77777777" w:rsidR="000F0210" w:rsidRPr="001E262F" w:rsidRDefault="000F0210" w:rsidP="00E33499">
            <w:pPr>
              <w:jc w:val="center"/>
              <w:rPr>
                <w:b/>
                <w:bCs/>
                <w:sz w:val="26"/>
                <w:szCs w:val="26"/>
                <w:lang w:val="vi-VN" w:eastAsia="vi-VN"/>
              </w:rPr>
            </w:pPr>
            <w:r w:rsidRPr="001E262F">
              <w:rPr>
                <w:b/>
                <w:bCs/>
                <w:sz w:val="26"/>
                <w:szCs w:val="26"/>
                <w:lang w:val="vi-VN" w:eastAsia="vi-VN"/>
              </w:rPr>
              <w:t>8</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5E2CF97C" w14:textId="77777777" w:rsidR="000F0210" w:rsidRPr="001E262F" w:rsidRDefault="000F0210" w:rsidP="00E33499">
            <w:pPr>
              <w:jc w:val="center"/>
              <w:rPr>
                <w:sz w:val="26"/>
                <w:szCs w:val="26"/>
                <w:lang w:val="vi-VN" w:eastAsia="vi-VN"/>
              </w:rPr>
            </w:pPr>
            <w:r w:rsidRPr="001E262F">
              <w:rPr>
                <w:sz w:val="26"/>
                <w:szCs w:val="26"/>
                <w:lang w:val="vi-VN" w:eastAsia="vi-VN"/>
              </w:rPr>
              <w:t>Trang bị an toàn</w:t>
            </w:r>
          </w:p>
        </w:tc>
        <w:tc>
          <w:tcPr>
            <w:tcW w:w="4253" w:type="dxa"/>
            <w:tcBorders>
              <w:top w:val="nil"/>
              <w:left w:val="nil"/>
              <w:bottom w:val="single" w:sz="4" w:space="0" w:color="auto"/>
              <w:right w:val="single" w:sz="4" w:space="0" w:color="auto"/>
            </w:tcBorders>
            <w:vAlign w:val="center"/>
            <w:hideMark/>
          </w:tcPr>
          <w:p w14:paraId="7E6BE53B" w14:textId="77777777" w:rsidR="000F0210" w:rsidRPr="001E262F" w:rsidRDefault="000F0210" w:rsidP="00E33499">
            <w:pPr>
              <w:jc w:val="center"/>
              <w:rPr>
                <w:sz w:val="26"/>
                <w:szCs w:val="26"/>
                <w:lang w:val="vi-VN" w:eastAsia="vi-VN"/>
              </w:rPr>
            </w:pPr>
            <w:r w:rsidRPr="001E262F">
              <w:rPr>
                <w:sz w:val="26"/>
                <w:szCs w:val="26"/>
                <w:lang w:val="vi-VN" w:eastAsia="vi-VN"/>
              </w:rPr>
              <w:t> </w:t>
            </w:r>
          </w:p>
        </w:tc>
      </w:tr>
      <w:tr w:rsidR="000F0210" w:rsidRPr="001E262F" w14:paraId="41191637" w14:textId="77777777" w:rsidTr="00E33499">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6198322"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4BC8AAAF" w14:textId="77777777" w:rsidR="000F0210" w:rsidRPr="001E262F" w:rsidRDefault="000F0210" w:rsidP="00E33499">
            <w:pPr>
              <w:jc w:val="center"/>
              <w:rPr>
                <w:sz w:val="26"/>
                <w:szCs w:val="26"/>
                <w:lang w:val="vi-VN" w:eastAsia="vi-VN"/>
              </w:rPr>
            </w:pPr>
            <w:r w:rsidRPr="001E262F">
              <w:rPr>
                <w:sz w:val="26"/>
                <w:szCs w:val="26"/>
                <w:lang w:val="vi-VN" w:eastAsia="vi-VN"/>
              </w:rPr>
              <w:t>Camera lùi</w:t>
            </w:r>
          </w:p>
        </w:tc>
        <w:tc>
          <w:tcPr>
            <w:tcW w:w="4253" w:type="dxa"/>
            <w:tcBorders>
              <w:top w:val="nil"/>
              <w:left w:val="nil"/>
              <w:bottom w:val="single" w:sz="4" w:space="0" w:color="auto"/>
              <w:right w:val="single" w:sz="4" w:space="0" w:color="auto"/>
            </w:tcBorders>
            <w:vAlign w:val="center"/>
            <w:hideMark/>
          </w:tcPr>
          <w:p w14:paraId="6C48D4D0" w14:textId="77777777" w:rsidR="000F0210" w:rsidRPr="001E262F" w:rsidRDefault="000F0210" w:rsidP="00E33499">
            <w:pPr>
              <w:jc w:val="center"/>
              <w:rPr>
                <w:sz w:val="26"/>
                <w:szCs w:val="26"/>
                <w:lang w:val="vi-VN" w:eastAsia="vi-VN"/>
              </w:rPr>
            </w:pPr>
            <w:r w:rsidRPr="001E262F">
              <w:rPr>
                <w:sz w:val="26"/>
                <w:szCs w:val="26"/>
                <w:lang w:val="vi-VN" w:eastAsia="vi-VN"/>
              </w:rPr>
              <w:t>Camera toàn cảnh/360</w:t>
            </w:r>
          </w:p>
        </w:tc>
      </w:tr>
      <w:tr w:rsidR="000F0210" w:rsidRPr="001E262F" w14:paraId="54FBA908" w14:textId="77777777" w:rsidTr="00E33499">
        <w:trPr>
          <w:trHeight w:val="419"/>
        </w:trPr>
        <w:tc>
          <w:tcPr>
            <w:tcW w:w="1200" w:type="dxa"/>
            <w:tcBorders>
              <w:top w:val="nil"/>
              <w:left w:val="single" w:sz="4" w:space="0" w:color="auto"/>
              <w:bottom w:val="single" w:sz="4" w:space="0" w:color="auto"/>
              <w:right w:val="nil"/>
            </w:tcBorders>
            <w:shd w:val="clear" w:color="000000" w:fill="FFFFFF"/>
            <w:vAlign w:val="center"/>
            <w:hideMark/>
          </w:tcPr>
          <w:p w14:paraId="7A76101F"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1E5574CB" w14:textId="77777777" w:rsidR="000F0210" w:rsidRPr="001E262F" w:rsidRDefault="000F0210" w:rsidP="00E33499">
            <w:pPr>
              <w:jc w:val="center"/>
              <w:rPr>
                <w:sz w:val="26"/>
                <w:szCs w:val="26"/>
                <w:lang w:val="vi-VN" w:eastAsia="vi-VN"/>
              </w:rPr>
            </w:pPr>
            <w:r w:rsidRPr="001E262F">
              <w:rPr>
                <w:sz w:val="26"/>
                <w:szCs w:val="26"/>
                <w:lang w:val="vi-VN" w:eastAsia="vi-VN"/>
              </w:rPr>
              <w:t>Cảm biến hỗ trợ đỗ xe</w:t>
            </w:r>
          </w:p>
        </w:tc>
        <w:tc>
          <w:tcPr>
            <w:tcW w:w="4253" w:type="dxa"/>
            <w:tcBorders>
              <w:top w:val="nil"/>
              <w:left w:val="nil"/>
              <w:bottom w:val="single" w:sz="4" w:space="0" w:color="auto"/>
              <w:right w:val="single" w:sz="4" w:space="0" w:color="auto"/>
            </w:tcBorders>
            <w:vAlign w:val="center"/>
            <w:hideMark/>
          </w:tcPr>
          <w:p w14:paraId="4F6E4937" w14:textId="77777777" w:rsidR="000F0210" w:rsidRPr="001E262F" w:rsidRDefault="000F0210" w:rsidP="00E33499">
            <w:pPr>
              <w:jc w:val="center"/>
              <w:rPr>
                <w:sz w:val="26"/>
                <w:szCs w:val="26"/>
                <w:lang w:val="vi-VN" w:eastAsia="vi-VN"/>
              </w:rPr>
            </w:pPr>
            <w:r w:rsidRPr="001E262F">
              <w:rPr>
                <w:sz w:val="26"/>
                <w:szCs w:val="26"/>
                <w:lang w:val="vi-VN" w:eastAsia="vi-VN"/>
              </w:rPr>
              <w:t>Trước và sau</w:t>
            </w:r>
          </w:p>
        </w:tc>
      </w:tr>
      <w:tr w:rsidR="000F0210" w:rsidRPr="001E262F" w14:paraId="2980F54B" w14:textId="77777777" w:rsidTr="00E33499">
        <w:trPr>
          <w:trHeight w:val="837"/>
        </w:trPr>
        <w:tc>
          <w:tcPr>
            <w:tcW w:w="1200" w:type="dxa"/>
            <w:tcBorders>
              <w:top w:val="nil"/>
              <w:left w:val="single" w:sz="4" w:space="0" w:color="auto"/>
              <w:bottom w:val="single" w:sz="4" w:space="0" w:color="auto"/>
              <w:right w:val="nil"/>
            </w:tcBorders>
            <w:shd w:val="clear" w:color="000000" w:fill="FFFFFF"/>
            <w:vAlign w:val="center"/>
            <w:hideMark/>
          </w:tcPr>
          <w:p w14:paraId="559080E1"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23AD23F0" w14:textId="77777777" w:rsidR="000F0210" w:rsidRPr="001E262F" w:rsidRDefault="000F0210" w:rsidP="00E33499">
            <w:pPr>
              <w:jc w:val="center"/>
              <w:rPr>
                <w:sz w:val="26"/>
                <w:szCs w:val="26"/>
                <w:lang w:val="vi-VN" w:eastAsia="vi-VN"/>
              </w:rPr>
            </w:pPr>
            <w:r w:rsidRPr="001E262F">
              <w:rPr>
                <w:sz w:val="26"/>
                <w:szCs w:val="26"/>
                <w:lang w:val="vi-VN" w:eastAsia="vi-VN"/>
              </w:rPr>
              <w:t>Hệ thống chống bó cứng bánh xe và phân phối lực phanh điện tử</w:t>
            </w:r>
          </w:p>
        </w:tc>
        <w:tc>
          <w:tcPr>
            <w:tcW w:w="4253" w:type="dxa"/>
            <w:tcBorders>
              <w:top w:val="nil"/>
              <w:left w:val="nil"/>
              <w:bottom w:val="single" w:sz="4" w:space="0" w:color="auto"/>
              <w:right w:val="single" w:sz="4" w:space="0" w:color="auto"/>
            </w:tcBorders>
            <w:vAlign w:val="center"/>
            <w:hideMark/>
          </w:tcPr>
          <w:p w14:paraId="44486CC1"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22C1E58B" w14:textId="77777777" w:rsidTr="00E33499">
        <w:trPr>
          <w:trHeight w:val="660"/>
        </w:trPr>
        <w:tc>
          <w:tcPr>
            <w:tcW w:w="1200" w:type="dxa"/>
            <w:tcBorders>
              <w:top w:val="nil"/>
              <w:left w:val="single" w:sz="4" w:space="0" w:color="auto"/>
              <w:bottom w:val="single" w:sz="4" w:space="0" w:color="auto"/>
              <w:right w:val="nil"/>
            </w:tcBorders>
            <w:shd w:val="clear" w:color="000000" w:fill="FFFFFF"/>
            <w:vAlign w:val="center"/>
            <w:hideMark/>
          </w:tcPr>
          <w:p w14:paraId="534EF52B"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172051EF" w14:textId="77777777" w:rsidR="000F0210" w:rsidRPr="001E262F" w:rsidRDefault="000F0210" w:rsidP="00E33499">
            <w:pPr>
              <w:jc w:val="center"/>
              <w:rPr>
                <w:sz w:val="26"/>
                <w:szCs w:val="26"/>
                <w:lang w:val="vi-VN" w:eastAsia="vi-VN"/>
              </w:rPr>
            </w:pPr>
            <w:r w:rsidRPr="001E262F">
              <w:rPr>
                <w:sz w:val="26"/>
                <w:szCs w:val="26"/>
                <w:lang w:val="vi-VN" w:eastAsia="vi-VN"/>
              </w:rPr>
              <w:t>Hệ thống cân bằng điện tử</w:t>
            </w:r>
          </w:p>
        </w:tc>
        <w:tc>
          <w:tcPr>
            <w:tcW w:w="4253" w:type="dxa"/>
            <w:tcBorders>
              <w:top w:val="nil"/>
              <w:left w:val="nil"/>
              <w:bottom w:val="single" w:sz="4" w:space="0" w:color="auto"/>
              <w:right w:val="single" w:sz="4" w:space="0" w:color="auto"/>
            </w:tcBorders>
            <w:vAlign w:val="center"/>
            <w:hideMark/>
          </w:tcPr>
          <w:p w14:paraId="4DF3F319"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06532B0C" w14:textId="77777777" w:rsidTr="00E33499">
        <w:trPr>
          <w:trHeight w:val="66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38FC8B6" w14:textId="77777777" w:rsidR="000F0210" w:rsidRPr="001E262F" w:rsidRDefault="000F0210" w:rsidP="00E33499">
            <w:pPr>
              <w:jc w:val="center"/>
              <w:rPr>
                <w:b/>
                <w:bCs/>
                <w:sz w:val="26"/>
                <w:szCs w:val="26"/>
                <w:lang w:val="vi-VN" w:eastAsia="vi-VN"/>
              </w:rPr>
            </w:pPr>
            <w:r w:rsidRPr="001E262F">
              <w:rPr>
                <w:b/>
                <w:bCs/>
                <w:sz w:val="26"/>
                <w:szCs w:val="26"/>
                <w:lang w:val="vi-VN" w:eastAsia="vi-VN"/>
              </w:rPr>
              <w:lastRenderedPageBreak/>
              <w:t> </w:t>
            </w:r>
          </w:p>
        </w:tc>
        <w:tc>
          <w:tcPr>
            <w:tcW w:w="3898" w:type="dxa"/>
            <w:tcBorders>
              <w:top w:val="nil"/>
              <w:left w:val="nil"/>
              <w:bottom w:val="single" w:sz="4" w:space="0" w:color="auto"/>
              <w:right w:val="single" w:sz="4" w:space="0" w:color="auto"/>
            </w:tcBorders>
            <w:shd w:val="clear" w:color="000000" w:fill="FFFFFF"/>
            <w:vAlign w:val="center"/>
            <w:hideMark/>
          </w:tcPr>
          <w:p w14:paraId="3E139EF9" w14:textId="77777777" w:rsidR="000F0210" w:rsidRPr="001E262F" w:rsidRDefault="000F0210" w:rsidP="00E33499">
            <w:pPr>
              <w:jc w:val="center"/>
              <w:rPr>
                <w:sz w:val="26"/>
                <w:szCs w:val="26"/>
                <w:lang w:val="vi-VN" w:eastAsia="vi-VN"/>
              </w:rPr>
            </w:pPr>
            <w:r w:rsidRPr="001E262F">
              <w:rPr>
                <w:sz w:val="26"/>
                <w:szCs w:val="26"/>
                <w:lang w:val="vi-VN" w:eastAsia="vi-VN"/>
              </w:rPr>
              <w:t>Hệ thống hỗ trợ khởi hành ngang dốc</w:t>
            </w:r>
          </w:p>
        </w:tc>
        <w:tc>
          <w:tcPr>
            <w:tcW w:w="4253" w:type="dxa"/>
            <w:tcBorders>
              <w:top w:val="nil"/>
              <w:left w:val="nil"/>
              <w:bottom w:val="single" w:sz="4" w:space="0" w:color="auto"/>
              <w:right w:val="single" w:sz="4" w:space="0" w:color="auto"/>
            </w:tcBorders>
            <w:vAlign w:val="center"/>
            <w:hideMark/>
          </w:tcPr>
          <w:p w14:paraId="11C67A6C"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6F2B0AAE" w14:textId="77777777" w:rsidTr="00E33499">
        <w:trPr>
          <w:trHeight w:val="46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FA72C79"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0B61F1E1" w14:textId="77777777" w:rsidR="000F0210" w:rsidRPr="001E262F" w:rsidRDefault="000F0210" w:rsidP="00E33499">
            <w:pPr>
              <w:jc w:val="center"/>
              <w:rPr>
                <w:sz w:val="26"/>
                <w:szCs w:val="26"/>
                <w:lang w:val="vi-VN" w:eastAsia="vi-VN"/>
              </w:rPr>
            </w:pPr>
            <w:r w:rsidRPr="001E262F">
              <w:rPr>
                <w:sz w:val="26"/>
                <w:szCs w:val="26"/>
                <w:lang w:val="vi-VN" w:eastAsia="vi-VN"/>
              </w:rPr>
              <w:t>Hệ thống kiểm soát đổ đèo</w:t>
            </w:r>
          </w:p>
        </w:tc>
        <w:tc>
          <w:tcPr>
            <w:tcW w:w="4253" w:type="dxa"/>
            <w:tcBorders>
              <w:top w:val="nil"/>
              <w:left w:val="nil"/>
              <w:bottom w:val="single" w:sz="4" w:space="0" w:color="auto"/>
              <w:right w:val="single" w:sz="4" w:space="0" w:color="auto"/>
            </w:tcBorders>
            <w:vAlign w:val="center"/>
            <w:hideMark/>
          </w:tcPr>
          <w:p w14:paraId="478908FF"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219518DC" w14:textId="77777777" w:rsidTr="00E33499">
        <w:trPr>
          <w:trHeight w:val="41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145B290"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49E03A2B" w14:textId="77777777" w:rsidR="000F0210" w:rsidRPr="001E262F" w:rsidRDefault="000F0210" w:rsidP="00E33499">
            <w:pPr>
              <w:jc w:val="center"/>
              <w:rPr>
                <w:sz w:val="26"/>
                <w:szCs w:val="26"/>
                <w:lang w:val="vi-VN" w:eastAsia="vi-VN"/>
              </w:rPr>
            </w:pPr>
            <w:r w:rsidRPr="001E262F">
              <w:rPr>
                <w:sz w:val="26"/>
                <w:szCs w:val="26"/>
                <w:lang w:val="vi-VN" w:eastAsia="vi-VN"/>
              </w:rPr>
              <w:t>Hệ thống kiểm soát tốc độ</w:t>
            </w:r>
          </w:p>
        </w:tc>
        <w:tc>
          <w:tcPr>
            <w:tcW w:w="4253" w:type="dxa"/>
            <w:tcBorders>
              <w:top w:val="nil"/>
              <w:left w:val="nil"/>
              <w:bottom w:val="single" w:sz="4" w:space="0" w:color="auto"/>
              <w:right w:val="single" w:sz="4" w:space="0" w:color="auto"/>
            </w:tcBorders>
            <w:vAlign w:val="center"/>
            <w:hideMark/>
          </w:tcPr>
          <w:p w14:paraId="3A246720"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5D67BA0C" w14:textId="77777777" w:rsidTr="00E33499">
        <w:trPr>
          <w:trHeight w:val="689"/>
        </w:trPr>
        <w:tc>
          <w:tcPr>
            <w:tcW w:w="1200" w:type="dxa"/>
            <w:tcBorders>
              <w:top w:val="nil"/>
              <w:left w:val="single" w:sz="4" w:space="0" w:color="auto"/>
              <w:bottom w:val="single" w:sz="4" w:space="0" w:color="auto"/>
              <w:right w:val="nil"/>
            </w:tcBorders>
            <w:shd w:val="clear" w:color="000000" w:fill="FFFFFF"/>
            <w:vAlign w:val="center"/>
            <w:hideMark/>
          </w:tcPr>
          <w:p w14:paraId="6FE7686A"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1B9DA910" w14:textId="77777777" w:rsidR="000F0210" w:rsidRPr="001E262F" w:rsidRDefault="000F0210" w:rsidP="00E33499">
            <w:pPr>
              <w:jc w:val="center"/>
              <w:rPr>
                <w:sz w:val="26"/>
                <w:szCs w:val="26"/>
                <w:lang w:val="vi-VN" w:eastAsia="vi-VN"/>
              </w:rPr>
            </w:pPr>
            <w:r w:rsidRPr="001E262F">
              <w:rPr>
                <w:sz w:val="26"/>
                <w:szCs w:val="26"/>
                <w:lang w:val="vi-VN" w:eastAsia="vi-VN"/>
              </w:rPr>
              <w:t>Hệ thống cảnh báo điểm mù, kết hợp cảnh báo có xe cắt ngang</w:t>
            </w:r>
          </w:p>
        </w:tc>
        <w:tc>
          <w:tcPr>
            <w:tcW w:w="4253" w:type="dxa"/>
            <w:tcBorders>
              <w:top w:val="nil"/>
              <w:left w:val="nil"/>
              <w:bottom w:val="single" w:sz="4" w:space="0" w:color="auto"/>
              <w:right w:val="single" w:sz="4" w:space="0" w:color="auto"/>
            </w:tcBorders>
            <w:vAlign w:val="center"/>
            <w:hideMark/>
          </w:tcPr>
          <w:p w14:paraId="0A6B9CB6"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r w:rsidR="000F0210" w:rsidRPr="001E262F" w14:paraId="661E1344" w14:textId="77777777" w:rsidTr="00E33499">
        <w:trPr>
          <w:trHeight w:val="1138"/>
        </w:trPr>
        <w:tc>
          <w:tcPr>
            <w:tcW w:w="1200" w:type="dxa"/>
            <w:tcBorders>
              <w:top w:val="nil"/>
              <w:left w:val="single" w:sz="4" w:space="0" w:color="auto"/>
              <w:bottom w:val="single" w:sz="4" w:space="0" w:color="auto"/>
              <w:right w:val="nil"/>
            </w:tcBorders>
            <w:shd w:val="clear" w:color="000000" w:fill="FFFFFF"/>
            <w:vAlign w:val="center"/>
            <w:hideMark/>
          </w:tcPr>
          <w:p w14:paraId="6F594695" w14:textId="77777777" w:rsidR="000F0210" w:rsidRPr="001E262F" w:rsidRDefault="000F0210" w:rsidP="00E33499">
            <w:pPr>
              <w:jc w:val="center"/>
              <w:rPr>
                <w:b/>
                <w:bCs/>
                <w:sz w:val="26"/>
                <w:szCs w:val="26"/>
                <w:lang w:val="vi-VN" w:eastAsia="vi-VN"/>
              </w:rPr>
            </w:pPr>
            <w:r w:rsidRPr="001E262F">
              <w:rPr>
                <w:b/>
                <w:bCs/>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4EF5B55E" w14:textId="77777777" w:rsidR="000F0210" w:rsidRPr="001E262F" w:rsidRDefault="000F0210" w:rsidP="00E33499">
            <w:pPr>
              <w:jc w:val="center"/>
              <w:rPr>
                <w:sz w:val="26"/>
                <w:szCs w:val="26"/>
                <w:lang w:val="vi-VN" w:eastAsia="vi-VN"/>
              </w:rPr>
            </w:pPr>
            <w:r w:rsidRPr="001E262F">
              <w:rPr>
                <w:sz w:val="26"/>
                <w:szCs w:val="26"/>
                <w:lang w:val="vi-VN" w:eastAsia="vi-VN"/>
              </w:rPr>
              <w:t>Hệ thống cảnh báo va chạm và hỗ trợ phanh khẩn cấp khi gặp chướng ngại vật phía trước</w:t>
            </w:r>
          </w:p>
        </w:tc>
        <w:tc>
          <w:tcPr>
            <w:tcW w:w="4253" w:type="dxa"/>
            <w:tcBorders>
              <w:top w:val="nil"/>
              <w:left w:val="nil"/>
              <w:bottom w:val="single" w:sz="4" w:space="0" w:color="auto"/>
              <w:right w:val="single" w:sz="4" w:space="0" w:color="auto"/>
            </w:tcBorders>
            <w:vAlign w:val="center"/>
            <w:hideMark/>
          </w:tcPr>
          <w:p w14:paraId="433BBF13" w14:textId="77777777" w:rsidR="000F0210" w:rsidRPr="001E262F" w:rsidRDefault="000F0210" w:rsidP="00E33499">
            <w:pPr>
              <w:jc w:val="center"/>
              <w:rPr>
                <w:sz w:val="26"/>
                <w:szCs w:val="26"/>
                <w:lang w:val="vi-VN" w:eastAsia="vi-VN"/>
              </w:rPr>
            </w:pPr>
            <w:r w:rsidRPr="001E262F">
              <w:rPr>
                <w:sz w:val="26"/>
                <w:szCs w:val="26"/>
                <w:lang w:val="vi-VN" w:eastAsia="vi-VN"/>
              </w:rPr>
              <w:t>Có</w:t>
            </w:r>
          </w:p>
        </w:tc>
      </w:tr>
    </w:tbl>
    <w:p w14:paraId="2AD60FF7"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Ghi chú:</w:t>
      </w:r>
    </w:p>
    <w:p w14:paraId="712F3EA9"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 Nhà thầu phải cung cấp đầy đủ Catalogue hoặc các tài liệu có liên quan của hàng hóa chào hàng do hãng sản xuất phát hành để chứng minh hàng hóa chào hàng đáp ứng các yêu cầu kỹ thuật theo E-HSMT. Tất cả tài liệu cung cấp phải bằng tiếng Việt, trong trường hợp bằng tiếng nước ngoài nhà thầu phải đính kèm bản dịch tiếng Việt và chịu trách nhiệm về tính chính xác của tài liệu cung cấp. Trường hợp E-HSDT thiếu các bản dịch tiếng Việt, nhà thầu phải chịu trách nhiệm bổ sung, làm rõ trong quá trình đánh giá E-HSDT.</w:t>
      </w:r>
    </w:p>
    <w:p w14:paraId="3C83C19F" w14:textId="77777777" w:rsidR="000F0210" w:rsidRPr="000F0210" w:rsidRDefault="000F0210" w:rsidP="000F0210">
      <w:pPr>
        <w:spacing w:before="120" w:after="120" w:line="264" w:lineRule="auto"/>
        <w:ind w:right="-284" w:firstLine="709"/>
        <w:rPr>
          <w:bCs/>
          <w:i/>
          <w:sz w:val="26"/>
          <w:szCs w:val="26"/>
          <w:lang w:val="nl-NL"/>
        </w:rPr>
      </w:pPr>
      <w:r w:rsidRPr="000F0210">
        <w:rPr>
          <w:bCs/>
          <w:i/>
          <w:sz w:val="26"/>
          <w:szCs w:val="26"/>
          <w:lang w:val="nl-NL"/>
        </w:rPr>
        <w:t>- Các thông số kỹ thuật của hàng hóa ở trên chỉ nhằm mô tả thông số, yêu cầu kỹ thuật tối thiểu hàng hóa dự thầu phải đáp ứng mà không nhằm định hướng một loại hàng hóa, một hãng sản xuất cụ thể nào. Nhà thầu có thể chào hàng hóa có thông số kỹ thuật, tính năng, công dụng tương đương hoặc cao hơn.</w:t>
      </w:r>
    </w:p>
    <w:p w14:paraId="25A7BDB7" w14:textId="77777777" w:rsidR="000F0210" w:rsidRPr="000F0210" w:rsidRDefault="000F0210" w:rsidP="000F0210">
      <w:pPr>
        <w:spacing w:before="120" w:after="120" w:line="264" w:lineRule="auto"/>
        <w:ind w:firstLine="709"/>
        <w:rPr>
          <w:b/>
          <w:i/>
          <w:sz w:val="26"/>
          <w:szCs w:val="26"/>
          <w:lang w:val="nl-NL"/>
        </w:rPr>
      </w:pPr>
      <w:r w:rsidRPr="000F0210">
        <w:rPr>
          <w:b/>
          <w:i/>
          <w:sz w:val="26"/>
          <w:szCs w:val="26"/>
          <w:lang w:val="nl-NL"/>
        </w:rPr>
        <w:t>1.3. Các yêu cầu khác</w:t>
      </w:r>
    </w:p>
    <w:p w14:paraId="2F25DDDD" w14:textId="77777777" w:rsidR="000F0210" w:rsidRPr="000F0210" w:rsidRDefault="000F0210" w:rsidP="000F0210">
      <w:pPr>
        <w:widowControl w:val="0"/>
        <w:spacing w:before="120" w:after="120" w:line="264" w:lineRule="auto"/>
        <w:ind w:firstLine="567"/>
        <w:rPr>
          <w:iCs/>
          <w:sz w:val="26"/>
          <w:szCs w:val="26"/>
          <w:lang w:val="nl-NL"/>
        </w:rPr>
      </w:pPr>
      <w:r w:rsidRPr="000F0210">
        <w:rPr>
          <w:iCs/>
          <w:sz w:val="26"/>
          <w:szCs w:val="26"/>
          <w:lang w:val="nl-NL"/>
        </w:rPr>
        <w:t xml:space="preserve">  - Nhà thầu phải cam kết: Cung cấp đầy đủ giấy tờ, hồ sơ đảm bảo xe ô tô được phép đăng ký lưu hành tại Việt Nam. Trong trường hợp xe ô tô nhà thầu cung cấp không được phép đăng ký, đăng kiểm tại Việt Nam, nhà thầu sẽ phải thu hồi xe ô tô và hoàn trả toàn bộ giá trị hợp đồng cho Chủ đầu tư.</w:t>
      </w:r>
    </w:p>
    <w:p w14:paraId="5ABD2C98" w14:textId="77777777" w:rsidR="000F0210" w:rsidRPr="000F0210" w:rsidRDefault="000F0210" w:rsidP="000F0210">
      <w:pPr>
        <w:widowControl w:val="0"/>
        <w:spacing w:before="120" w:after="120" w:line="264" w:lineRule="auto"/>
        <w:ind w:firstLine="567"/>
        <w:rPr>
          <w:iCs/>
          <w:sz w:val="26"/>
          <w:szCs w:val="26"/>
          <w:lang w:val="nl-NL"/>
        </w:rPr>
      </w:pPr>
      <w:r w:rsidRPr="000F0210">
        <w:rPr>
          <w:iCs/>
          <w:sz w:val="26"/>
          <w:szCs w:val="26"/>
          <w:lang w:val="nl-NL"/>
        </w:rPr>
        <w:t>- Cung cấp kèm theo E-HSDT: Danh sách các cơ sở bảo hành của hãng sản xuất trên toàn quốc</w:t>
      </w:r>
    </w:p>
    <w:p w14:paraId="26649DBC" w14:textId="77777777" w:rsidR="000F0210" w:rsidRPr="000F0210" w:rsidRDefault="000F0210" w:rsidP="000F0210">
      <w:pPr>
        <w:pStyle w:val="SectionVIHeader"/>
        <w:spacing w:after="120" w:line="264" w:lineRule="auto"/>
        <w:ind w:firstLine="709"/>
        <w:jc w:val="left"/>
        <w:rPr>
          <w:sz w:val="26"/>
          <w:szCs w:val="26"/>
          <w:lang w:val="nl-NL"/>
        </w:rPr>
      </w:pPr>
      <w:r w:rsidRPr="000F0210">
        <w:rPr>
          <w:sz w:val="26"/>
          <w:szCs w:val="26"/>
          <w:lang w:val="nl-NL"/>
        </w:rPr>
        <w:t>Mục 2. Bản vẽ</w:t>
      </w:r>
    </w:p>
    <w:p w14:paraId="7D03F8F4" w14:textId="77777777" w:rsidR="000F0210" w:rsidRPr="000F0210" w:rsidRDefault="000F0210" w:rsidP="000F0210">
      <w:pPr>
        <w:pStyle w:val="SectionVIHeader"/>
        <w:widowControl w:val="0"/>
        <w:spacing w:after="120" w:line="264" w:lineRule="auto"/>
        <w:ind w:firstLine="709"/>
        <w:jc w:val="left"/>
        <w:rPr>
          <w:b w:val="0"/>
          <w:sz w:val="26"/>
          <w:szCs w:val="26"/>
        </w:rPr>
      </w:pPr>
      <w:r w:rsidRPr="000F0210">
        <w:rPr>
          <w:b w:val="0"/>
          <w:sz w:val="26"/>
          <w:szCs w:val="26"/>
        </w:rPr>
        <w:t>Không có bản vẽ</w:t>
      </w:r>
    </w:p>
    <w:p w14:paraId="1C72A9AB" w14:textId="77777777" w:rsidR="000F0210" w:rsidRPr="000F0210" w:rsidRDefault="000F0210" w:rsidP="000F0210">
      <w:pPr>
        <w:pStyle w:val="SectionVIHeader"/>
        <w:widowControl w:val="0"/>
        <w:spacing w:after="120" w:line="264" w:lineRule="auto"/>
        <w:ind w:firstLine="709"/>
        <w:jc w:val="left"/>
        <w:rPr>
          <w:sz w:val="26"/>
          <w:szCs w:val="26"/>
        </w:rPr>
      </w:pPr>
      <w:r w:rsidRPr="000F0210">
        <w:rPr>
          <w:sz w:val="26"/>
          <w:szCs w:val="26"/>
        </w:rPr>
        <w:t>Mục 3. Kiểm tra và thử nghiệm</w:t>
      </w:r>
    </w:p>
    <w:p w14:paraId="75E3D6DD" w14:textId="77777777" w:rsidR="000F0210" w:rsidRPr="000F0210" w:rsidRDefault="000F0210" w:rsidP="000F0210">
      <w:pPr>
        <w:spacing w:after="200" w:line="276" w:lineRule="auto"/>
        <w:ind w:firstLine="709"/>
        <w:jc w:val="left"/>
        <w:rPr>
          <w:sz w:val="26"/>
          <w:szCs w:val="26"/>
        </w:rPr>
      </w:pPr>
      <w:r w:rsidRPr="000F0210">
        <w:rPr>
          <w:sz w:val="26"/>
          <w:szCs w:val="26"/>
        </w:rPr>
        <w:t>Thời gian kiểm tra: Ngay sau khi hàng hoá được giao tới địa điểm quy định.</w:t>
      </w:r>
    </w:p>
    <w:p w14:paraId="40B6E302" w14:textId="77777777" w:rsidR="000F0210" w:rsidRPr="000F0210" w:rsidRDefault="000F0210" w:rsidP="000F0210">
      <w:pPr>
        <w:spacing w:after="200" w:line="276" w:lineRule="auto"/>
        <w:ind w:firstLine="709"/>
        <w:jc w:val="left"/>
        <w:rPr>
          <w:sz w:val="26"/>
          <w:szCs w:val="26"/>
        </w:rPr>
      </w:pPr>
      <w:r w:rsidRPr="000F0210">
        <w:rPr>
          <w:sz w:val="26"/>
          <w:szCs w:val="26"/>
        </w:rPr>
        <w:t>Cách thức tiến hành kiểm tra: Hai bên tiến hành kiểm tra hàng hoá căn cứ theo yêu cầu của hợp đồng đã ký kết và các tài liệu có liên quan.</w:t>
      </w:r>
    </w:p>
    <w:p w14:paraId="432F8DFB" w14:textId="77777777" w:rsidR="000F0210" w:rsidRPr="000F0210" w:rsidRDefault="000F0210" w:rsidP="000F0210">
      <w:pPr>
        <w:spacing w:after="200" w:line="276" w:lineRule="auto"/>
        <w:ind w:firstLine="709"/>
        <w:jc w:val="left"/>
        <w:rPr>
          <w:sz w:val="26"/>
          <w:szCs w:val="26"/>
        </w:rPr>
      </w:pPr>
      <w:r w:rsidRPr="000F0210">
        <w:rPr>
          <w:sz w:val="26"/>
          <w:szCs w:val="26"/>
        </w:rPr>
        <w:lastRenderedPageBreak/>
        <w:t>Mọi chi phí liên quan đến việc kiểm tra, thử nghiệm, nghiệm thu do Nhà thầu thanh toán.</w:t>
      </w:r>
    </w:p>
    <w:p w14:paraId="5E5D583F" w14:textId="1266B040" w:rsidR="00736C9F" w:rsidRPr="000F0210" w:rsidRDefault="000F0210" w:rsidP="000F0210">
      <w:r w:rsidRPr="000F0210">
        <w:rPr>
          <w:sz w:val="26"/>
          <w:szCs w:val="26"/>
        </w:rPr>
        <w:t>Những hàng hoá không đạt yêu cầu về kiểm tra, thử nghiệm Nhà thầu phải thay thế bằng những hàng hoá khác tương ứng cho đến khi được Chủ đầu tư chấp nhận.</w:t>
      </w:r>
    </w:p>
    <w:sectPr w:rsidR="00736C9F" w:rsidRPr="000F0210"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10"/>
    <w:rsid w:val="000F0210"/>
    <w:rsid w:val="001448EB"/>
    <w:rsid w:val="002060B0"/>
    <w:rsid w:val="00275BE5"/>
    <w:rsid w:val="0047617E"/>
    <w:rsid w:val="004A085D"/>
    <w:rsid w:val="00736C9F"/>
    <w:rsid w:val="00F26FC1"/>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4F5E"/>
  <w15:chartTrackingRefBased/>
  <w15:docId w15:val="{CEEC6569-E44D-4D56-BBF0-082569F0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10"/>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0F0210"/>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0210"/>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0210"/>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0210"/>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0F0210"/>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0F021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0F0210"/>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0F0210"/>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0F0210"/>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0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0210"/>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F021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F021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F02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2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2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2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210"/>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02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0F021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0F02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0210"/>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0F0210"/>
    <w:rPr>
      <w:i/>
      <w:iCs/>
      <w:color w:val="404040" w:themeColor="text1" w:themeTint="BF"/>
    </w:rPr>
  </w:style>
  <w:style w:type="paragraph" w:styleId="ListParagraph">
    <w:name w:val="List Paragraph"/>
    <w:basedOn w:val="Normal"/>
    <w:uiPriority w:val="34"/>
    <w:qFormat/>
    <w:rsid w:val="000F0210"/>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0F0210"/>
    <w:rPr>
      <w:i/>
      <w:iCs/>
      <w:color w:val="2E74B5" w:themeColor="accent1" w:themeShade="BF"/>
    </w:rPr>
  </w:style>
  <w:style w:type="paragraph" w:styleId="IntenseQuote">
    <w:name w:val="Intense Quote"/>
    <w:basedOn w:val="Normal"/>
    <w:next w:val="Normal"/>
    <w:link w:val="IntenseQuoteChar"/>
    <w:uiPriority w:val="30"/>
    <w:qFormat/>
    <w:rsid w:val="000F021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0F0210"/>
    <w:rPr>
      <w:i/>
      <w:iCs/>
      <w:color w:val="2E74B5" w:themeColor="accent1" w:themeShade="BF"/>
    </w:rPr>
  </w:style>
  <w:style w:type="character" w:styleId="IntenseReference">
    <w:name w:val="Intense Reference"/>
    <w:basedOn w:val="DefaultParagraphFont"/>
    <w:uiPriority w:val="32"/>
    <w:qFormat/>
    <w:rsid w:val="000F0210"/>
    <w:rPr>
      <w:b/>
      <w:bCs/>
      <w:smallCaps/>
      <w:color w:val="2E74B5" w:themeColor="accent1" w:themeShade="BF"/>
      <w:spacing w:val="5"/>
    </w:rPr>
  </w:style>
  <w:style w:type="paragraph" w:customStyle="1" w:styleId="SectionVIHeader">
    <w:name w:val="Section VI. Header"/>
    <w:basedOn w:val="Normal"/>
    <w:rsid w:val="000F021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Ngọc Tô Tiến Như</cp:lastModifiedBy>
  <cp:revision>2</cp:revision>
  <dcterms:created xsi:type="dcterms:W3CDTF">2025-11-21T08:57:00Z</dcterms:created>
  <dcterms:modified xsi:type="dcterms:W3CDTF">2025-11-21T08:59:00Z</dcterms:modified>
</cp:coreProperties>
</file>