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E0BE" w14:textId="77777777" w:rsidR="002D0953" w:rsidRPr="006C72D7" w:rsidRDefault="002D0953" w:rsidP="002D0953">
      <w:pPr>
        <w:pStyle w:val="01"/>
        <w:spacing w:before="0" w:after="0" w:line="312" w:lineRule="auto"/>
        <w:rPr>
          <w:color w:val="000000" w:themeColor="text1"/>
        </w:rPr>
      </w:pPr>
      <w:bookmarkStart w:id="0" w:name="_Toc116333349"/>
      <w:r w:rsidRPr="006C72D7">
        <w:rPr>
          <w:color w:val="000000" w:themeColor="text1"/>
        </w:rPr>
        <w:t>Chương V. YÊU CẦU VỀ KỸ THUẬT</w:t>
      </w:r>
      <w:bookmarkEnd w:id="0"/>
    </w:p>
    <w:p w14:paraId="7EDD92F1" w14:textId="77777777" w:rsidR="002D0953" w:rsidRPr="006C72D7" w:rsidRDefault="002D0953" w:rsidP="002D0953">
      <w:pPr>
        <w:widowControl w:val="0"/>
        <w:spacing w:line="312" w:lineRule="auto"/>
        <w:ind w:firstLine="709"/>
        <w:rPr>
          <w:b/>
          <w:color w:val="000000" w:themeColor="text1"/>
          <w:sz w:val="28"/>
          <w:szCs w:val="28"/>
          <w:lang w:val="vi-VN"/>
        </w:rPr>
      </w:pPr>
      <w:r w:rsidRPr="006C72D7">
        <w:rPr>
          <w:b/>
          <w:color w:val="000000" w:themeColor="text1"/>
          <w:sz w:val="28"/>
          <w:szCs w:val="28"/>
          <w:lang w:val="vi-VN"/>
        </w:rPr>
        <w:t>1. Giới thiệu chung về dự toán, gói thầu:</w:t>
      </w:r>
    </w:p>
    <w:p w14:paraId="155B110E" w14:textId="77777777" w:rsidR="002D0953" w:rsidRPr="00141A07" w:rsidRDefault="002D0953" w:rsidP="002D0953">
      <w:pPr>
        <w:widowControl w:val="0"/>
        <w:spacing w:line="312" w:lineRule="auto"/>
        <w:ind w:firstLine="709"/>
        <w:rPr>
          <w:color w:val="000000" w:themeColor="text1"/>
          <w:sz w:val="28"/>
          <w:szCs w:val="28"/>
          <w:lang w:val="vi-VN"/>
        </w:rPr>
      </w:pPr>
      <w:r w:rsidRPr="00C77E2F">
        <w:rPr>
          <w:color w:val="000000" w:themeColor="text1"/>
          <w:sz w:val="28"/>
          <w:szCs w:val="28"/>
          <w:lang w:val="vi-VN"/>
        </w:rPr>
        <w:t xml:space="preserve">- </w:t>
      </w:r>
      <w:r w:rsidRPr="006C72D7">
        <w:rPr>
          <w:color w:val="000000" w:themeColor="text1"/>
          <w:sz w:val="28"/>
          <w:szCs w:val="28"/>
          <w:lang w:val="vi-VN"/>
        </w:rPr>
        <w:t>Tên dự toán:</w:t>
      </w:r>
      <w:r w:rsidRPr="00141A07">
        <w:rPr>
          <w:color w:val="000000" w:themeColor="text1"/>
          <w:sz w:val="28"/>
          <w:szCs w:val="28"/>
          <w:lang w:val="vi-VN"/>
        </w:rPr>
        <w:t xml:space="preserve"> Dịch vụ thu gom, vận chuyển, xử lý chất thải nguy hại tại Bệnh viện Đa khoa Vĩnh Phúc năm 2025-2027 (24 tháng)”,;</w:t>
      </w:r>
    </w:p>
    <w:p w14:paraId="61AA070C" w14:textId="77777777" w:rsidR="002D0953" w:rsidRPr="00141A07" w:rsidRDefault="002D0953" w:rsidP="002D0953">
      <w:pPr>
        <w:widowControl w:val="0"/>
        <w:spacing w:line="312" w:lineRule="auto"/>
        <w:ind w:firstLine="709"/>
        <w:rPr>
          <w:color w:val="000000" w:themeColor="text1"/>
          <w:sz w:val="28"/>
          <w:szCs w:val="28"/>
          <w:lang w:val="vi-VN"/>
        </w:rPr>
      </w:pPr>
      <w:r w:rsidRPr="006C72D7">
        <w:rPr>
          <w:color w:val="000000" w:themeColor="text1"/>
          <w:sz w:val="28"/>
          <w:szCs w:val="28"/>
          <w:lang w:val="vi-VN"/>
        </w:rPr>
        <w:t>-</w:t>
      </w:r>
      <w:r w:rsidRPr="00141A07">
        <w:rPr>
          <w:color w:val="000000" w:themeColor="text1"/>
          <w:sz w:val="28"/>
          <w:szCs w:val="28"/>
          <w:lang w:val="vi-VN"/>
        </w:rPr>
        <w:t xml:space="preserve"> </w:t>
      </w:r>
      <w:r w:rsidRPr="006C72D7">
        <w:rPr>
          <w:color w:val="000000" w:themeColor="text1"/>
          <w:sz w:val="28"/>
          <w:szCs w:val="28"/>
          <w:lang w:val="vi-VN"/>
        </w:rPr>
        <w:t>Tên gói thầu:</w:t>
      </w:r>
      <w:r w:rsidRPr="00141A07">
        <w:rPr>
          <w:color w:val="000000" w:themeColor="text1"/>
          <w:sz w:val="28"/>
          <w:szCs w:val="28"/>
          <w:lang w:val="vi-VN"/>
        </w:rPr>
        <w:t xml:space="preserve"> Dịch vụ thu gom, vận chuyển, xử lý chất thải nguy hại tại Bệnh viện Đa khoa Vĩnh Phúc năm 2025-2027 (24 tháng);</w:t>
      </w:r>
    </w:p>
    <w:p w14:paraId="52DD43B4" w14:textId="77777777" w:rsidR="002D0953" w:rsidRPr="00C77E2F" w:rsidRDefault="002D0953" w:rsidP="002D0953">
      <w:pPr>
        <w:widowControl w:val="0"/>
        <w:spacing w:line="312" w:lineRule="auto"/>
        <w:ind w:firstLine="709"/>
        <w:rPr>
          <w:color w:val="000000" w:themeColor="text1"/>
          <w:sz w:val="28"/>
          <w:szCs w:val="28"/>
          <w:lang w:val="vi-VN"/>
        </w:rPr>
      </w:pPr>
      <w:r w:rsidRPr="00C77E2F">
        <w:rPr>
          <w:color w:val="000000" w:themeColor="text1"/>
          <w:sz w:val="28"/>
          <w:szCs w:val="28"/>
          <w:lang w:val="vi-VN"/>
        </w:rPr>
        <w:t>- Nguồn vốn: Nguồn thu dịch vụ khám chữa bệnh;</w:t>
      </w:r>
    </w:p>
    <w:p w14:paraId="0D7B4342" w14:textId="77777777" w:rsidR="002D0953" w:rsidRPr="00C77E2F" w:rsidRDefault="002D0953" w:rsidP="002D0953">
      <w:pPr>
        <w:widowControl w:val="0"/>
        <w:spacing w:line="312" w:lineRule="auto"/>
        <w:ind w:firstLine="709"/>
        <w:rPr>
          <w:color w:val="000000" w:themeColor="text1"/>
          <w:sz w:val="28"/>
          <w:szCs w:val="28"/>
          <w:lang w:val="vi-VN"/>
        </w:rPr>
      </w:pPr>
      <w:r w:rsidRPr="00C77E2F">
        <w:rPr>
          <w:color w:val="000000" w:themeColor="text1"/>
          <w:sz w:val="28"/>
          <w:szCs w:val="28"/>
          <w:lang w:val="vi-VN"/>
        </w:rPr>
        <w:t>- Hình thức lựa chọn nhà thầu: Đấu thầu rộng rãi qua mạng trong nước;</w:t>
      </w:r>
    </w:p>
    <w:p w14:paraId="4CCFFFE9" w14:textId="77777777" w:rsidR="002D0953" w:rsidRPr="00C77E2F" w:rsidRDefault="002D0953" w:rsidP="002D0953">
      <w:pPr>
        <w:widowControl w:val="0"/>
        <w:spacing w:line="312" w:lineRule="auto"/>
        <w:ind w:firstLine="709"/>
        <w:rPr>
          <w:color w:val="000000" w:themeColor="text1"/>
          <w:sz w:val="28"/>
          <w:szCs w:val="28"/>
          <w:lang w:val="vi-VN"/>
        </w:rPr>
      </w:pPr>
      <w:r w:rsidRPr="00C77E2F">
        <w:rPr>
          <w:color w:val="000000" w:themeColor="text1"/>
          <w:sz w:val="28"/>
          <w:szCs w:val="28"/>
          <w:lang w:val="vi-VN"/>
        </w:rPr>
        <w:t>- Phương thức lựa chọn nhà thầu: Một giai đoạn, một túi hồ sơ;</w:t>
      </w:r>
    </w:p>
    <w:p w14:paraId="62996BAE" w14:textId="77777777" w:rsidR="002D0953" w:rsidRPr="00C77E2F" w:rsidRDefault="002D0953" w:rsidP="002D0953">
      <w:pPr>
        <w:widowControl w:val="0"/>
        <w:spacing w:line="312" w:lineRule="auto"/>
        <w:ind w:firstLine="709"/>
        <w:rPr>
          <w:color w:val="000000" w:themeColor="text1"/>
          <w:sz w:val="28"/>
          <w:szCs w:val="28"/>
          <w:lang w:val="vi-VN"/>
        </w:rPr>
      </w:pPr>
      <w:r w:rsidRPr="00C77E2F">
        <w:rPr>
          <w:color w:val="000000" w:themeColor="text1"/>
          <w:sz w:val="28"/>
          <w:szCs w:val="28"/>
          <w:lang w:val="vi-VN"/>
        </w:rPr>
        <w:t>- Thời gian lựa chọn nhà thầu: Tháng 11 năm 2025;</w:t>
      </w:r>
    </w:p>
    <w:p w14:paraId="32C4CA7A" w14:textId="77777777" w:rsidR="002D0953" w:rsidRPr="00C77E2F" w:rsidRDefault="002D0953" w:rsidP="002D0953">
      <w:pPr>
        <w:widowControl w:val="0"/>
        <w:spacing w:line="312" w:lineRule="auto"/>
        <w:ind w:firstLine="709"/>
        <w:rPr>
          <w:color w:val="000000" w:themeColor="text1"/>
          <w:sz w:val="28"/>
          <w:szCs w:val="28"/>
          <w:lang w:val="vi-VN"/>
        </w:rPr>
      </w:pPr>
      <w:r w:rsidRPr="00C77E2F">
        <w:rPr>
          <w:color w:val="000000" w:themeColor="text1"/>
          <w:sz w:val="28"/>
          <w:szCs w:val="28"/>
          <w:lang w:val="vi-VN"/>
        </w:rPr>
        <w:t>- Loại hợp đồng: Hợp đồng theo đơn giá cố định;</w:t>
      </w:r>
    </w:p>
    <w:p w14:paraId="4298831C" w14:textId="77777777" w:rsidR="002D0953" w:rsidRPr="00C77E2F" w:rsidRDefault="002D0953" w:rsidP="002D0953">
      <w:pPr>
        <w:widowControl w:val="0"/>
        <w:spacing w:line="312" w:lineRule="auto"/>
        <w:ind w:firstLine="709"/>
        <w:rPr>
          <w:color w:val="000000" w:themeColor="text1"/>
          <w:sz w:val="28"/>
          <w:szCs w:val="28"/>
          <w:lang w:val="vi-VN"/>
        </w:rPr>
      </w:pPr>
      <w:r w:rsidRPr="00C77E2F">
        <w:rPr>
          <w:color w:val="000000" w:themeColor="text1"/>
          <w:sz w:val="28"/>
          <w:szCs w:val="28"/>
          <w:lang w:val="vi-VN"/>
        </w:rPr>
        <w:t>- Thời gian thực hiện hợp đồng: 24 tháng</w:t>
      </w:r>
    </w:p>
    <w:p w14:paraId="6FEAAC60" w14:textId="77777777" w:rsidR="002D0953" w:rsidRPr="00195C5E" w:rsidRDefault="002D0953" w:rsidP="002D0953">
      <w:pPr>
        <w:spacing w:before="120" w:after="120"/>
        <w:ind w:firstLine="709"/>
        <w:rPr>
          <w:b/>
          <w:sz w:val="26"/>
          <w:szCs w:val="26"/>
          <w:lang w:val="nl-NL"/>
        </w:rPr>
      </w:pPr>
      <w:r w:rsidRPr="00195C5E">
        <w:rPr>
          <w:b/>
          <w:sz w:val="26"/>
          <w:szCs w:val="26"/>
          <w:lang w:val="nl-NL"/>
        </w:rPr>
        <w:t>2. Mục tiêu công việc: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47"/>
        <w:gridCol w:w="4001"/>
      </w:tblGrid>
      <w:tr w:rsidR="002D0953" w:rsidRPr="00195C5E" w14:paraId="3B292C50" w14:textId="77777777" w:rsidTr="00CF4E54">
        <w:tc>
          <w:tcPr>
            <w:tcW w:w="840" w:type="dxa"/>
          </w:tcPr>
          <w:p w14:paraId="18E3CB99" w14:textId="77777777" w:rsidR="002D0953" w:rsidRPr="00195C5E" w:rsidRDefault="002D0953" w:rsidP="00CF4E54">
            <w:pPr>
              <w:spacing w:before="120" w:after="120"/>
              <w:jc w:val="center"/>
              <w:rPr>
                <w:b/>
                <w:bCs/>
                <w:iCs/>
                <w:spacing w:val="-4"/>
                <w:sz w:val="26"/>
                <w:szCs w:val="26"/>
                <w:lang w:val="vi-VN"/>
              </w:rPr>
            </w:pPr>
            <w:r w:rsidRPr="00195C5E">
              <w:rPr>
                <w:b/>
                <w:bCs/>
                <w:iCs/>
                <w:spacing w:val="-4"/>
                <w:sz w:val="26"/>
                <w:szCs w:val="26"/>
                <w:lang w:val="vi-VN"/>
              </w:rPr>
              <w:t>STT</w:t>
            </w:r>
          </w:p>
        </w:tc>
        <w:tc>
          <w:tcPr>
            <w:tcW w:w="4447" w:type="dxa"/>
            <w:vAlign w:val="center"/>
          </w:tcPr>
          <w:p w14:paraId="760675A2" w14:textId="77777777" w:rsidR="002D0953" w:rsidRPr="00195C5E" w:rsidRDefault="002D0953" w:rsidP="00CF4E54">
            <w:pPr>
              <w:spacing w:before="120" w:after="120"/>
              <w:jc w:val="center"/>
              <w:rPr>
                <w:b/>
                <w:bCs/>
                <w:iCs/>
                <w:spacing w:val="-4"/>
                <w:sz w:val="26"/>
                <w:szCs w:val="26"/>
                <w:lang w:val="vi-VN"/>
              </w:rPr>
            </w:pPr>
            <w:r w:rsidRPr="00195C5E">
              <w:rPr>
                <w:b/>
                <w:sz w:val="26"/>
                <w:szCs w:val="26"/>
                <w:lang w:val="nl-NL"/>
              </w:rPr>
              <w:t>Nội dung công việc</w:t>
            </w:r>
          </w:p>
        </w:tc>
        <w:tc>
          <w:tcPr>
            <w:tcW w:w="4001" w:type="dxa"/>
            <w:vAlign w:val="center"/>
          </w:tcPr>
          <w:p w14:paraId="70DBCBDF" w14:textId="77777777" w:rsidR="002D0953" w:rsidRPr="00195C5E" w:rsidRDefault="002D0953" w:rsidP="00CF4E54">
            <w:pPr>
              <w:spacing w:before="120" w:after="120"/>
              <w:jc w:val="center"/>
              <w:rPr>
                <w:b/>
                <w:bCs/>
                <w:iCs/>
                <w:spacing w:val="-4"/>
                <w:sz w:val="26"/>
                <w:szCs w:val="26"/>
                <w:lang w:val="vi-VN"/>
              </w:rPr>
            </w:pPr>
            <w:r w:rsidRPr="00195C5E">
              <w:rPr>
                <w:b/>
                <w:sz w:val="26"/>
                <w:szCs w:val="26"/>
                <w:lang w:val="nl-NL"/>
              </w:rPr>
              <w:t>Mục tiêu công việc</w:t>
            </w:r>
          </w:p>
        </w:tc>
      </w:tr>
      <w:tr w:rsidR="002D0953" w:rsidRPr="005A7ED6" w14:paraId="442FC523" w14:textId="77777777" w:rsidTr="00CF4E54">
        <w:tc>
          <w:tcPr>
            <w:tcW w:w="840" w:type="dxa"/>
            <w:vAlign w:val="center"/>
          </w:tcPr>
          <w:p w14:paraId="3595CE1B" w14:textId="77777777" w:rsidR="002D0953" w:rsidRPr="00195C5E" w:rsidRDefault="002D0953" w:rsidP="00CF4E54">
            <w:pPr>
              <w:spacing w:before="120" w:after="120"/>
              <w:jc w:val="center"/>
              <w:rPr>
                <w:iCs/>
                <w:spacing w:val="-4"/>
                <w:sz w:val="26"/>
                <w:szCs w:val="26"/>
                <w:lang w:val="vi-VN"/>
              </w:rPr>
            </w:pPr>
            <w:r w:rsidRPr="00195C5E">
              <w:rPr>
                <w:iCs/>
                <w:spacing w:val="-4"/>
                <w:sz w:val="26"/>
                <w:szCs w:val="26"/>
                <w:lang w:val="vi-VN"/>
              </w:rPr>
              <w:t>1</w:t>
            </w:r>
          </w:p>
        </w:tc>
        <w:tc>
          <w:tcPr>
            <w:tcW w:w="4447" w:type="dxa"/>
            <w:vAlign w:val="center"/>
          </w:tcPr>
          <w:p w14:paraId="4F10C1DE" w14:textId="77777777" w:rsidR="002D0953" w:rsidRPr="00195C5E" w:rsidRDefault="002D0953" w:rsidP="00CF4E54">
            <w:pPr>
              <w:spacing w:before="120" w:after="120"/>
              <w:rPr>
                <w:iCs/>
                <w:spacing w:val="-4"/>
                <w:sz w:val="26"/>
                <w:szCs w:val="26"/>
                <w:lang w:val="vi-VN"/>
              </w:rPr>
            </w:pPr>
            <w:r w:rsidRPr="00195C5E">
              <w:rPr>
                <w:iCs/>
                <w:spacing w:val="-4"/>
                <w:sz w:val="26"/>
                <w:szCs w:val="26"/>
                <w:lang w:val="vi-VN"/>
              </w:rPr>
              <w:t xml:space="preserve">Thu gom, vận chuyển, xử lý chất thải </w:t>
            </w:r>
            <w:r>
              <w:rPr>
                <w:iCs/>
                <w:spacing w:val="-4"/>
                <w:sz w:val="26"/>
                <w:szCs w:val="26"/>
                <w:lang w:val="vi-VN"/>
              </w:rPr>
              <w:t xml:space="preserve">nguy hại </w:t>
            </w:r>
            <w:r w:rsidRPr="00195C5E">
              <w:rPr>
                <w:iCs/>
                <w:spacing w:val="-4"/>
                <w:sz w:val="26"/>
                <w:szCs w:val="26"/>
                <w:lang w:val="vi-VN"/>
              </w:rPr>
              <w:t>tại Bệnh Viện Đa khoa tỉnh Vĩnh Phúc</w:t>
            </w:r>
          </w:p>
        </w:tc>
        <w:tc>
          <w:tcPr>
            <w:tcW w:w="4001" w:type="dxa"/>
          </w:tcPr>
          <w:p w14:paraId="50EA363E" w14:textId="77777777" w:rsidR="002D0953" w:rsidRPr="00195C5E" w:rsidRDefault="002D0953" w:rsidP="00CF4E54">
            <w:pPr>
              <w:spacing w:before="120" w:after="120"/>
              <w:jc w:val="center"/>
              <w:rPr>
                <w:iCs/>
                <w:spacing w:val="-4"/>
                <w:sz w:val="26"/>
                <w:szCs w:val="26"/>
                <w:lang w:val="vi-VN"/>
              </w:rPr>
            </w:pPr>
            <w:r w:rsidRPr="00195C5E">
              <w:rPr>
                <w:iCs/>
                <w:spacing w:val="-4"/>
                <w:sz w:val="26"/>
                <w:szCs w:val="26"/>
                <w:lang w:val="vi-VN"/>
              </w:rPr>
              <w:t>Đảm bảo môi trường sạch và an toàn cho Bệnh viện</w:t>
            </w:r>
          </w:p>
        </w:tc>
      </w:tr>
    </w:tbl>
    <w:p w14:paraId="77AA96AB" w14:textId="77777777" w:rsidR="002D0953" w:rsidRPr="00195C5E" w:rsidRDefault="002D0953" w:rsidP="002D0953">
      <w:pPr>
        <w:spacing w:before="120" w:after="120"/>
        <w:ind w:firstLine="709"/>
        <w:rPr>
          <w:b/>
          <w:sz w:val="26"/>
          <w:szCs w:val="26"/>
          <w:lang w:val="vi-VN"/>
        </w:rPr>
      </w:pPr>
      <w:r w:rsidRPr="00195C5E">
        <w:rPr>
          <w:b/>
          <w:sz w:val="26"/>
          <w:szCs w:val="26"/>
          <w:lang w:val="vi-VN"/>
        </w:rPr>
        <w:t>3. Yêu cầu kỹ thuật của gói thầu: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5"/>
        <w:gridCol w:w="2321"/>
        <w:gridCol w:w="2325"/>
      </w:tblGrid>
      <w:tr w:rsidR="002D0953" w14:paraId="0951F974" w14:textId="77777777" w:rsidTr="00CF4E54">
        <w:trPr>
          <w:trHeight w:val="511"/>
        </w:trPr>
        <w:tc>
          <w:tcPr>
            <w:tcW w:w="709" w:type="dxa"/>
          </w:tcPr>
          <w:p w14:paraId="66631ED9" w14:textId="77777777" w:rsidR="002D0953" w:rsidRDefault="002D0953" w:rsidP="00CF4E54">
            <w:pPr>
              <w:rPr>
                <w:b/>
              </w:rPr>
            </w:pPr>
            <w:r>
              <w:rPr>
                <w:b/>
              </w:rPr>
              <w:t>TT</w:t>
            </w:r>
          </w:p>
        </w:tc>
        <w:tc>
          <w:tcPr>
            <w:tcW w:w="3825" w:type="dxa"/>
          </w:tcPr>
          <w:p w14:paraId="03A34713" w14:textId="77777777" w:rsidR="002D0953" w:rsidRDefault="002D0953" w:rsidP="00CF4E54">
            <w:pPr>
              <w:rPr>
                <w:b/>
              </w:rPr>
            </w:pPr>
            <w:r>
              <w:rPr>
                <w:b/>
              </w:rPr>
              <w:t>LOẠI CHẤT THẢI</w:t>
            </w:r>
          </w:p>
        </w:tc>
        <w:tc>
          <w:tcPr>
            <w:tcW w:w="2321" w:type="dxa"/>
          </w:tcPr>
          <w:p w14:paraId="29EA4805" w14:textId="77777777" w:rsidR="002D0953" w:rsidRDefault="002D0953" w:rsidP="00CF4E54">
            <w:pPr>
              <w:rPr>
                <w:b/>
              </w:rPr>
            </w:pPr>
            <w:r>
              <w:rPr>
                <w:b/>
              </w:rPr>
              <w:t>ĐƠN VỊ TÍNH</w:t>
            </w:r>
          </w:p>
        </w:tc>
        <w:tc>
          <w:tcPr>
            <w:tcW w:w="2325" w:type="dxa"/>
          </w:tcPr>
          <w:p w14:paraId="1BD9B06D" w14:textId="77777777" w:rsidR="002D0953" w:rsidRDefault="002D0953" w:rsidP="00CF4E54">
            <w:pPr>
              <w:rPr>
                <w:b/>
              </w:rPr>
            </w:pPr>
            <w:r>
              <w:rPr>
                <w:b/>
              </w:rPr>
              <w:t>SỐ LƯỢNG</w:t>
            </w:r>
          </w:p>
        </w:tc>
      </w:tr>
      <w:tr w:rsidR="002D0953" w14:paraId="3912CE21" w14:textId="77777777" w:rsidTr="00CF4E54">
        <w:tc>
          <w:tcPr>
            <w:tcW w:w="709" w:type="dxa"/>
            <w:vAlign w:val="center"/>
          </w:tcPr>
          <w:p w14:paraId="28DB7EEE" w14:textId="77777777" w:rsidR="002D0953" w:rsidRDefault="002D0953" w:rsidP="00CF4E54">
            <w:pPr>
              <w:jc w:val="center"/>
            </w:pPr>
            <w:r>
              <w:t>1</w:t>
            </w:r>
          </w:p>
        </w:tc>
        <w:tc>
          <w:tcPr>
            <w:tcW w:w="3825" w:type="dxa"/>
          </w:tcPr>
          <w:p w14:paraId="07A13540" w14:textId="77777777" w:rsidR="002D0953" w:rsidRDefault="002D0953" w:rsidP="00CF4E54">
            <w:r>
              <w:t>Chất thải nguy hại lây nhiễm (lây nhiễm sắc nhọn, lây nhiễm không sắc nhọn, lây nhiễm nguy cơ cao, chất thải giải phẫu)</w:t>
            </w:r>
          </w:p>
        </w:tc>
        <w:tc>
          <w:tcPr>
            <w:tcW w:w="2321" w:type="dxa"/>
            <w:vAlign w:val="center"/>
          </w:tcPr>
          <w:p w14:paraId="4E8481FC" w14:textId="77777777" w:rsidR="002D0953" w:rsidRDefault="002D0953" w:rsidP="00CF4E54">
            <w:pPr>
              <w:jc w:val="center"/>
            </w:pPr>
            <w:r>
              <w:t>Kg</w:t>
            </w:r>
          </w:p>
        </w:tc>
        <w:tc>
          <w:tcPr>
            <w:tcW w:w="2325" w:type="dxa"/>
            <w:vAlign w:val="center"/>
          </w:tcPr>
          <w:p w14:paraId="4C7B810E" w14:textId="77777777" w:rsidR="002D0953" w:rsidRDefault="002D0953" w:rsidP="00CF4E54">
            <w:pPr>
              <w:jc w:val="center"/>
            </w:pPr>
            <w:r>
              <w:t>210.000</w:t>
            </w:r>
          </w:p>
        </w:tc>
      </w:tr>
      <w:tr w:rsidR="002D0953" w14:paraId="3AF839A9" w14:textId="77777777" w:rsidTr="00CF4E54">
        <w:tc>
          <w:tcPr>
            <w:tcW w:w="709" w:type="dxa"/>
            <w:vAlign w:val="center"/>
          </w:tcPr>
          <w:p w14:paraId="217A8BE0" w14:textId="77777777" w:rsidR="002D0953" w:rsidRDefault="002D0953" w:rsidP="00CF4E54">
            <w:pPr>
              <w:jc w:val="center"/>
            </w:pPr>
            <w:r>
              <w:t>2</w:t>
            </w:r>
          </w:p>
        </w:tc>
        <w:tc>
          <w:tcPr>
            <w:tcW w:w="3825" w:type="dxa"/>
          </w:tcPr>
          <w:p w14:paraId="7554D994" w14:textId="77777777" w:rsidR="002D0953" w:rsidRDefault="002D0953" w:rsidP="00CF4E54">
            <w:r>
              <w:t>Chất thải nguy hại không lây nhiễm (Bóng đèn huỳnh quang, hóa chất, dược phẩm thải bỏ, vỏ lọ đựng thuốc, hóa chất, thiết bị y tế vỡ hỏng thải bỏ có thành phần nguy hại)</w:t>
            </w:r>
          </w:p>
        </w:tc>
        <w:tc>
          <w:tcPr>
            <w:tcW w:w="2321" w:type="dxa"/>
            <w:vAlign w:val="center"/>
          </w:tcPr>
          <w:p w14:paraId="532BEE5D" w14:textId="77777777" w:rsidR="002D0953" w:rsidRDefault="002D0953" w:rsidP="00CF4E54">
            <w:pPr>
              <w:jc w:val="center"/>
            </w:pPr>
            <w:r>
              <w:t>Kg</w:t>
            </w:r>
          </w:p>
        </w:tc>
        <w:tc>
          <w:tcPr>
            <w:tcW w:w="2325" w:type="dxa"/>
            <w:vAlign w:val="center"/>
          </w:tcPr>
          <w:p w14:paraId="57643954" w14:textId="77777777" w:rsidR="002D0953" w:rsidRDefault="002D0953" w:rsidP="00CF4E54">
            <w:pPr>
              <w:jc w:val="center"/>
            </w:pPr>
            <w:r>
              <w:t>4.000</w:t>
            </w:r>
          </w:p>
        </w:tc>
      </w:tr>
      <w:tr w:rsidR="002D0953" w14:paraId="53A031E5" w14:textId="77777777" w:rsidTr="00CF4E54">
        <w:tc>
          <w:tcPr>
            <w:tcW w:w="709" w:type="dxa"/>
            <w:vAlign w:val="center"/>
          </w:tcPr>
          <w:p w14:paraId="5FC8E2AE" w14:textId="77777777" w:rsidR="002D0953" w:rsidRDefault="002D0953" w:rsidP="00CF4E54">
            <w:pPr>
              <w:jc w:val="center"/>
            </w:pPr>
            <w:r>
              <w:t>3</w:t>
            </w:r>
          </w:p>
        </w:tc>
        <w:tc>
          <w:tcPr>
            <w:tcW w:w="3825" w:type="dxa"/>
          </w:tcPr>
          <w:p w14:paraId="38AD28B2" w14:textId="77777777" w:rsidR="002D0953" w:rsidRDefault="002D0953" w:rsidP="00CF4E54">
            <w:r>
              <w:t>Bùn thải của hệ thống xử lý nước thải Bệnh viện</w:t>
            </w:r>
          </w:p>
        </w:tc>
        <w:tc>
          <w:tcPr>
            <w:tcW w:w="2321" w:type="dxa"/>
            <w:vAlign w:val="center"/>
          </w:tcPr>
          <w:p w14:paraId="65FEF553" w14:textId="77777777" w:rsidR="002D0953" w:rsidRDefault="002D0953" w:rsidP="00CF4E54">
            <w:pPr>
              <w:jc w:val="center"/>
            </w:pPr>
            <w:r>
              <w:t>Kg</w:t>
            </w:r>
          </w:p>
        </w:tc>
        <w:tc>
          <w:tcPr>
            <w:tcW w:w="2325" w:type="dxa"/>
            <w:vAlign w:val="center"/>
          </w:tcPr>
          <w:p w14:paraId="011667FE" w14:textId="77777777" w:rsidR="002D0953" w:rsidRDefault="002D0953" w:rsidP="00CF4E54">
            <w:pPr>
              <w:jc w:val="center"/>
            </w:pPr>
            <w:r>
              <w:t>200.000</w:t>
            </w:r>
          </w:p>
        </w:tc>
      </w:tr>
    </w:tbl>
    <w:p w14:paraId="43A707FE" w14:textId="77777777" w:rsidR="002D0953" w:rsidRPr="00195C5E" w:rsidRDefault="002D0953" w:rsidP="002D0953">
      <w:pPr>
        <w:spacing w:before="120" w:after="120"/>
        <w:ind w:firstLine="709"/>
        <w:rPr>
          <w:b/>
          <w:sz w:val="26"/>
          <w:szCs w:val="26"/>
        </w:rPr>
      </w:pPr>
      <w:r w:rsidRPr="00195C5E">
        <w:rPr>
          <w:b/>
          <w:sz w:val="26"/>
          <w:szCs w:val="26"/>
        </w:rPr>
        <w:t>4. Giải pháp và phương pháp luận:</w:t>
      </w:r>
    </w:p>
    <w:p w14:paraId="79EA6C7E" w14:textId="77777777" w:rsidR="002D0953" w:rsidRPr="00195C5E" w:rsidRDefault="002D0953" w:rsidP="002D0953">
      <w:pPr>
        <w:spacing w:before="120" w:after="120"/>
        <w:ind w:firstLine="709"/>
        <w:rPr>
          <w:i/>
          <w:spacing w:val="-2"/>
          <w:sz w:val="26"/>
          <w:szCs w:val="26"/>
        </w:rPr>
      </w:pPr>
      <w:r w:rsidRPr="00195C5E">
        <w:rPr>
          <w:i/>
          <w:spacing w:val="-2"/>
          <w:sz w:val="26"/>
          <w:szCs w:val="26"/>
        </w:rPr>
        <w:t xml:space="preserve">Nhà thầu chuẩn bị đề xuất giải pháp, phương pháp luận tổng quát thực hiện dịch vụ theo các nội dung quy định tại Chương này, gồm các phần như sau: </w:t>
      </w:r>
    </w:p>
    <w:p w14:paraId="31511A15" w14:textId="77777777" w:rsidR="002D0953" w:rsidRPr="00195C5E" w:rsidRDefault="002D0953" w:rsidP="002D0953">
      <w:pPr>
        <w:spacing w:before="120" w:after="120"/>
        <w:ind w:firstLine="709"/>
        <w:rPr>
          <w:i/>
          <w:spacing w:val="-2"/>
          <w:sz w:val="26"/>
          <w:szCs w:val="26"/>
        </w:rPr>
      </w:pPr>
      <w:r w:rsidRPr="00195C5E">
        <w:rPr>
          <w:i/>
          <w:spacing w:val="-2"/>
          <w:sz w:val="26"/>
          <w:szCs w:val="26"/>
        </w:rPr>
        <w:t xml:space="preserve">1. Giải pháp và phương pháp </w:t>
      </w:r>
      <w:proofErr w:type="gramStart"/>
      <w:r w:rsidRPr="00195C5E">
        <w:rPr>
          <w:i/>
          <w:spacing w:val="-2"/>
          <w:sz w:val="26"/>
          <w:szCs w:val="26"/>
        </w:rPr>
        <w:t>luận;</w:t>
      </w:r>
      <w:proofErr w:type="gramEnd"/>
    </w:p>
    <w:p w14:paraId="0F62584C" w14:textId="27A36220" w:rsidR="002D0953" w:rsidRPr="00195C5E" w:rsidRDefault="002D0953" w:rsidP="002D0953">
      <w:pPr>
        <w:spacing w:before="120" w:after="120"/>
        <w:ind w:firstLine="709"/>
        <w:rPr>
          <w:i/>
          <w:spacing w:val="-2"/>
          <w:sz w:val="26"/>
          <w:szCs w:val="26"/>
        </w:rPr>
      </w:pPr>
      <w:r w:rsidRPr="00195C5E">
        <w:rPr>
          <w:i/>
          <w:spacing w:val="-2"/>
          <w:sz w:val="26"/>
          <w:szCs w:val="26"/>
        </w:rPr>
        <w:lastRenderedPageBreak/>
        <w:t>2.  Kế hoạch công.</w:t>
      </w:r>
    </w:p>
    <w:p w14:paraId="4AE205B8" w14:textId="77777777" w:rsidR="002D0953" w:rsidRPr="006C72D7" w:rsidRDefault="002D0953" w:rsidP="002D0953">
      <w:pPr>
        <w:spacing w:before="161"/>
        <w:ind w:firstLine="401"/>
        <w:rPr>
          <w:color w:val="000000" w:themeColor="text1"/>
          <w:sz w:val="28"/>
          <w:szCs w:val="28"/>
        </w:rPr>
      </w:pPr>
      <w:r w:rsidRPr="006C72D7">
        <w:rPr>
          <w:color w:val="000000" w:themeColor="text1"/>
          <w:sz w:val="28"/>
          <w:szCs w:val="28"/>
        </w:rPr>
        <w:t>-</w:t>
      </w:r>
      <w:r w:rsidRPr="006C72D7">
        <w:rPr>
          <w:color w:val="000000" w:themeColor="text1"/>
          <w:spacing w:val="5"/>
          <w:sz w:val="28"/>
          <w:szCs w:val="28"/>
        </w:rPr>
        <w:t xml:space="preserve"> </w:t>
      </w:r>
      <w:r w:rsidRPr="006C72D7">
        <w:rPr>
          <w:color w:val="000000" w:themeColor="text1"/>
          <w:sz w:val="28"/>
          <w:szCs w:val="28"/>
        </w:rPr>
        <w:t>Chi</w:t>
      </w:r>
      <w:r w:rsidRPr="006C72D7">
        <w:rPr>
          <w:color w:val="000000" w:themeColor="text1"/>
          <w:spacing w:val="7"/>
          <w:sz w:val="28"/>
          <w:szCs w:val="28"/>
        </w:rPr>
        <w:t xml:space="preserve"> </w:t>
      </w:r>
      <w:r w:rsidRPr="006C72D7">
        <w:rPr>
          <w:color w:val="000000" w:themeColor="text1"/>
          <w:sz w:val="28"/>
          <w:szCs w:val="28"/>
        </w:rPr>
        <w:t>tiết</w:t>
      </w:r>
      <w:r w:rsidRPr="006C72D7">
        <w:rPr>
          <w:color w:val="000000" w:themeColor="text1"/>
          <w:spacing w:val="5"/>
          <w:sz w:val="28"/>
          <w:szCs w:val="28"/>
        </w:rPr>
        <w:t xml:space="preserve"> </w:t>
      </w:r>
      <w:r w:rsidRPr="006C72D7">
        <w:rPr>
          <w:color w:val="000000" w:themeColor="text1"/>
          <w:sz w:val="28"/>
          <w:szCs w:val="28"/>
        </w:rPr>
        <w:t>quy</w:t>
      </w:r>
      <w:r w:rsidRPr="006C72D7">
        <w:rPr>
          <w:color w:val="000000" w:themeColor="text1"/>
          <w:spacing w:val="3"/>
          <w:sz w:val="28"/>
          <w:szCs w:val="28"/>
        </w:rPr>
        <w:t xml:space="preserve"> </w:t>
      </w:r>
      <w:r w:rsidRPr="006C72D7">
        <w:rPr>
          <w:color w:val="000000" w:themeColor="text1"/>
          <w:sz w:val="28"/>
          <w:szCs w:val="28"/>
        </w:rPr>
        <w:t>định</w:t>
      </w:r>
      <w:r w:rsidRPr="006C72D7">
        <w:rPr>
          <w:color w:val="000000" w:themeColor="text1"/>
          <w:spacing w:val="6"/>
          <w:sz w:val="28"/>
          <w:szCs w:val="28"/>
        </w:rPr>
        <w:t xml:space="preserve"> </w:t>
      </w:r>
      <w:r w:rsidRPr="006C72D7">
        <w:rPr>
          <w:color w:val="000000" w:themeColor="text1"/>
          <w:sz w:val="28"/>
          <w:szCs w:val="28"/>
        </w:rPr>
        <w:t>trong</w:t>
      </w:r>
      <w:r w:rsidRPr="006C72D7">
        <w:rPr>
          <w:color w:val="000000" w:themeColor="text1"/>
          <w:spacing w:val="6"/>
          <w:sz w:val="28"/>
          <w:szCs w:val="28"/>
        </w:rPr>
        <w:t xml:space="preserve"> </w:t>
      </w:r>
      <w:r w:rsidRPr="006C72D7">
        <w:rPr>
          <w:color w:val="000000" w:themeColor="text1"/>
          <w:sz w:val="28"/>
          <w:szCs w:val="28"/>
        </w:rPr>
        <w:t>quá</w:t>
      </w:r>
      <w:r w:rsidRPr="006C72D7">
        <w:rPr>
          <w:color w:val="000000" w:themeColor="text1"/>
          <w:spacing w:val="8"/>
          <w:sz w:val="28"/>
          <w:szCs w:val="28"/>
        </w:rPr>
        <w:t xml:space="preserve"> </w:t>
      </w:r>
      <w:r w:rsidRPr="006C72D7">
        <w:rPr>
          <w:color w:val="000000" w:themeColor="text1"/>
          <w:sz w:val="28"/>
          <w:szCs w:val="28"/>
        </w:rPr>
        <w:t>trình</w:t>
      </w:r>
      <w:r w:rsidRPr="006C72D7">
        <w:rPr>
          <w:color w:val="000000" w:themeColor="text1"/>
          <w:spacing w:val="9"/>
          <w:sz w:val="28"/>
          <w:szCs w:val="28"/>
        </w:rPr>
        <w:t xml:space="preserve"> </w:t>
      </w:r>
      <w:r w:rsidRPr="006C72D7">
        <w:rPr>
          <w:color w:val="000000" w:themeColor="text1"/>
          <w:sz w:val="28"/>
          <w:szCs w:val="28"/>
        </w:rPr>
        <w:t>Hoàn thiện</w:t>
      </w:r>
      <w:r w:rsidRPr="006C72D7">
        <w:rPr>
          <w:color w:val="000000" w:themeColor="text1"/>
          <w:spacing w:val="11"/>
          <w:sz w:val="28"/>
          <w:szCs w:val="28"/>
        </w:rPr>
        <w:t xml:space="preserve"> </w:t>
      </w:r>
      <w:r w:rsidRPr="006C72D7">
        <w:rPr>
          <w:color w:val="000000" w:themeColor="text1"/>
          <w:sz w:val="28"/>
          <w:szCs w:val="28"/>
        </w:rPr>
        <w:t>Hợp</w:t>
      </w:r>
      <w:r w:rsidRPr="006C72D7">
        <w:rPr>
          <w:color w:val="000000" w:themeColor="text1"/>
          <w:spacing w:val="6"/>
          <w:sz w:val="28"/>
          <w:szCs w:val="28"/>
        </w:rPr>
        <w:t xml:space="preserve"> </w:t>
      </w:r>
      <w:r w:rsidRPr="006C72D7">
        <w:rPr>
          <w:color w:val="000000" w:themeColor="text1"/>
          <w:sz w:val="28"/>
          <w:szCs w:val="28"/>
        </w:rPr>
        <w:t>Đồng.</w:t>
      </w:r>
    </w:p>
    <w:p w14:paraId="5C0240D4" w14:textId="77777777" w:rsidR="00556C06" w:rsidRDefault="00556C06"/>
    <w:sectPr w:rsidR="00556C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53"/>
    <w:rsid w:val="0016282A"/>
    <w:rsid w:val="001A5BC2"/>
    <w:rsid w:val="002D0953"/>
    <w:rsid w:val="00515360"/>
    <w:rsid w:val="00556C06"/>
    <w:rsid w:val="005A7ED6"/>
    <w:rsid w:val="00AD51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6911"/>
  <w15:chartTrackingRefBased/>
  <w15:docId w15:val="{0F1D0DD6-FFBB-6A48-8362-708D401B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953"/>
    <w:pPr>
      <w:jc w:val="both"/>
    </w:pPr>
    <w:rPr>
      <w:rFonts w:ascii="Times New Roman" w:eastAsia="Times New Roman" w:hAnsi="Times New Roman" w:cs="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
    <w:name w:val="01"/>
    <w:basedOn w:val="Normal"/>
    <w:qFormat/>
    <w:rsid w:val="002D0953"/>
    <w:pPr>
      <w:widowControl w:val="0"/>
      <w:spacing w:before="120" w:after="120" w:line="264" w:lineRule="auto"/>
      <w:jc w:val="center"/>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ketoan</cp:lastModifiedBy>
  <cp:revision>2</cp:revision>
  <dcterms:created xsi:type="dcterms:W3CDTF">2025-11-25T08:48:00Z</dcterms:created>
  <dcterms:modified xsi:type="dcterms:W3CDTF">2025-11-25T08:48:00Z</dcterms:modified>
</cp:coreProperties>
</file>