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347" w:rsidRPr="002A2302" w:rsidRDefault="000D0347" w:rsidP="000D0347">
      <w:pPr>
        <w:pStyle w:val="Heading1"/>
        <w:shd w:val="clear" w:color="auto" w:fill="FFFFFF"/>
        <w:spacing w:before="0"/>
        <w:jc w:val="center"/>
        <w:rPr>
          <w:rFonts w:ascii="Times New Roman" w:hAnsi="Times New Roman" w:cs="Times New Roman"/>
          <w:b/>
          <w:color w:val="auto"/>
          <w:spacing w:val="-10"/>
          <w:sz w:val="28"/>
          <w:szCs w:val="28"/>
          <w:lang w:val="es-ES"/>
        </w:rPr>
      </w:pPr>
      <w:bookmarkStart w:id="0" w:name="_Toc154510932"/>
      <w:r w:rsidRPr="002A2302">
        <w:rPr>
          <w:rFonts w:ascii="Times New Roman" w:hAnsi="Times New Roman" w:cs="Times New Roman"/>
          <w:b/>
          <w:color w:val="auto"/>
          <w:spacing w:val="-10"/>
          <w:sz w:val="28"/>
          <w:szCs w:val="28"/>
          <w:lang w:val="it-IT"/>
        </w:rPr>
        <w:t xml:space="preserve">PHẦN 2. ĐIỀU </w:t>
      </w:r>
      <w:r w:rsidRPr="002A2302">
        <w:rPr>
          <w:rFonts w:ascii="Times New Roman" w:hAnsi="Times New Roman" w:cs="Times New Roman"/>
          <w:b/>
          <w:color w:val="auto"/>
          <w:spacing w:val="-10"/>
          <w:sz w:val="28"/>
          <w:szCs w:val="28"/>
          <w:lang w:val="es-ES"/>
        </w:rPr>
        <w:t>KHOẢN THAM CHIẾU</w:t>
      </w:r>
      <w:bookmarkEnd w:id="0"/>
    </w:p>
    <w:p w:rsidR="000D0347" w:rsidRPr="002A2302" w:rsidRDefault="000D0347" w:rsidP="000D0347">
      <w:pPr>
        <w:pStyle w:val="Heading1"/>
        <w:shd w:val="clear" w:color="auto" w:fill="FFFFFF"/>
        <w:spacing w:before="0"/>
        <w:jc w:val="center"/>
        <w:rPr>
          <w:rFonts w:ascii="Times New Roman" w:hAnsi="Times New Roman" w:cs="Times New Roman"/>
          <w:b/>
          <w:color w:val="auto"/>
          <w:spacing w:val="-10"/>
          <w:sz w:val="28"/>
          <w:szCs w:val="28"/>
          <w:lang w:val="es-ES"/>
        </w:rPr>
      </w:pPr>
      <w:bookmarkStart w:id="1" w:name="_Toc154510933"/>
      <w:r w:rsidRPr="002A2302">
        <w:rPr>
          <w:rFonts w:ascii="Times New Roman" w:hAnsi="Times New Roman" w:cs="Times New Roman"/>
          <w:b/>
          <w:color w:val="auto"/>
          <w:spacing w:val="-10"/>
          <w:sz w:val="28"/>
          <w:szCs w:val="28"/>
          <w:lang w:val="es-ES"/>
        </w:rPr>
        <w:t>CHƯƠNG V. ĐIỀU KHOẢN THAM CHIẾU</w:t>
      </w:r>
      <w:bookmarkEnd w:id="1"/>
    </w:p>
    <w:p w:rsidR="000D0347" w:rsidRPr="002A2302" w:rsidRDefault="000D0347" w:rsidP="000D0347">
      <w:pPr>
        <w:shd w:val="clear" w:color="auto" w:fill="FFFFFF"/>
        <w:ind w:firstLine="720"/>
        <w:jc w:val="center"/>
        <w:rPr>
          <w:b/>
          <w:bCs/>
          <w:i/>
          <w:iCs/>
          <w:spacing w:val="-10"/>
          <w:sz w:val="28"/>
          <w:szCs w:val="28"/>
          <w:lang w:val="it-IT"/>
        </w:rPr>
      </w:pPr>
    </w:p>
    <w:p w:rsidR="000D0347" w:rsidRPr="002A2302" w:rsidRDefault="000D0347" w:rsidP="00EC4C10">
      <w:pPr>
        <w:shd w:val="clear" w:color="auto" w:fill="FFFFFF"/>
        <w:spacing w:before="40" w:after="40"/>
        <w:ind w:firstLine="720"/>
        <w:rPr>
          <w:bCs/>
          <w:i/>
          <w:iCs/>
          <w:spacing w:val="-10"/>
          <w:sz w:val="28"/>
          <w:szCs w:val="28"/>
          <w:lang w:val="it-IT"/>
        </w:rPr>
      </w:pPr>
      <w:r w:rsidRPr="002A2302">
        <w:rPr>
          <w:bCs/>
          <w:i/>
          <w:iCs/>
          <w:spacing w:val="-10"/>
          <w:sz w:val="28"/>
          <w:szCs w:val="28"/>
          <w:lang w:val="it-IT"/>
        </w:rPr>
        <w:t>“Điều khoản tham chiếu" bao gồm những nội dung chủ yếu sau:</w:t>
      </w:r>
    </w:p>
    <w:p w:rsidR="000D0347" w:rsidRPr="002A2302" w:rsidRDefault="000D0347" w:rsidP="00EC4C10">
      <w:pPr>
        <w:spacing w:before="40" w:after="40"/>
        <w:ind w:firstLine="720"/>
        <w:rPr>
          <w:b/>
          <w:spacing w:val="-10"/>
          <w:sz w:val="28"/>
          <w:szCs w:val="28"/>
          <w:lang w:val="it-IT"/>
        </w:rPr>
      </w:pPr>
      <w:r w:rsidRPr="002A2302">
        <w:rPr>
          <w:b/>
          <w:spacing w:val="-10"/>
          <w:sz w:val="28"/>
          <w:szCs w:val="28"/>
          <w:lang w:val="it-IT"/>
        </w:rPr>
        <w:t>I. Giới thiệu</w:t>
      </w:r>
    </w:p>
    <w:p w:rsidR="000D0347" w:rsidRPr="002A2302" w:rsidRDefault="000D0347" w:rsidP="00EC4C10">
      <w:pPr>
        <w:spacing w:before="40" w:after="40"/>
        <w:ind w:firstLine="720"/>
        <w:rPr>
          <w:b/>
          <w:spacing w:val="-10"/>
          <w:sz w:val="28"/>
          <w:szCs w:val="28"/>
          <w:lang w:val="it-IT"/>
        </w:rPr>
      </w:pPr>
      <w:r w:rsidRPr="002A2302">
        <w:rPr>
          <w:b/>
          <w:spacing w:val="-10"/>
          <w:sz w:val="28"/>
          <w:szCs w:val="28"/>
          <w:lang w:val="it-IT"/>
        </w:rPr>
        <w:t>I.1. Mô tả khái quát về dự án và gói thầu</w:t>
      </w:r>
    </w:p>
    <w:p w:rsidR="000D0347" w:rsidRPr="002A2302" w:rsidRDefault="000D0347" w:rsidP="00EC4C10">
      <w:pPr>
        <w:spacing w:before="40" w:after="40"/>
        <w:ind w:firstLine="720"/>
        <w:rPr>
          <w:b/>
          <w:i/>
          <w:spacing w:val="-10"/>
          <w:sz w:val="28"/>
          <w:szCs w:val="28"/>
          <w:lang w:val="it-IT"/>
        </w:rPr>
      </w:pPr>
      <w:r w:rsidRPr="002A2302">
        <w:rPr>
          <w:b/>
          <w:i/>
          <w:spacing w:val="-10"/>
          <w:sz w:val="28"/>
          <w:szCs w:val="28"/>
          <w:lang w:val="it-IT"/>
        </w:rPr>
        <w:t>I.1.1. Mô tả khái quát về dự án:</w:t>
      </w:r>
    </w:p>
    <w:p w:rsidR="00961987" w:rsidRPr="002A2302" w:rsidRDefault="00961987" w:rsidP="00EC4C10">
      <w:pPr>
        <w:spacing w:before="40" w:after="40"/>
        <w:ind w:firstLine="709"/>
        <w:rPr>
          <w:sz w:val="28"/>
          <w:szCs w:val="28"/>
          <w:lang w:val="pt-BR"/>
        </w:rPr>
      </w:pPr>
      <w:r w:rsidRPr="002A2302">
        <w:rPr>
          <w:sz w:val="28"/>
          <w:szCs w:val="28"/>
          <w:lang w:val="pt-BR"/>
        </w:rPr>
        <w:t>1.1 Tên dự án: Đầu tư thiết bị hầm bơm và trạm điện mức -400 - Công ty cổ phần than Mông Dương</w:t>
      </w:r>
    </w:p>
    <w:p w:rsidR="00961987" w:rsidRPr="002A2302" w:rsidRDefault="00961987" w:rsidP="00EC4C10">
      <w:pPr>
        <w:tabs>
          <w:tab w:val="left" w:pos="1134"/>
        </w:tabs>
        <w:spacing w:before="40" w:after="40"/>
        <w:ind w:firstLine="709"/>
        <w:rPr>
          <w:sz w:val="28"/>
          <w:szCs w:val="28"/>
          <w:lang w:val="pl-PL"/>
        </w:rPr>
      </w:pPr>
      <w:r w:rsidRPr="002A2302">
        <w:rPr>
          <w:bCs/>
          <w:sz w:val="28"/>
          <w:szCs w:val="28"/>
          <w:lang w:val="pt-BR"/>
        </w:rPr>
        <w:t>1.2</w:t>
      </w:r>
      <w:r w:rsidRPr="002A2302">
        <w:rPr>
          <w:bCs/>
          <w:sz w:val="28"/>
          <w:szCs w:val="28"/>
          <w:lang w:val="vi-VN"/>
        </w:rPr>
        <w:t xml:space="preserve">. Địa điểm </w:t>
      </w:r>
      <w:r w:rsidRPr="002A2302">
        <w:rPr>
          <w:bCs/>
          <w:sz w:val="28"/>
          <w:szCs w:val="28"/>
          <w:lang w:val="pl-PL"/>
        </w:rPr>
        <w:t>xây dựng</w:t>
      </w:r>
      <w:r w:rsidRPr="002A2302">
        <w:rPr>
          <w:bCs/>
          <w:sz w:val="28"/>
          <w:szCs w:val="28"/>
          <w:lang w:val="vi-VN"/>
        </w:rPr>
        <w:t>:</w:t>
      </w:r>
      <w:r w:rsidRPr="002A2302">
        <w:rPr>
          <w:sz w:val="28"/>
          <w:szCs w:val="28"/>
          <w:lang w:val="pl-PL"/>
        </w:rPr>
        <w:t xml:space="preserve"> </w:t>
      </w:r>
      <w:r w:rsidRPr="002A2302">
        <w:rPr>
          <w:sz w:val="28"/>
          <w:szCs w:val="28"/>
          <w:lang w:val="pt-BR"/>
        </w:rPr>
        <w:t>Phường Mông Dương, tỉnh Quảng Ninh.</w:t>
      </w:r>
    </w:p>
    <w:p w:rsidR="00961987" w:rsidRPr="002A2302" w:rsidRDefault="00961987" w:rsidP="00EC4C10">
      <w:pPr>
        <w:widowControl w:val="0"/>
        <w:tabs>
          <w:tab w:val="left" w:pos="1134"/>
        </w:tabs>
        <w:spacing w:before="40" w:after="40"/>
        <w:ind w:firstLine="709"/>
        <w:rPr>
          <w:bCs/>
          <w:sz w:val="28"/>
          <w:szCs w:val="28"/>
          <w:lang w:val="pt-BR"/>
        </w:rPr>
      </w:pPr>
      <w:r w:rsidRPr="002A2302">
        <w:rPr>
          <w:sz w:val="28"/>
          <w:szCs w:val="28"/>
          <w:lang w:val="pt-BR"/>
        </w:rPr>
        <w:t>1.3. Người quyết định đầu tư: Giám đốc Công ty Cổ phần Than Mông Dương - Vinacomin</w:t>
      </w:r>
    </w:p>
    <w:p w:rsidR="00961987" w:rsidRPr="002A2302" w:rsidRDefault="00961987" w:rsidP="00EC4C10">
      <w:pPr>
        <w:tabs>
          <w:tab w:val="left" w:pos="1134"/>
        </w:tabs>
        <w:spacing w:before="40" w:after="40"/>
        <w:ind w:firstLine="709"/>
        <w:rPr>
          <w:bCs/>
          <w:sz w:val="28"/>
          <w:szCs w:val="28"/>
          <w:lang w:val="vi-VN"/>
        </w:rPr>
      </w:pPr>
      <w:r w:rsidRPr="002A2302">
        <w:rPr>
          <w:bCs/>
          <w:sz w:val="28"/>
          <w:szCs w:val="28"/>
          <w:lang w:val="pt-BR"/>
        </w:rPr>
        <w:t>1.4</w:t>
      </w:r>
      <w:r w:rsidRPr="002A2302">
        <w:rPr>
          <w:bCs/>
          <w:sz w:val="28"/>
          <w:szCs w:val="28"/>
          <w:lang w:val="vi-VN"/>
        </w:rPr>
        <w:t xml:space="preserve">. Chủ đầu tư: </w:t>
      </w:r>
      <w:r w:rsidRPr="002A2302">
        <w:rPr>
          <w:sz w:val="28"/>
          <w:szCs w:val="28"/>
          <w:lang w:val="pt-BR"/>
        </w:rPr>
        <w:t>Công ty Cổ phần Than Mông Dương - Vinacomin.</w:t>
      </w:r>
    </w:p>
    <w:p w:rsidR="00961987" w:rsidRPr="002A2302" w:rsidRDefault="00961987" w:rsidP="00EC4C10">
      <w:pPr>
        <w:widowControl w:val="0"/>
        <w:tabs>
          <w:tab w:val="left" w:pos="1134"/>
        </w:tabs>
        <w:spacing w:before="40" w:after="40"/>
        <w:ind w:firstLine="709"/>
        <w:rPr>
          <w:bCs/>
          <w:sz w:val="28"/>
          <w:szCs w:val="28"/>
          <w:lang w:val="pt-BR"/>
        </w:rPr>
      </w:pPr>
      <w:r w:rsidRPr="002A2302">
        <w:rPr>
          <w:bCs/>
          <w:sz w:val="28"/>
          <w:szCs w:val="28"/>
          <w:lang w:val="nl-NL"/>
        </w:rPr>
        <w:t>1.5</w:t>
      </w:r>
      <w:r w:rsidRPr="002A2302">
        <w:rPr>
          <w:bCs/>
          <w:sz w:val="28"/>
          <w:szCs w:val="28"/>
          <w:lang w:val="vi-VN"/>
        </w:rPr>
        <w:t xml:space="preserve">. </w:t>
      </w:r>
      <w:r w:rsidRPr="002A2302">
        <w:rPr>
          <w:bCs/>
          <w:sz w:val="28"/>
          <w:szCs w:val="28"/>
          <w:lang w:val="pt-BR"/>
        </w:rPr>
        <w:t>Loại, nhóm</w:t>
      </w:r>
      <w:r w:rsidRPr="002A2302">
        <w:rPr>
          <w:bCs/>
          <w:sz w:val="28"/>
          <w:szCs w:val="28"/>
          <w:lang w:val="vi-VN"/>
        </w:rPr>
        <w:t xml:space="preserve"> dự án</w:t>
      </w:r>
      <w:r w:rsidRPr="002A2302">
        <w:rPr>
          <w:bCs/>
          <w:sz w:val="28"/>
          <w:szCs w:val="28"/>
          <w:lang w:val="nl-NL"/>
        </w:rPr>
        <w:t>, cấp công trình</w:t>
      </w:r>
      <w:r w:rsidRPr="002A2302">
        <w:rPr>
          <w:bCs/>
          <w:sz w:val="28"/>
          <w:szCs w:val="28"/>
          <w:lang w:val="vi-VN"/>
        </w:rPr>
        <w:t>:</w:t>
      </w:r>
    </w:p>
    <w:p w:rsidR="00961987" w:rsidRPr="002A2302" w:rsidRDefault="00961987" w:rsidP="00EC4C10">
      <w:pPr>
        <w:widowControl w:val="0"/>
        <w:tabs>
          <w:tab w:val="left" w:pos="1134"/>
        </w:tabs>
        <w:spacing w:before="40" w:after="40"/>
        <w:ind w:firstLine="709"/>
        <w:rPr>
          <w:bCs/>
          <w:sz w:val="28"/>
          <w:szCs w:val="28"/>
          <w:lang w:val="pl-PL"/>
        </w:rPr>
      </w:pPr>
      <w:r w:rsidRPr="002A2302">
        <w:rPr>
          <w:bCs/>
          <w:sz w:val="28"/>
          <w:szCs w:val="28"/>
          <w:lang w:val="pl-PL"/>
        </w:rPr>
        <w:t xml:space="preserve">- Loại: </w:t>
      </w:r>
      <w:r w:rsidRPr="002A2302">
        <w:rPr>
          <w:sz w:val="28"/>
          <w:szCs w:val="28"/>
          <w:lang w:val="pt-BR"/>
        </w:rPr>
        <w:t>Công trình Công nghiệp.</w:t>
      </w:r>
    </w:p>
    <w:p w:rsidR="00961987" w:rsidRPr="002A2302" w:rsidRDefault="00961987" w:rsidP="00EC4C10">
      <w:pPr>
        <w:widowControl w:val="0"/>
        <w:tabs>
          <w:tab w:val="left" w:pos="1134"/>
        </w:tabs>
        <w:spacing w:before="40" w:after="40"/>
        <w:ind w:firstLine="709"/>
        <w:rPr>
          <w:bCs/>
          <w:spacing w:val="-4"/>
          <w:sz w:val="28"/>
          <w:szCs w:val="28"/>
          <w:lang w:val="pl-PL"/>
        </w:rPr>
      </w:pPr>
      <w:r w:rsidRPr="002A2302">
        <w:rPr>
          <w:bCs/>
          <w:spacing w:val="-4"/>
          <w:sz w:val="28"/>
          <w:szCs w:val="28"/>
          <w:lang w:val="pl-PL"/>
        </w:rPr>
        <w:t xml:space="preserve">- Nhóm dự án: </w:t>
      </w:r>
      <w:r w:rsidRPr="002A2302">
        <w:rPr>
          <w:spacing w:val="-4"/>
          <w:sz w:val="28"/>
          <w:szCs w:val="28"/>
          <w:lang w:val="pl-PL"/>
        </w:rPr>
        <w:t xml:space="preserve">Nhóm C </w:t>
      </w:r>
      <w:r w:rsidRPr="002A2302">
        <w:rPr>
          <w:sz w:val="28"/>
          <w:szCs w:val="28"/>
          <w:lang w:val="pt-BR"/>
        </w:rPr>
        <w:t>(Căn cứ Điều 11 Luật đầu tư công ngày 29/11/2024)</w:t>
      </w:r>
    </w:p>
    <w:p w:rsidR="00961987" w:rsidRPr="002A2302" w:rsidRDefault="00961987" w:rsidP="00EC4C10">
      <w:pPr>
        <w:spacing w:before="40" w:after="40"/>
        <w:ind w:firstLine="709"/>
        <w:rPr>
          <w:sz w:val="28"/>
          <w:szCs w:val="28"/>
          <w:lang w:val="vi-VN" w:eastAsia="ja-JP"/>
        </w:rPr>
      </w:pPr>
      <w:r w:rsidRPr="002A2302">
        <w:rPr>
          <w:sz w:val="28"/>
          <w:szCs w:val="28"/>
          <w:lang w:val="pl-PL" w:eastAsia="ja-JP"/>
        </w:rPr>
        <w:t>1.6</w:t>
      </w:r>
      <w:r w:rsidRPr="002A2302">
        <w:rPr>
          <w:sz w:val="28"/>
          <w:szCs w:val="28"/>
          <w:lang w:val="vi-VN" w:eastAsia="ja-JP"/>
        </w:rPr>
        <w:t xml:space="preserve">. Mục tiêu, quy mô đầu tư xây dựng: </w:t>
      </w:r>
    </w:p>
    <w:p w:rsidR="00961987" w:rsidRPr="002A2302" w:rsidRDefault="00961987" w:rsidP="00EC4C10">
      <w:pPr>
        <w:spacing w:before="40" w:after="40"/>
        <w:ind w:firstLine="709"/>
        <w:rPr>
          <w:spacing w:val="-6"/>
          <w:sz w:val="28"/>
          <w:szCs w:val="28"/>
          <w:lang w:val="it-IT"/>
        </w:rPr>
      </w:pPr>
      <w:r w:rsidRPr="002A2302">
        <w:rPr>
          <w:spacing w:val="-6"/>
          <w:sz w:val="28"/>
          <w:szCs w:val="28"/>
          <w:lang w:val="vi-VN" w:eastAsia="ja-JP"/>
        </w:rPr>
        <w:t xml:space="preserve">1.6.1 Mục tiêu đầu tư: </w:t>
      </w:r>
      <w:r w:rsidRPr="002A2302">
        <w:rPr>
          <w:spacing w:val="-6"/>
          <w:sz w:val="28"/>
          <w:szCs w:val="28"/>
          <w:lang w:val="pl-PL"/>
        </w:rPr>
        <w:t xml:space="preserve">Dự án Đầu tư nhằm mục tiêu tháo khô, thoát nước khai trường, cung cấp điện khi mỏ thực hiện khai thác tầng -250/-400 thuộc dự án Khai thác giai đoạn II mỏ than Mông Dương </w:t>
      </w:r>
      <w:r w:rsidR="00E52ECF" w:rsidRPr="002A2302">
        <w:rPr>
          <w:spacing w:val="-6"/>
          <w:sz w:val="28"/>
          <w:szCs w:val="28"/>
          <w:lang w:val="pl-PL"/>
        </w:rPr>
        <w:t>-</w:t>
      </w:r>
      <w:r w:rsidRPr="002A2302">
        <w:rPr>
          <w:spacing w:val="-6"/>
          <w:sz w:val="28"/>
          <w:szCs w:val="28"/>
          <w:lang w:val="pl-PL"/>
        </w:rPr>
        <w:t xml:space="preserve"> Công ty than Mông Dương (điều chỉnh), nhằm đáp ứng yêu cầu sản xuất kinh doanh của Công ty theo kế hoạch năm 2025 và các năm tiếp theo.</w:t>
      </w:r>
    </w:p>
    <w:p w:rsidR="00961987" w:rsidRPr="002A2302" w:rsidRDefault="00961987" w:rsidP="00EC4C10">
      <w:pPr>
        <w:widowControl w:val="0"/>
        <w:spacing w:before="40" w:after="40"/>
        <w:ind w:firstLine="709"/>
        <w:rPr>
          <w:sz w:val="28"/>
          <w:szCs w:val="28"/>
          <w:lang w:val="pl-PL" w:eastAsia="ja-JP"/>
        </w:rPr>
      </w:pPr>
      <w:r w:rsidRPr="002A2302">
        <w:rPr>
          <w:sz w:val="28"/>
          <w:szCs w:val="28"/>
          <w:lang w:val="pl-PL" w:eastAsia="ja-JP"/>
        </w:rPr>
        <w:t>1.6.2 Quy mô đầu tư: Dự án đầu tư:</w:t>
      </w:r>
    </w:p>
    <w:p w:rsidR="00961987" w:rsidRPr="002A2302" w:rsidRDefault="00961987" w:rsidP="00EC4C10">
      <w:pPr>
        <w:widowControl w:val="0"/>
        <w:spacing w:before="40" w:after="40"/>
        <w:ind w:firstLine="709"/>
        <w:rPr>
          <w:spacing w:val="-10"/>
          <w:sz w:val="28"/>
          <w:szCs w:val="28"/>
          <w:lang w:val="pl-PL"/>
        </w:rPr>
      </w:pPr>
      <w:r w:rsidRPr="002A2302">
        <w:rPr>
          <w:b/>
          <w:spacing w:val="-10"/>
          <w:sz w:val="28"/>
          <w:szCs w:val="28"/>
          <w:lang w:val="pl-PL"/>
        </w:rPr>
        <w:t xml:space="preserve">(i). Hầm bơm mức -400: </w:t>
      </w:r>
      <w:r w:rsidRPr="002A2302">
        <w:rPr>
          <w:spacing w:val="-10"/>
          <w:sz w:val="28"/>
          <w:szCs w:val="28"/>
          <w:lang w:val="pl-PL"/>
        </w:rPr>
        <w:t>Hầm bơm mức -400 được chia thành 03 cụm máy bơm làm việc, trong đó:</w:t>
      </w:r>
    </w:p>
    <w:p w:rsidR="00961987" w:rsidRPr="002A2302" w:rsidRDefault="00961987" w:rsidP="00EC4C10">
      <w:pPr>
        <w:widowControl w:val="0"/>
        <w:spacing w:before="40" w:after="40"/>
        <w:ind w:firstLine="709"/>
        <w:rPr>
          <w:b/>
          <w:i/>
          <w:spacing w:val="-10"/>
          <w:sz w:val="28"/>
          <w:szCs w:val="28"/>
          <w:lang w:val="pl-PL"/>
        </w:rPr>
      </w:pPr>
      <w:r w:rsidRPr="002A2302">
        <w:rPr>
          <w:b/>
          <w:i/>
          <w:spacing w:val="-10"/>
          <w:sz w:val="28"/>
          <w:szCs w:val="28"/>
          <w:lang w:val="pl-PL"/>
        </w:rPr>
        <w:t>- Cụm bơm số 1 bơm chuyển tiếp lên hầm bơm -97,5, gồm:</w:t>
      </w:r>
    </w:p>
    <w:p w:rsidR="00961987" w:rsidRPr="002A2302" w:rsidRDefault="00961987" w:rsidP="00EC4C10">
      <w:pPr>
        <w:spacing w:before="40" w:after="40"/>
        <w:ind w:firstLine="709"/>
        <w:rPr>
          <w:spacing w:val="-12"/>
          <w:sz w:val="28"/>
          <w:szCs w:val="28"/>
          <w:lang w:val="pl-PL"/>
        </w:rPr>
      </w:pPr>
      <w:r w:rsidRPr="002A2302">
        <w:rPr>
          <w:spacing w:val="-12"/>
          <w:sz w:val="28"/>
          <w:szCs w:val="28"/>
          <w:lang w:val="pl-PL"/>
        </w:rPr>
        <w:t xml:space="preserve">+ 05 bơm có Q= 600-850-1000 m3/h; H= 450-400-350 mH2O; Pđc= 1400 kW (02 làm việc, 02 dự phòng và 01 sửa chữa); </w:t>
      </w:r>
    </w:p>
    <w:p w:rsidR="00961987" w:rsidRPr="002A2302" w:rsidRDefault="00961987" w:rsidP="00EC4C10">
      <w:pPr>
        <w:spacing w:before="40" w:after="40"/>
        <w:ind w:firstLine="709"/>
        <w:rPr>
          <w:spacing w:val="-12"/>
          <w:sz w:val="28"/>
          <w:szCs w:val="28"/>
          <w:lang w:val="pl-PL"/>
        </w:rPr>
      </w:pPr>
      <w:r w:rsidRPr="002A2302">
        <w:rPr>
          <w:spacing w:val="-12"/>
          <w:sz w:val="28"/>
          <w:szCs w:val="28"/>
          <w:lang w:val="pl-PL"/>
        </w:rPr>
        <w:t>+ 03 đường ống phức hợp chịu mài mòn bằng nhựa Polyethylene khung thép DN355mm, chiều dài tổng số 2.338,5m.</w:t>
      </w:r>
    </w:p>
    <w:p w:rsidR="00961987" w:rsidRPr="002A2302" w:rsidRDefault="00961987" w:rsidP="00EC4C10">
      <w:pPr>
        <w:widowControl w:val="0"/>
        <w:spacing w:before="60" w:after="40"/>
        <w:ind w:firstLine="709"/>
        <w:rPr>
          <w:b/>
          <w:i/>
          <w:spacing w:val="-10"/>
          <w:sz w:val="28"/>
          <w:szCs w:val="28"/>
          <w:lang w:val="pl-PL"/>
        </w:rPr>
      </w:pPr>
      <w:r w:rsidRPr="002A2302">
        <w:rPr>
          <w:b/>
          <w:i/>
          <w:spacing w:val="-10"/>
          <w:sz w:val="28"/>
          <w:szCs w:val="28"/>
          <w:lang w:val="pl-PL"/>
        </w:rPr>
        <w:t>- Cụm bơm số 2 bơm chuyển tiếp lên hầm bơm -250 khu trung tâm, gồm:</w:t>
      </w:r>
    </w:p>
    <w:p w:rsidR="00961987" w:rsidRPr="002A2302" w:rsidRDefault="00961987" w:rsidP="00EC4C10">
      <w:pPr>
        <w:spacing w:before="60" w:after="40"/>
        <w:ind w:firstLine="709"/>
        <w:rPr>
          <w:spacing w:val="-12"/>
          <w:sz w:val="28"/>
          <w:szCs w:val="28"/>
          <w:lang w:val="pl-PL"/>
        </w:rPr>
      </w:pPr>
      <w:r w:rsidRPr="002A2302">
        <w:rPr>
          <w:spacing w:val="-12"/>
          <w:sz w:val="28"/>
          <w:szCs w:val="28"/>
          <w:lang w:val="pl-PL"/>
        </w:rPr>
        <w:t>+ 02 bơm có Q= 480-650-770m3/h; H= 264-240-210mH2O; Pđc= 630 kW (01 làm việc, 01 dự phòng);</w:t>
      </w:r>
    </w:p>
    <w:p w:rsidR="00961987" w:rsidRPr="002A2302" w:rsidRDefault="00961987" w:rsidP="00EC4C10">
      <w:pPr>
        <w:spacing w:before="60" w:after="40"/>
        <w:ind w:firstLine="709"/>
        <w:rPr>
          <w:spacing w:val="-12"/>
          <w:sz w:val="28"/>
          <w:szCs w:val="28"/>
          <w:lang w:val="pl-PL"/>
        </w:rPr>
      </w:pPr>
      <w:r w:rsidRPr="002A2302">
        <w:rPr>
          <w:spacing w:val="-12"/>
          <w:sz w:val="28"/>
          <w:szCs w:val="28"/>
          <w:lang w:val="pl-PL"/>
        </w:rPr>
        <w:t>+ 02 đường ống phức hợp chịu mài mòn bằng nhựa Polyethylene khung thép, DN315mm, chiều dài tổng số 1.104m.</w:t>
      </w:r>
    </w:p>
    <w:p w:rsidR="00961987" w:rsidRPr="002A2302" w:rsidRDefault="00961987" w:rsidP="00EC4C10">
      <w:pPr>
        <w:widowControl w:val="0"/>
        <w:spacing w:before="60" w:after="40"/>
        <w:ind w:firstLine="709"/>
        <w:rPr>
          <w:b/>
          <w:i/>
          <w:spacing w:val="-10"/>
          <w:sz w:val="28"/>
          <w:szCs w:val="28"/>
          <w:lang w:val="pl-PL"/>
        </w:rPr>
      </w:pPr>
      <w:r w:rsidRPr="002A2302">
        <w:rPr>
          <w:b/>
          <w:i/>
          <w:spacing w:val="-10"/>
          <w:sz w:val="28"/>
          <w:szCs w:val="28"/>
          <w:lang w:val="pl-PL"/>
        </w:rPr>
        <w:t>- Cụm bơm số 3 bơm chuyển tiếp lên hầm bơm -250 khu đông bắc, gồm:</w:t>
      </w:r>
    </w:p>
    <w:p w:rsidR="00961987" w:rsidRPr="002A2302" w:rsidRDefault="00961987" w:rsidP="00EC4C10">
      <w:pPr>
        <w:spacing w:before="60" w:after="40"/>
        <w:ind w:firstLine="709"/>
        <w:rPr>
          <w:spacing w:val="-12"/>
          <w:sz w:val="28"/>
          <w:szCs w:val="28"/>
          <w:lang w:val="pl-PL"/>
        </w:rPr>
      </w:pPr>
      <w:r w:rsidRPr="002A2302">
        <w:rPr>
          <w:spacing w:val="-12"/>
          <w:sz w:val="28"/>
          <w:szCs w:val="28"/>
          <w:lang w:val="pl-PL"/>
        </w:rPr>
        <w:t>+ 03 bơm có Q= 480-650-770m3/h; H= 264-240-210mH2O; Pđc= 630 kW (01 làm việc, 01 dự phòng và 01 sửa chữa chung cho cụm bơm số 2 và số 3);</w:t>
      </w:r>
    </w:p>
    <w:p w:rsidR="00961987" w:rsidRPr="002A2302" w:rsidRDefault="00961987" w:rsidP="00EC4C10">
      <w:pPr>
        <w:spacing w:before="60" w:after="40"/>
        <w:ind w:firstLine="709"/>
        <w:rPr>
          <w:spacing w:val="-12"/>
          <w:sz w:val="28"/>
          <w:szCs w:val="28"/>
          <w:lang w:val="pl-PL"/>
        </w:rPr>
      </w:pPr>
      <w:r w:rsidRPr="002A2302">
        <w:rPr>
          <w:spacing w:val="-12"/>
          <w:sz w:val="28"/>
          <w:szCs w:val="28"/>
          <w:lang w:val="pl-PL"/>
        </w:rPr>
        <w:t>+ 02 đường ống phức hợp chịu mài mòn bằng nhựa Polyethylene khung thép, DN315mm, chiều dài tổng số 944m.</w:t>
      </w:r>
    </w:p>
    <w:p w:rsidR="00961987" w:rsidRPr="002A2302" w:rsidRDefault="00961987" w:rsidP="00EC4C10">
      <w:pPr>
        <w:widowControl w:val="0"/>
        <w:spacing w:before="60" w:after="60"/>
        <w:ind w:firstLine="709"/>
        <w:rPr>
          <w:b/>
          <w:i/>
          <w:spacing w:val="-10"/>
          <w:sz w:val="28"/>
          <w:szCs w:val="28"/>
          <w:lang w:val="pl-PL"/>
        </w:rPr>
      </w:pPr>
      <w:bookmarkStart w:id="2" w:name="_GoBack"/>
      <w:r w:rsidRPr="002A2302">
        <w:rPr>
          <w:b/>
          <w:i/>
          <w:spacing w:val="-10"/>
          <w:sz w:val="28"/>
          <w:szCs w:val="28"/>
          <w:lang w:val="pl-PL"/>
        </w:rPr>
        <w:lastRenderedPageBreak/>
        <w:t>- Hệ thống đường ống sàn gồm 103m ống inox304 DN350mm và 54m ống inox304 DN300mm cùng van khóa, van một chiều, bơm mồi kèm theo.</w:t>
      </w:r>
    </w:p>
    <w:p w:rsidR="00961987" w:rsidRPr="002A2302" w:rsidRDefault="00961987" w:rsidP="00EC4C10">
      <w:pPr>
        <w:widowControl w:val="0"/>
        <w:spacing w:before="60" w:after="60"/>
        <w:ind w:firstLine="709"/>
        <w:rPr>
          <w:spacing w:val="-10"/>
          <w:sz w:val="28"/>
          <w:szCs w:val="28"/>
          <w:lang w:val="pl-PL"/>
        </w:rPr>
      </w:pPr>
      <w:r w:rsidRPr="002A2302">
        <w:rPr>
          <w:b/>
          <w:spacing w:val="-10"/>
          <w:sz w:val="28"/>
          <w:szCs w:val="28"/>
          <w:lang w:val="pl-PL"/>
        </w:rPr>
        <w:t xml:space="preserve">(ii). Trạm điện mức -400: </w:t>
      </w:r>
      <w:r w:rsidRPr="002A2302">
        <w:rPr>
          <w:spacing w:val="-10"/>
          <w:sz w:val="28"/>
          <w:szCs w:val="28"/>
          <w:lang w:val="pl-PL"/>
        </w:rPr>
        <w:t>Trạm điện mức -400 gồm 2 phân đoạn, trong đó.</w:t>
      </w:r>
    </w:p>
    <w:p w:rsidR="00961987" w:rsidRPr="002A2302" w:rsidRDefault="00961987" w:rsidP="00EC4C10">
      <w:pPr>
        <w:widowControl w:val="0"/>
        <w:spacing w:before="60" w:after="60"/>
        <w:ind w:firstLine="709"/>
        <w:rPr>
          <w:spacing w:val="-10"/>
          <w:sz w:val="28"/>
          <w:szCs w:val="28"/>
          <w:lang w:val="pl-PL"/>
        </w:rPr>
      </w:pPr>
      <w:r w:rsidRPr="002A2302">
        <w:rPr>
          <w:b/>
          <w:spacing w:val="-10"/>
          <w:sz w:val="28"/>
          <w:szCs w:val="28"/>
          <w:lang w:val="pl-PL"/>
        </w:rPr>
        <w:t>- Phân đoạn I, gồm:</w:t>
      </w:r>
    </w:p>
    <w:p w:rsidR="00961987" w:rsidRPr="002A2302" w:rsidRDefault="00961987" w:rsidP="00EC4C10">
      <w:pPr>
        <w:spacing w:before="60" w:after="60"/>
        <w:ind w:firstLine="709"/>
        <w:rPr>
          <w:spacing w:val="-12"/>
          <w:sz w:val="28"/>
          <w:szCs w:val="28"/>
          <w:lang w:val="pl-PL"/>
        </w:rPr>
      </w:pPr>
      <w:r w:rsidRPr="002A2302">
        <w:rPr>
          <w:spacing w:val="-12"/>
          <w:sz w:val="28"/>
          <w:szCs w:val="28"/>
          <w:lang w:val="pl-PL"/>
        </w:rPr>
        <w:t>+ 02 tủ phân phối 6kV phòng nổ loại tủ máy cắt đầu vào, dòng điện Iđm= 630A.</w:t>
      </w:r>
    </w:p>
    <w:p w:rsidR="00961987" w:rsidRPr="002A2302" w:rsidRDefault="00961987" w:rsidP="00EC4C10">
      <w:pPr>
        <w:spacing w:before="60" w:after="60"/>
        <w:ind w:firstLine="709"/>
        <w:rPr>
          <w:spacing w:val="-12"/>
          <w:sz w:val="28"/>
          <w:szCs w:val="28"/>
          <w:lang w:val="pl-PL"/>
        </w:rPr>
      </w:pPr>
      <w:r w:rsidRPr="002A2302">
        <w:rPr>
          <w:spacing w:val="-12"/>
          <w:sz w:val="28"/>
          <w:szCs w:val="28"/>
          <w:lang w:val="pl-PL"/>
        </w:rPr>
        <w:t>+ 01 tủ phân phối 6kV phòng nổ loại tủ máy cắt phân đoạn, dòng điện Iđm= 630A.</w:t>
      </w:r>
    </w:p>
    <w:p w:rsidR="00961987" w:rsidRPr="002A2302" w:rsidRDefault="00961987" w:rsidP="00EC4C10">
      <w:pPr>
        <w:spacing w:before="60" w:after="60"/>
        <w:ind w:firstLine="709"/>
        <w:rPr>
          <w:spacing w:val="-12"/>
          <w:sz w:val="28"/>
          <w:szCs w:val="28"/>
          <w:lang w:val="pl-PL"/>
        </w:rPr>
      </w:pPr>
      <w:r w:rsidRPr="002A2302">
        <w:rPr>
          <w:spacing w:val="-12"/>
          <w:sz w:val="28"/>
          <w:szCs w:val="28"/>
          <w:lang w:val="pl-PL"/>
        </w:rPr>
        <w:t>+ 06 tủ phân phối 6kV phòng nổ loại tủ máy cắt lộ ra, dòng điện Iđm= 300A.</w:t>
      </w:r>
    </w:p>
    <w:p w:rsidR="00961987" w:rsidRPr="002A2302" w:rsidRDefault="00961987" w:rsidP="00EC4C10">
      <w:pPr>
        <w:spacing w:before="60" w:after="60"/>
        <w:ind w:firstLine="709"/>
        <w:rPr>
          <w:spacing w:val="-12"/>
          <w:sz w:val="28"/>
          <w:szCs w:val="28"/>
          <w:lang w:val="pl-PL"/>
        </w:rPr>
      </w:pPr>
      <w:r w:rsidRPr="002A2302">
        <w:rPr>
          <w:spacing w:val="-12"/>
          <w:sz w:val="28"/>
          <w:szCs w:val="28"/>
          <w:lang w:val="pl-PL"/>
        </w:rPr>
        <w:t>+ 05 tủ khởi động mềm phòng nổ Iđm= 250A cho 05 bơm thoát nước công suất 1400 kW, điện áp 6kV.</w:t>
      </w:r>
    </w:p>
    <w:p w:rsidR="00961987" w:rsidRPr="002A2302" w:rsidRDefault="00961987" w:rsidP="00EC4C10">
      <w:pPr>
        <w:spacing w:before="60" w:after="60"/>
        <w:ind w:firstLine="709"/>
        <w:rPr>
          <w:spacing w:val="-12"/>
          <w:sz w:val="28"/>
          <w:szCs w:val="28"/>
          <w:lang w:val="pl-PL"/>
        </w:rPr>
      </w:pPr>
      <w:r w:rsidRPr="002A2302">
        <w:rPr>
          <w:spacing w:val="-12"/>
          <w:sz w:val="28"/>
          <w:szCs w:val="28"/>
          <w:lang w:val="pl-PL"/>
        </w:rPr>
        <w:t>+ 02 đường cáp 6kV phòng nổ tiết diện (3x185)mm</w:t>
      </w:r>
      <w:r w:rsidRPr="002A2302">
        <w:rPr>
          <w:spacing w:val="-12"/>
          <w:sz w:val="28"/>
          <w:szCs w:val="28"/>
          <w:lang w:val="pl-PL"/>
        </w:rPr>
        <w:softHyphen/>
      </w:r>
      <w:r w:rsidRPr="002A2302">
        <w:rPr>
          <w:spacing w:val="-12"/>
          <w:sz w:val="28"/>
          <w:szCs w:val="28"/>
          <w:lang w:val="pl-PL"/>
        </w:rPr>
        <w:softHyphen/>
      </w:r>
      <w:r w:rsidRPr="002A2302">
        <w:rPr>
          <w:spacing w:val="-12"/>
          <w:sz w:val="28"/>
          <w:szCs w:val="28"/>
          <w:vertAlign w:val="superscript"/>
          <w:lang w:val="pl-PL"/>
        </w:rPr>
        <w:t>2</w:t>
      </w:r>
      <w:r w:rsidRPr="002A2302">
        <w:rPr>
          <w:spacing w:val="-12"/>
          <w:sz w:val="28"/>
          <w:szCs w:val="28"/>
          <w:lang w:val="pl-PL"/>
        </w:rPr>
        <w:t xml:space="preserve"> từ trạm phân phối 6kV mức 11,2 cấp điện cho phân đoạn I của trạm phân phối trung tâm mức -400 với chiều dài (2x2350) m.</w:t>
      </w:r>
    </w:p>
    <w:p w:rsidR="00961987" w:rsidRPr="002A2302" w:rsidRDefault="00961987" w:rsidP="00EC4C10">
      <w:pPr>
        <w:spacing w:before="60" w:after="60"/>
        <w:ind w:firstLine="709"/>
        <w:rPr>
          <w:spacing w:val="-12"/>
          <w:sz w:val="28"/>
          <w:szCs w:val="28"/>
          <w:lang w:val="pl-PL"/>
        </w:rPr>
      </w:pPr>
      <w:r w:rsidRPr="002A2302">
        <w:rPr>
          <w:spacing w:val="-12"/>
          <w:sz w:val="28"/>
          <w:szCs w:val="28"/>
          <w:lang w:val="pl-PL"/>
        </w:rPr>
        <w:t>+ Cáp 6kV phòng nổ tiết diện (3x70)mm</w:t>
      </w:r>
      <w:r w:rsidRPr="002A2302">
        <w:rPr>
          <w:spacing w:val="-12"/>
          <w:sz w:val="28"/>
          <w:szCs w:val="28"/>
          <w:lang w:val="pl-PL"/>
        </w:rPr>
        <w:softHyphen/>
      </w:r>
      <w:r w:rsidRPr="002A2302">
        <w:rPr>
          <w:spacing w:val="-12"/>
          <w:sz w:val="28"/>
          <w:szCs w:val="28"/>
          <w:lang w:val="pl-PL"/>
        </w:rPr>
        <w:softHyphen/>
      </w:r>
      <w:r w:rsidRPr="002A2302">
        <w:rPr>
          <w:spacing w:val="-12"/>
          <w:sz w:val="28"/>
          <w:szCs w:val="28"/>
          <w:vertAlign w:val="superscript"/>
          <w:lang w:val="pl-PL"/>
        </w:rPr>
        <w:t>2</w:t>
      </w:r>
      <w:r w:rsidRPr="002A2302">
        <w:rPr>
          <w:spacing w:val="-12"/>
          <w:sz w:val="28"/>
          <w:szCs w:val="28"/>
          <w:lang w:val="pl-PL"/>
        </w:rPr>
        <w:t xml:space="preserve"> để đấu nối giữa các tủ máy cắt đến 05 tủ khởi động mềm và tới 05 bơm.</w:t>
      </w:r>
    </w:p>
    <w:p w:rsidR="00961987" w:rsidRPr="002A2302" w:rsidRDefault="00961987" w:rsidP="00EC4C10">
      <w:pPr>
        <w:widowControl w:val="0"/>
        <w:numPr>
          <w:ilvl w:val="12"/>
          <w:numId w:val="0"/>
        </w:numPr>
        <w:spacing w:before="60" w:after="60"/>
        <w:ind w:firstLine="709"/>
        <w:rPr>
          <w:b/>
          <w:spacing w:val="-10"/>
          <w:sz w:val="28"/>
          <w:szCs w:val="28"/>
          <w:lang w:val="pt-BR"/>
        </w:rPr>
      </w:pPr>
      <w:r w:rsidRPr="002A2302">
        <w:rPr>
          <w:b/>
          <w:spacing w:val="-10"/>
          <w:sz w:val="28"/>
          <w:szCs w:val="28"/>
          <w:lang w:val="pt-BR"/>
        </w:rPr>
        <w:t>- Phân đoạn II, gồm:</w:t>
      </w:r>
    </w:p>
    <w:p w:rsidR="00961987" w:rsidRPr="002A2302" w:rsidRDefault="00961987" w:rsidP="00EC4C10">
      <w:pPr>
        <w:spacing w:before="60" w:after="60"/>
        <w:ind w:firstLine="709"/>
        <w:rPr>
          <w:spacing w:val="-12"/>
          <w:sz w:val="28"/>
          <w:szCs w:val="28"/>
          <w:lang w:val="pl-PL"/>
        </w:rPr>
      </w:pPr>
      <w:r w:rsidRPr="002A2302">
        <w:rPr>
          <w:spacing w:val="-12"/>
          <w:sz w:val="28"/>
          <w:szCs w:val="28"/>
          <w:lang w:val="pl-PL"/>
        </w:rPr>
        <w:t>+ 02 tủ phân phối 6kV phòng nổ loại tủ máy cắt đầu vào, dòng điện Iđm= 400A.</w:t>
      </w:r>
    </w:p>
    <w:p w:rsidR="00961987" w:rsidRPr="002A2302" w:rsidRDefault="00961987" w:rsidP="00EC4C10">
      <w:pPr>
        <w:spacing w:before="60" w:after="60"/>
        <w:ind w:firstLine="709"/>
        <w:rPr>
          <w:spacing w:val="-12"/>
          <w:sz w:val="28"/>
          <w:szCs w:val="28"/>
          <w:lang w:val="pl-PL"/>
        </w:rPr>
      </w:pPr>
      <w:r w:rsidRPr="002A2302">
        <w:rPr>
          <w:spacing w:val="-12"/>
          <w:sz w:val="28"/>
          <w:szCs w:val="28"/>
          <w:lang w:val="pl-PL"/>
        </w:rPr>
        <w:t>+ 01 tủ phân phối 6kV phòng nổ loại tủ máy cắt phân đoạn, dòng điện Iđm= 400A.</w:t>
      </w:r>
    </w:p>
    <w:p w:rsidR="00961987" w:rsidRPr="002A2302" w:rsidRDefault="00961987" w:rsidP="00EC4C10">
      <w:pPr>
        <w:spacing w:before="60" w:after="60"/>
        <w:ind w:firstLine="709"/>
        <w:rPr>
          <w:spacing w:val="-12"/>
          <w:sz w:val="28"/>
          <w:szCs w:val="28"/>
          <w:lang w:val="pl-PL"/>
        </w:rPr>
      </w:pPr>
      <w:r w:rsidRPr="002A2302">
        <w:rPr>
          <w:spacing w:val="-12"/>
          <w:sz w:val="28"/>
          <w:szCs w:val="28"/>
          <w:lang w:val="pl-PL"/>
        </w:rPr>
        <w:t>+ 06 tủ phân phối 6kV phòng nổ loại tủ máy cắt lộ ra, dòng điện Iđm= 300A.</w:t>
      </w:r>
    </w:p>
    <w:p w:rsidR="00961987" w:rsidRPr="002A2302" w:rsidRDefault="00961987" w:rsidP="00EC4C10">
      <w:pPr>
        <w:spacing w:before="60" w:after="60"/>
        <w:ind w:firstLine="709"/>
        <w:rPr>
          <w:spacing w:val="-12"/>
          <w:sz w:val="28"/>
          <w:szCs w:val="28"/>
          <w:lang w:val="pl-PL"/>
        </w:rPr>
      </w:pPr>
      <w:r w:rsidRPr="002A2302">
        <w:rPr>
          <w:spacing w:val="-12"/>
          <w:sz w:val="28"/>
          <w:szCs w:val="28"/>
          <w:lang w:val="pl-PL"/>
        </w:rPr>
        <w:t>+ 05 tủ khởi động mềm phòng nổ Iđm= 150A cho 05 bơm thoát nước công suất 630 kW, điện áp 6kV.</w:t>
      </w:r>
    </w:p>
    <w:p w:rsidR="00961987" w:rsidRPr="002A2302" w:rsidRDefault="00961987" w:rsidP="00EC4C10">
      <w:pPr>
        <w:spacing w:before="60" w:after="60"/>
        <w:ind w:firstLine="709"/>
        <w:rPr>
          <w:spacing w:val="-12"/>
          <w:sz w:val="28"/>
          <w:szCs w:val="28"/>
          <w:lang w:val="pl-PL"/>
        </w:rPr>
      </w:pPr>
      <w:r w:rsidRPr="002A2302">
        <w:rPr>
          <w:spacing w:val="-12"/>
          <w:sz w:val="28"/>
          <w:szCs w:val="28"/>
          <w:lang w:val="pl-PL"/>
        </w:rPr>
        <w:t>+ 02 đường cáp 6kV phòng nổ tiết diện (3x95)mm</w:t>
      </w:r>
      <w:r w:rsidRPr="002A2302">
        <w:rPr>
          <w:spacing w:val="-12"/>
          <w:sz w:val="28"/>
          <w:szCs w:val="28"/>
          <w:lang w:val="pl-PL"/>
        </w:rPr>
        <w:softHyphen/>
      </w:r>
      <w:r w:rsidRPr="002A2302">
        <w:rPr>
          <w:spacing w:val="-12"/>
          <w:sz w:val="28"/>
          <w:szCs w:val="28"/>
          <w:lang w:val="pl-PL"/>
        </w:rPr>
        <w:softHyphen/>
        <w:t>2 từ trạm phân phối 6kV mức 11,2 cấp điện cho phân đoạn II của trạm phân phối trung tâm mức -400 với chiều dài (2x2350) m.</w:t>
      </w:r>
    </w:p>
    <w:p w:rsidR="00961987" w:rsidRPr="002A2302" w:rsidRDefault="00961987" w:rsidP="00EC4C10">
      <w:pPr>
        <w:widowControl w:val="0"/>
        <w:spacing w:before="60" w:after="60"/>
        <w:ind w:firstLine="709"/>
        <w:rPr>
          <w:sz w:val="28"/>
          <w:szCs w:val="28"/>
          <w:lang w:val="pl-PL" w:eastAsia="ja-JP"/>
        </w:rPr>
      </w:pPr>
      <w:r w:rsidRPr="002A2302">
        <w:rPr>
          <w:spacing w:val="-12"/>
          <w:sz w:val="28"/>
          <w:szCs w:val="28"/>
          <w:lang w:val="pl-PL"/>
        </w:rPr>
        <w:t>+ Cáp 6kV phòng nổ tiết diện (3x50)mm</w:t>
      </w:r>
      <w:r w:rsidRPr="002A2302">
        <w:rPr>
          <w:spacing w:val="-12"/>
          <w:sz w:val="28"/>
          <w:szCs w:val="28"/>
          <w:lang w:val="pl-PL"/>
        </w:rPr>
        <w:softHyphen/>
      </w:r>
      <w:r w:rsidRPr="002A2302">
        <w:rPr>
          <w:spacing w:val="-12"/>
          <w:sz w:val="28"/>
          <w:szCs w:val="28"/>
          <w:lang w:val="pl-PL"/>
        </w:rPr>
        <w:softHyphen/>
      </w:r>
      <w:r w:rsidRPr="002A2302">
        <w:rPr>
          <w:spacing w:val="-12"/>
          <w:sz w:val="28"/>
          <w:szCs w:val="28"/>
          <w:vertAlign w:val="superscript"/>
          <w:lang w:val="pl-PL"/>
        </w:rPr>
        <w:t>2</w:t>
      </w:r>
      <w:r w:rsidRPr="002A2302">
        <w:rPr>
          <w:spacing w:val="-12"/>
          <w:sz w:val="28"/>
          <w:szCs w:val="28"/>
          <w:lang w:val="pl-PL"/>
        </w:rPr>
        <w:t xml:space="preserve"> để đấu nối giữa các tủ máy cắt đến 05 tủ khởi động mềm và tới 05 bơm.</w:t>
      </w:r>
    </w:p>
    <w:p w:rsidR="00961987" w:rsidRPr="002A2302" w:rsidRDefault="00961987" w:rsidP="00EC4C10">
      <w:pPr>
        <w:tabs>
          <w:tab w:val="left" w:pos="1134"/>
        </w:tabs>
        <w:spacing w:before="60" w:after="60"/>
        <w:ind w:firstLine="709"/>
        <w:rPr>
          <w:bCs/>
          <w:sz w:val="28"/>
          <w:szCs w:val="28"/>
          <w:lang w:val="vi-VN"/>
        </w:rPr>
      </w:pPr>
      <w:r w:rsidRPr="002A2302">
        <w:rPr>
          <w:bCs/>
          <w:sz w:val="28"/>
          <w:szCs w:val="28"/>
          <w:lang w:val="vi-VN"/>
        </w:rPr>
        <w:t>1.</w:t>
      </w:r>
      <w:r w:rsidRPr="002A2302">
        <w:rPr>
          <w:bCs/>
          <w:sz w:val="28"/>
          <w:szCs w:val="28"/>
          <w:lang w:val="pl-PL"/>
        </w:rPr>
        <w:t>7</w:t>
      </w:r>
      <w:r w:rsidRPr="002A2302">
        <w:rPr>
          <w:sz w:val="28"/>
          <w:szCs w:val="28"/>
          <w:lang w:val="vi-VN" w:eastAsia="ja-JP"/>
        </w:rPr>
        <w:t>. Tổng mức đầu tư (sau thuế):</w:t>
      </w:r>
      <w:r w:rsidRPr="002A2302">
        <w:rPr>
          <w:bCs/>
          <w:sz w:val="28"/>
          <w:szCs w:val="28"/>
          <w:lang w:val="vi-VN"/>
        </w:rPr>
        <w:t xml:space="preserve"> </w:t>
      </w:r>
      <w:r w:rsidRPr="002A2302">
        <w:rPr>
          <w:sz w:val="28"/>
          <w:szCs w:val="28"/>
          <w:lang w:val="vi-VN" w:eastAsia="ja-JP"/>
        </w:rPr>
        <w:t>170.851.806</w:t>
      </w:r>
      <w:r w:rsidRPr="002A2302">
        <w:rPr>
          <w:bCs/>
          <w:spacing w:val="-14"/>
          <w:sz w:val="28"/>
          <w:szCs w:val="28"/>
          <w:lang w:val="vi-VN"/>
        </w:rPr>
        <w:t xml:space="preserve"> </w:t>
      </w:r>
      <w:r w:rsidRPr="002A2302">
        <w:rPr>
          <w:bCs/>
          <w:sz w:val="28"/>
          <w:szCs w:val="28"/>
          <w:lang w:val="vi-VN"/>
        </w:rPr>
        <w:t xml:space="preserve"> </w:t>
      </w:r>
      <w:r w:rsidRPr="002A2302">
        <w:rPr>
          <w:sz w:val="28"/>
          <w:szCs w:val="28"/>
          <w:lang w:val="vi-VN"/>
        </w:rPr>
        <w:t>Nghìn đồng</w:t>
      </w:r>
      <w:r w:rsidRPr="002A2302">
        <w:rPr>
          <w:sz w:val="28"/>
          <w:szCs w:val="28"/>
          <w:lang w:val="vi-VN" w:eastAsia="ja-JP"/>
        </w:rPr>
        <w:t xml:space="preserve"> </w:t>
      </w:r>
    </w:p>
    <w:p w:rsidR="00961987" w:rsidRPr="002A2302" w:rsidRDefault="00961987" w:rsidP="00EC4C10">
      <w:pPr>
        <w:widowControl w:val="0"/>
        <w:spacing w:before="60" w:after="60"/>
        <w:ind w:firstLine="706"/>
        <w:rPr>
          <w:sz w:val="28"/>
          <w:szCs w:val="28"/>
          <w:lang w:val="pl-PL" w:eastAsia="ja-JP"/>
        </w:rPr>
      </w:pPr>
      <w:r w:rsidRPr="002A2302">
        <w:rPr>
          <w:sz w:val="28"/>
          <w:szCs w:val="28"/>
          <w:lang w:val="pl-PL" w:eastAsia="ja-JP"/>
        </w:rPr>
        <w:t xml:space="preserve">1.8. Tiến độ thực hiện dự án: </w:t>
      </w:r>
      <w:r w:rsidRPr="002A2302">
        <w:rPr>
          <w:spacing w:val="-12"/>
          <w:sz w:val="28"/>
          <w:szCs w:val="28"/>
          <w:lang w:val="pl-PL"/>
        </w:rPr>
        <w:t>Năm 2025 ÷ 2027</w:t>
      </w:r>
    </w:p>
    <w:p w:rsidR="000D0347" w:rsidRPr="002A2302" w:rsidRDefault="000D0347" w:rsidP="00EC4C10">
      <w:pPr>
        <w:spacing w:before="60" w:after="60"/>
        <w:ind w:firstLine="709"/>
        <w:rPr>
          <w:b/>
          <w:i/>
          <w:spacing w:val="-10"/>
          <w:sz w:val="28"/>
          <w:szCs w:val="28"/>
          <w:lang w:val="it-IT"/>
        </w:rPr>
      </w:pPr>
      <w:r w:rsidRPr="002A2302">
        <w:rPr>
          <w:b/>
          <w:i/>
          <w:spacing w:val="-10"/>
          <w:sz w:val="28"/>
          <w:szCs w:val="28"/>
          <w:lang w:val="it-IT"/>
        </w:rPr>
        <w:t>I.1.2. Mô tả khái quát về gói thầu</w:t>
      </w:r>
    </w:p>
    <w:p w:rsidR="00696516" w:rsidRPr="002A2302" w:rsidRDefault="000D0347" w:rsidP="00EC4C10">
      <w:pPr>
        <w:spacing w:before="60" w:after="60"/>
        <w:ind w:firstLine="709"/>
        <w:rPr>
          <w:spacing w:val="-10"/>
          <w:sz w:val="28"/>
          <w:szCs w:val="28"/>
          <w:lang w:val="it-IT"/>
        </w:rPr>
      </w:pPr>
      <w:r w:rsidRPr="002A2302">
        <w:rPr>
          <w:spacing w:val="-10"/>
          <w:sz w:val="28"/>
          <w:szCs w:val="28"/>
          <w:lang w:val="it-IT"/>
        </w:rPr>
        <w:t xml:space="preserve">- Tên gói thầu: </w:t>
      </w:r>
      <w:r w:rsidR="00696516" w:rsidRPr="002A2302">
        <w:rPr>
          <w:spacing w:val="-10"/>
          <w:sz w:val="28"/>
          <w:szCs w:val="28"/>
          <w:lang w:val="it-IT"/>
        </w:rPr>
        <w:t>Gói thầu số 02</w:t>
      </w:r>
      <w:r w:rsidR="00961987" w:rsidRPr="002A2302">
        <w:rPr>
          <w:spacing w:val="-10"/>
          <w:sz w:val="28"/>
          <w:szCs w:val="28"/>
          <w:lang w:val="it-IT"/>
        </w:rPr>
        <w:t xml:space="preserve"> -</w:t>
      </w:r>
      <w:r w:rsidR="00696516" w:rsidRPr="002A2302">
        <w:rPr>
          <w:spacing w:val="-10"/>
          <w:sz w:val="28"/>
          <w:szCs w:val="28"/>
          <w:lang w:val="it-IT"/>
        </w:rPr>
        <w:t xml:space="preserve"> Lập thiết kế bản vẽ thi công hạng mục xây lắp trạm bơm, trạm điện và hệ thống bệ đỡ đống đẩy, bệ trạm điện</w:t>
      </w:r>
      <w:r w:rsidR="008C6EF4" w:rsidRPr="002A2302">
        <w:rPr>
          <w:spacing w:val="-10"/>
          <w:sz w:val="28"/>
          <w:szCs w:val="28"/>
          <w:lang w:val="it-IT"/>
        </w:rPr>
        <w:t>.</w:t>
      </w:r>
    </w:p>
    <w:p w:rsidR="000D0347" w:rsidRPr="002A2302" w:rsidRDefault="000D0347" w:rsidP="00EC4C10">
      <w:pPr>
        <w:spacing w:before="60" w:after="60"/>
        <w:ind w:firstLine="709"/>
        <w:rPr>
          <w:spacing w:val="-10"/>
          <w:sz w:val="28"/>
          <w:szCs w:val="28"/>
          <w:lang w:val="it-IT"/>
        </w:rPr>
      </w:pPr>
      <w:r w:rsidRPr="002A2302">
        <w:rPr>
          <w:spacing w:val="-10"/>
          <w:sz w:val="28"/>
          <w:szCs w:val="28"/>
          <w:lang w:val="it-IT"/>
        </w:rPr>
        <w:t>- Hình thức lựa chọn nhà thầu: Đấu thầu rộng rãi;</w:t>
      </w:r>
    </w:p>
    <w:p w:rsidR="000D0347" w:rsidRPr="002A2302" w:rsidRDefault="000D0347" w:rsidP="00EC4C10">
      <w:pPr>
        <w:spacing w:before="60" w:after="60"/>
        <w:ind w:firstLine="709"/>
        <w:rPr>
          <w:spacing w:val="-10"/>
          <w:sz w:val="28"/>
          <w:szCs w:val="28"/>
          <w:lang w:val="it-IT"/>
        </w:rPr>
      </w:pPr>
      <w:r w:rsidRPr="002A2302">
        <w:rPr>
          <w:spacing w:val="-10"/>
          <w:sz w:val="28"/>
          <w:szCs w:val="28"/>
          <w:lang w:val="it-IT"/>
        </w:rPr>
        <w:t>- Phương thức lựa chọn nhà thầu: Một giai đoạn hai túi hồ sơ;</w:t>
      </w:r>
    </w:p>
    <w:p w:rsidR="000D0347" w:rsidRPr="002A2302" w:rsidRDefault="000D0347" w:rsidP="00EC4C10">
      <w:pPr>
        <w:spacing w:before="60" w:after="60"/>
        <w:ind w:firstLine="709"/>
        <w:rPr>
          <w:spacing w:val="-10"/>
          <w:sz w:val="28"/>
          <w:szCs w:val="28"/>
          <w:lang w:val="it-IT"/>
        </w:rPr>
      </w:pPr>
      <w:r w:rsidRPr="002A2302">
        <w:rPr>
          <w:spacing w:val="-10"/>
          <w:sz w:val="28"/>
          <w:szCs w:val="28"/>
          <w:lang w:val="it-IT"/>
        </w:rPr>
        <w:t xml:space="preserve">- Thời gian tổ chức lựa chọn nhà thầu: </w:t>
      </w:r>
      <w:r w:rsidR="002C3B15" w:rsidRPr="002A2302">
        <w:rPr>
          <w:spacing w:val="-10"/>
          <w:sz w:val="28"/>
          <w:szCs w:val="28"/>
          <w:lang w:val="it-IT"/>
        </w:rPr>
        <w:t>9</w:t>
      </w:r>
      <w:r w:rsidRPr="002A2302">
        <w:rPr>
          <w:spacing w:val="-10"/>
          <w:sz w:val="28"/>
          <w:szCs w:val="28"/>
          <w:lang w:val="it-IT"/>
        </w:rPr>
        <w:t xml:space="preserve">0 ngày kể từ ngày phát hành </w:t>
      </w:r>
      <w:r w:rsidR="002C3B15" w:rsidRPr="002A2302">
        <w:rPr>
          <w:spacing w:val="-10"/>
          <w:sz w:val="28"/>
          <w:szCs w:val="28"/>
          <w:lang w:val="it-IT"/>
        </w:rPr>
        <w:t>E-</w:t>
      </w:r>
      <w:r w:rsidRPr="002A2302">
        <w:rPr>
          <w:spacing w:val="-10"/>
          <w:sz w:val="28"/>
          <w:szCs w:val="28"/>
          <w:lang w:val="it-IT"/>
        </w:rPr>
        <w:t>HSMT cho đến khi có kết quả lựa chọn nhà thầu;</w:t>
      </w:r>
    </w:p>
    <w:p w:rsidR="000D0347" w:rsidRPr="002A2302" w:rsidRDefault="000D0347" w:rsidP="00EC4C10">
      <w:pPr>
        <w:spacing w:before="60" w:after="60"/>
        <w:ind w:firstLine="709"/>
        <w:rPr>
          <w:spacing w:val="-10"/>
          <w:sz w:val="28"/>
          <w:szCs w:val="28"/>
          <w:lang w:val="it-IT"/>
        </w:rPr>
      </w:pPr>
      <w:r w:rsidRPr="002A2302">
        <w:rPr>
          <w:spacing w:val="-10"/>
          <w:sz w:val="28"/>
          <w:szCs w:val="28"/>
          <w:lang w:val="it-IT"/>
        </w:rPr>
        <w:t>- Thời gian bắt đầu tổ chức lựa chọn nhà thầu: Quý I</w:t>
      </w:r>
      <w:r w:rsidR="002C3B15" w:rsidRPr="002A2302">
        <w:rPr>
          <w:spacing w:val="-10"/>
          <w:sz w:val="28"/>
          <w:szCs w:val="28"/>
          <w:lang w:val="it-IT"/>
        </w:rPr>
        <w:t>V</w:t>
      </w:r>
      <w:r w:rsidRPr="002A2302">
        <w:rPr>
          <w:spacing w:val="-10"/>
          <w:sz w:val="28"/>
          <w:szCs w:val="28"/>
          <w:lang w:val="it-IT"/>
        </w:rPr>
        <w:t xml:space="preserve"> năm 2025;</w:t>
      </w:r>
    </w:p>
    <w:p w:rsidR="000D0347" w:rsidRPr="002A2302" w:rsidRDefault="000D0347" w:rsidP="00EC4C10">
      <w:pPr>
        <w:spacing w:before="60" w:after="60"/>
        <w:ind w:firstLine="709"/>
        <w:rPr>
          <w:spacing w:val="-10"/>
          <w:sz w:val="28"/>
          <w:szCs w:val="28"/>
          <w:lang w:val="it-IT"/>
        </w:rPr>
      </w:pPr>
      <w:r w:rsidRPr="002A2302">
        <w:rPr>
          <w:spacing w:val="-10"/>
          <w:sz w:val="28"/>
          <w:szCs w:val="28"/>
          <w:lang w:val="it-IT"/>
        </w:rPr>
        <w:t>- Loại hợp đồng: Hợp đồng trọn gói;</w:t>
      </w:r>
    </w:p>
    <w:p w:rsidR="000D0347" w:rsidRPr="002A2302" w:rsidRDefault="000D0347" w:rsidP="00EC4C10">
      <w:pPr>
        <w:spacing w:before="60" w:after="60"/>
        <w:ind w:firstLine="709"/>
        <w:rPr>
          <w:i/>
          <w:spacing w:val="-10"/>
          <w:sz w:val="28"/>
          <w:szCs w:val="28"/>
          <w:lang w:val="it-IT"/>
        </w:rPr>
      </w:pPr>
      <w:r w:rsidRPr="002A2302">
        <w:rPr>
          <w:spacing w:val="-10"/>
          <w:sz w:val="28"/>
          <w:szCs w:val="28"/>
          <w:lang w:val="it-IT"/>
        </w:rPr>
        <w:t xml:space="preserve">- Thời gian thực hiện hợp đồng: </w:t>
      </w:r>
      <w:r w:rsidR="0072655D" w:rsidRPr="002A2302">
        <w:rPr>
          <w:spacing w:val="-10"/>
          <w:sz w:val="28"/>
          <w:szCs w:val="28"/>
          <w:lang w:val="it-IT"/>
        </w:rPr>
        <w:t>6</w:t>
      </w:r>
      <w:r w:rsidRPr="002A2302">
        <w:rPr>
          <w:spacing w:val="-10"/>
          <w:sz w:val="28"/>
          <w:szCs w:val="28"/>
          <w:lang w:val="it-IT"/>
        </w:rPr>
        <w:t xml:space="preserve">0 ngày kể từ khi hai bên ký hợp đồng và Công ty Cổ phần Than Mông Dương -Vinacomin cung cấp đầy đủ tài liệu cơ sở cho bên thiết kế </w:t>
      </w:r>
      <w:r w:rsidRPr="002A2302">
        <w:rPr>
          <w:i/>
          <w:spacing w:val="-10"/>
          <w:sz w:val="28"/>
          <w:szCs w:val="28"/>
          <w:lang w:val="it-IT"/>
        </w:rPr>
        <w:t>(không kể thời gian nghỉ lễ, tết theo quy định và thời gian thẩm định phê duyệt của cấp có thẩm quyền).</w:t>
      </w:r>
    </w:p>
    <w:bookmarkEnd w:id="2"/>
    <w:p w:rsidR="000D0347" w:rsidRPr="002A2302" w:rsidRDefault="000D0347" w:rsidP="006D194E">
      <w:pPr>
        <w:spacing w:before="71" w:after="60"/>
        <w:ind w:firstLine="709"/>
        <w:rPr>
          <w:b/>
          <w:i/>
          <w:spacing w:val="-10"/>
          <w:sz w:val="28"/>
          <w:szCs w:val="28"/>
          <w:lang w:val="it-IT"/>
        </w:rPr>
      </w:pPr>
      <w:r w:rsidRPr="002A2302">
        <w:rPr>
          <w:b/>
          <w:i/>
          <w:spacing w:val="-10"/>
          <w:sz w:val="28"/>
          <w:szCs w:val="28"/>
          <w:lang w:val="it-IT"/>
        </w:rPr>
        <w:lastRenderedPageBreak/>
        <w:t xml:space="preserve">I.1.3. Mục đích tuyển chọn nhà thầu </w:t>
      </w:r>
    </w:p>
    <w:p w:rsidR="000D0347" w:rsidRPr="002A2302" w:rsidRDefault="000D0347" w:rsidP="006D194E">
      <w:pPr>
        <w:spacing w:before="71" w:after="60"/>
        <w:ind w:firstLine="709"/>
        <w:rPr>
          <w:spacing w:val="-14"/>
          <w:sz w:val="28"/>
          <w:szCs w:val="28"/>
          <w:lang w:val="it-IT"/>
        </w:rPr>
      </w:pPr>
      <w:r w:rsidRPr="002A2302">
        <w:rPr>
          <w:spacing w:val="-14"/>
          <w:sz w:val="28"/>
          <w:szCs w:val="28"/>
          <w:lang w:val="it-IT"/>
        </w:rPr>
        <w:t xml:space="preserve">Lựa chọn nhà thầu tư vấn có đủ năng lực và kinh nghiệm để thực hiện công tác: </w:t>
      </w:r>
      <w:r w:rsidR="00170754" w:rsidRPr="002A2302">
        <w:rPr>
          <w:spacing w:val="-14"/>
          <w:sz w:val="28"/>
          <w:szCs w:val="28"/>
          <w:lang w:val="it-IT"/>
        </w:rPr>
        <w:t>Lập thiết kế bản vẽ thi công hạng mục xây lắp trạm bơm, trạm điện và hệ thống bệ đỡ đống đẩy, bệ trạm điện</w:t>
      </w:r>
      <w:r w:rsidR="00385861" w:rsidRPr="002A2302">
        <w:rPr>
          <w:spacing w:val="-14"/>
          <w:sz w:val="28"/>
          <w:szCs w:val="28"/>
          <w:lang w:val="it-IT"/>
        </w:rPr>
        <w:t xml:space="preserve"> thuộc </w:t>
      </w:r>
      <w:r w:rsidRPr="002A2302">
        <w:rPr>
          <w:spacing w:val="-14"/>
          <w:sz w:val="28"/>
          <w:szCs w:val="28"/>
          <w:lang w:val="it-IT"/>
        </w:rPr>
        <w:t xml:space="preserve">Dự án đầu tư thiết bị hầm bơm và trạm điện mức -400 - Công ty </w:t>
      </w:r>
      <w:r w:rsidR="00385861" w:rsidRPr="002A2302">
        <w:rPr>
          <w:spacing w:val="-14"/>
          <w:sz w:val="28"/>
          <w:szCs w:val="28"/>
          <w:lang w:val="it-IT"/>
        </w:rPr>
        <w:t>C</w:t>
      </w:r>
      <w:r w:rsidRPr="002A2302">
        <w:rPr>
          <w:spacing w:val="-14"/>
          <w:sz w:val="28"/>
          <w:szCs w:val="28"/>
          <w:lang w:val="it-IT"/>
        </w:rPr>
        <w:t xml:space="preserve">ổ phần </w:t>
      </w:r>
      <w:r w:rsidR="00385861" w:rsidRPr="002A2302">
        <w:rPr>
          <w:spacing w:val="-14"/>
          <w:sz w:val="28"/>
          <w:szCs w:val="28"/>
          <w:lang w:val="it-IT"/>
        </w:rPr>
        <w:t>T</w:t>
      </w:r>
      <w:r w:rsidRPr="002A2302">
        <w:rPr>
          <w:spacing w:val="-14"/>
          <w:sz w:val="28"/>
          <w:szCs w:val="28"/>
          <w:lang w:val="it-IT"/>
        </w:rPr>
        <w:t>han Mông Dương. Sản phẩm hồ sơ của báo cáo nghiên cứu khả thi theo hướng dẫn tại Thông tư số 31/2025/TT-BCT, ngày 16/5/2025 của Bộ Công thương về việc Quy định nội dung thiết kế cơ sở của dự án đầu tư khai thác khoáng sản, thiết kế mỏ và các quy định hiện hành của Nhà nước, đảm bảo yêu cầu kỹ thuật, chất lượng.</w:t>
      </w:r>
    </w:p>
    <w:p w:rsidR="000D0347" w:rsidRPr="002A2302" w:rsidRDefault="000D0347" w:rsidP="000D0347">
      <w:pPr>
        <w:spacing w:before="60" w:after="60"/>
        <w:ind w:firstLine="720"/>
        <w:rPr>
          <w:b/>
          <w:spacing w:val="-10"/>
          <w:sz w:val="28"/>
          <w:szCs w:val="28"/>
          <w:lang w:val="it-IT"/>
        </w:rPr>
      </w:pPr>
      <w:r w:rsidRPr="002A2302">
        <w:rPr>
          <w:b/>
          <w:spacing w:val="-10"/>
          <w:sz w:val="28"/>
          <w:szCs w:val="28"/>
          <w:lang w:val="it-IT"/>
        </w:rPr>
        <w:t>II. Phạm vi công việc</w:t>
      </w:r>
    </w:p>
    <w:p w:rsidR="000D0347" w:rsidRPr="002A2302" w:rsidRDefault="000D0347" w:rsidP="000D0347">
      <w:pPr>
        <w:spacing w:before="60" w:after="60"/>
        <w:ind w:firstLine="720"/>
        <w:rPr>
          <w:b/>
          <w:spacing w:val="-10"/>
          <w:sz w:val="28"/>
          <w:szCs w:val="28"/>
          <w:lang w:val="it-IT"/>
        </w:rPr>
      </w:pPr>
      <w:r w:rsidRPr="002A2302">
        <w:rPr>
          <w:b/>
          <w:spacing w:val="-10"/>
          <w:sz w:val="28"/>
          <w:szCs w:val="28"/>
          <w:lang w:val="it-IT"/>
        </w:rPr>
        <w:t>1. Phạm vi công việc của nhà thầu tư vấn</w:t>
      </w:r>
    </w:p>
    <w:p w:rsidR="00582702" w:rsidRPr="002A2302" w:rsidRDefault="00582702" w:rsidP="00582702">
      <w:pPr>
        <w:spacing w:before="71" w:after="60"/>
        <w:ind w:firstLine="709"/>
        <w:rPr>
          <w:spacing w:val="-10"/>
          <w:sz w:val="28"/>
          <w:szCs w:val="28"/>
          <w:lang w:val="it-IT"/>
        </w:rPr>
      </w:pPr>
      <w:r w:rsidRPr="002A2302">
        <w:rPr>
          <w:spacing w:val="-10"/>
          <w:sz w:val="28"/>
          <w:szCs w:val="28"/>
          <w:lang w:val="it-IT"/>
        </w:rPr>
        <w:t xml:space="preserve">Lập thiết kế bản vẽ thi công </w:t>
      </w:r>
      <w:r w:rsidR="00D60D78" w:rsidRPr="002A2302">
        <w:rPr>
          <w:spacing w:val="-10"/>
          <w:sz w:val="28"/>
          <w:szCs w:val="28"/>
          <w:lang w:val="it-IT"/>
        </w:rPr>
        <w:t>-</w:t>
      </w:r>
      <w:r w:rsidRPr="002A2302">
        <w:rPr>
          <w:spacing w:val="-10"/>
          <w:sz w:val="28"/>
          <w:szCs w:val="28"/>
          <w:lang w:val="it-IT"/>
        </w:rPr>
        <w:t xml:space="preserve"> dự toán hạng mục xây lắp trạm bơm, trạm điện và hệ thống bệ đỡ đống đẩy, bệ trạm điện.</w:t>
      </w:r>
      <w:r w:rsidR="00807931" w:rsidRPr="002A2302">
        <w:rPr>
          <w:spacing w:val="-10"/>
          <w:sz w:val="28"/>
          <w:szCs w:val="28"/>
          <w:lang w:val="it-IT"/>
        </w:rPr>
        <w:t>..</w:t>
      </w:r>
    </w:p>
    <w:p w:rsidR="000D0347" w:rsidRPr="002A2302" w:rsidRDefault="000D0347" w:rsidP="000D0347">
      <w:pPr>
        <w:widowControl w:val="0"/>
        <w:spacing w:before="60" w:after="60"/>
        <w:ind w:firstLine="720"/>
        <w:rPr>
          <w:rFonts w:ascii="Times New Roman Bold" w:hAnsi="Times New Roman Bold"/>
          <w:b/>
          <w:spacing w:val="-16"/>
          <w:sz w:val="28"/>
          <w:szCs w:val="28"/>
          <w:lang w:val="it-IT"/>
        </w:rPr>
      </w:pPr>
      <w:r w:rsidRPr="002A2302">
        <w:rPr>
          <w:rFonts w:ascii="Times New Roman Bold" w:hAnsi="Times New Roman Bold"/>
          <w:b/>
          <w:spacing w:val="-16"/>
          <w:sz w:val="28"/>
          <w:szCs w:val="28"/>
          <w:lang w:val="it-IT"/>
        </w:rPr>
        <w:t>2. Nhiệm vụ nhà thầu tư vấn phải tiến hành trong thời gian thực hiện hợp đồng</w:t>
      </w:r>
    </w:p>
    <w:p w:rsidR="000D0347" w:rsidRPr="002A2302" w:rsidRDefault="000D0347" w:rsidP="000D0347">
      <w:pPr>
        <w:widowControl w:val="0"/>
        <w:spacing w:before="60" w:after="60"/>
        <w:ind w:firstLine="709"/>
        <w:rPr>
          <w:spacing w:val="-10"/>
          <w:sz w:val="28"/>
          <w:szCs w:val="28"/>
          <w:lang w:val="it-IT"/>
        </w:rPr>
      </w:pPr>
      <w:r w:rsidRPr="002A2302">
        <w:rPr>
          <w:spacing w:val="-10"/>
          <w:sz w:val="28"/>
          <w:szCs w:val="28"/>
          <w:lang w:val="it-IT"/>
        </w:rPr>
        <w:t>- Bố trí đầy đủ người có kinh nghiệm và chuyên môn phù hợp để thực hiện thiết kế; cử người có đủ điều kiện năng lực để làm chủ nhiệm đồ án thiết kế, chủ trì thiết kế như theo yêu cầu của E-HSMT;</w:t>
      </w:r>
    </w:p>
    <w:p w:rsidR="000D0347" w:rsidRPr="002A2302" w:rsidRDefault="000D0347" w:rsidP="000D0347">
      <w:pPr>
        <w:widowControl w:val="0"/>
        <w:spacing w:before="60" w:after="60"/>
        <w:ind w:firstLine="709"/>
        <w:rPr>
          <w:spacing w:val="-10"/>
          <w:sz w:val="28"/>
          <w:szCs w:val="28"/>
          <w:lang w:val="it-IT"/>
        </w:rPr>
      </w:pPr>
      <w:r w:rsidRPr="002A2302">
        <w:rPr>
          <w:spacing w:val="-10"/>
          <w:sz w:val="28"/>
          <w:szCs w:val="28"/>
          <w:lang w:val="it-IT"/>
        </w:rPr>
        <w:t>- Khảo sát thu thập số liệu, tổng hợp, xử lý thông tin về điều kiện tự nhiên, xã hội khu vực địa điểm dự án: địa hình, địa chất, địa chất thuỷ văn, địa chất công trình, khí hậu, thống kê về lượng mưa, sức gió, địa chấn, kinh tế xã hội, các quy hoạch liên quan đến dự án như: chiến lược phát triển kinh tế vùng, quy hoạch giao thông, cấp điện, cấp nước, ... phục vụ lập Thiết kế bản vẽ thi công - dự toán.</w:t>
      </w:r>
    </w:p>
    <w:p w:rsidR="000D0347" w:rsidRPr="002A2302" w:rsidRDefault="000D0347" w:rsidP="000D0347">
      <w:pPr>
        <w:widowControl w:val="0"/>
        <w:spacing w:before="60" w:after="60"/>
        <w:ind w:firstLine="709"/>
        <w:rPr>
          <w:spacing w:val="-10"/>
          <w:sz w:val="28"/>
          <w:szCs w:val="28"/>
          <w:lang w:val="it-IT"/>
        </w:rPr>
      </w:pPr>
      <w:r w:rsidRPr="002A2302">
        <w:rPr>
          <w:spacing w:val="-10"/>
          <w:sz w:val="28"/>
          <w:szCs w:val="28"/>
          <w:lang w:val="it-IT"/>
        </w:rPr>
        <w:t>- Nhà thầu phải chịu trách nhiệm về chất lượng thiết kế do mình thực hiện; việc thẩm tra, thẩm định và phê duyệt thiết kế của cá nhân, tổ chức, chủ đầu tư, người quyết định đầu tư hoặc cơ quan chuyên môn về xây dựng không thay thế và không làm giảm trách nhiệm của nhà thầu thiết kế về chất lượng thiết kế xây dựng công trình do mình thực hiện.</w:t>
      </w:r>
    </w:p>
    <w:p w:rsidR="000D0347" w:rsidRPr="002A2302" w:rsidRDefault="000D0347" w:rsidP="000D0347">
      <w:pPr>
        <w:spacing w:before="60" w:after="60"/>
        <w:ind w:firstLine="709"/>
        <w:rPr>
          <w:spacing w:val="-10"/>
          <w:sz w:val="28"/>
          <w:szCs w:val="28"/>
          <w:lang w:val="it-IT"/>
        </w:rPr>
      </w:pPr>
      <w:r w:rsidRPr="002A2302">
        <w:rPr>
          <w:spacing w:val="-10"/>
          <w:sz w:val="28"/>
          <w:szCs w:val="28"/>
          <w:lang w:val="it-IT"/>
        </w:rPr>
        <w:t xml:space="preserve">- Nhà thầu phải thực hiện việc: Tư vấn </w:t>
      </w:r>
      <w:r w:rsidR="00FE48C4" w:rsidRPr="002A2302">
        <w:rPr>
          <w:spacing w:val="-10"/>
          <w:sz w:val="28"/>
          <w:szCs w:val="28"/>
          <w:lang w:val="it-IT"/>
        </w:rPr>
        <w:t>lập thiết kế bản vẽ thi công hạng mục xây lắp trạm bơm, trạm điện và hệ thống bệ đỡ đống đẩy, bệ trạm điện</w:t>
      </w:r>
      <w:r w:rsidRPr="002A2302">
        <w:rPr>
          <w:spacing w:val="-10"/>
          <w:sz w:val="28"/>
          <w:szCs w:val="28"/>
          <w:lang w:val="it-IT"/>
        </w:rPr>
        <w:t xml:space="preserve">. Sản </w:t>
      </w:r>
      <w:r w:rsidR="00875AC8" w:rsidRPr="002A2302">
        <w:rPr>
          <w:spacing w:val="-10"/>
          <w:sz w:val="28"/>
          <w:szCs w:val="28"/>
          <w:lang w:val="it-IT"/>
        </w:rPr>
        <w:t>phẩm hồ sơ của t</w:t>
      </w:r>
      <w:r w:rsidRPr="002A2302">
        <w:rPr>
          <w:spacing w:val="-10"/>
          <w:sz w:val="28"/>
          <w:szCs w:val="28"/>
          <w:lang w:val="it-IT"/>
        </w:rPr>
        <w:t>hiết kế bản vẽ thi công - dự toán được xây dựng theo hướng dẫn tại Thông tư số 31/2025/TT-BCT, ngày 16/5/2025 của Bộ Công thương về việc Quy định nội dung thiết kế cơ sở của dự án đầu tư khai thác khoáng sản, thiết kế mỏ và các quy định hiện hành của Nhà nước, đảm bảo yêu cầu kỹ thuật, chất lượng.</w:t>
      </w:r>
    </w:p>
    <w:p w:rsidR="000D0347" w:rsidRPr="002A2302" w:rsidRDefault="00875AC8" w:rsidP="000D0347">
      <w:pPr>
        <w:spacing w:before="60" w:after="60"/>
        <w:ind w:firstLine="709"/>
        <w:rPr>
          <w:spacing w:val="-10"/>
          <w:sz w:val="28"/>
          <w:szCs w:val="28"/>
          <w:lang w:val="it-IT"/>
        </w:rPr>
      </w:pPr>
      <w:r w:rsidRPr="002A2302">
        <w:rPr>
          <w:spacing w:val="-10"/>
          <w:sz w:val="28"/>
          <w:szCs w:val="28"/>
          <w:lang w:val="it-IT"/>
        </w:rPr>
        <w:t>- Bàn giao sản phẩm t</w:t>
      </w:r>
      <w:r w:rsidR="000D0347" w:rsidRPr="002A2302">
        <w:rPr>
          <w:spacing w:val="-10"/>
          <w:sz w:val="28"/>
          <w:szCs w:val="28"/>
          <w:lang w:val="it-IT"/>
        </w:rPr>
        <w:t>hiết kế bản vẽ thi công - dự toán Dự án cho Chủ đầu tư.</w:t>
      </w:r>
    </w:p>
    <w:p w:rsidR="000D0347" w:rsidRPr="002A2302" w:rsidRDefault="000D0347" w:rsidP="000D0347">
      <w:pPr>
        <w:spacing w:before="60" w:after="60"/>
        <w:ind w:firstLine="709"/>
        <w:rPr>
          <w:spacing w:val="-10"/>
          <w:sz w:val="28"/>
          <w:szCs w:val="28"/>
          <w:lang w:val="it-IT"/>
        </w:rPr>
      </w:pPr>
      <w:r w:rsidRPr="002A2302">
        <w:rPr>
          <w:spacing w:val="-10"/>
          <w:sz w:val="28"/>
          <w:szCs w:val="28"/>
          <w:lang w:val="it-IT"/>
        </w:rPr>
        <w:t xml:space="preserve">- Bảo vệ hồ sơ </w:t>
      </w:r>
      <w:r w:rsidR="0056498C" w:rsidRPr="002A2302">
        <w:rPr>
          <w:spacing w:val="-10"/>
          <w:sz w:val="28"/>
          <w:szCs w:val="28"/>
          <w:lang w:val="it-IT"/>
        </w:rPr>
        <w:t>t</w:t>
      </w:r>
      <w:r w:rsidRPr="002A2302">
        <w:rPr>
          <w:spacing w:val="-10"/>
          <w:sz w:val="28"/>
          <w:szCs w:val="28"/>
          <w:lang w:val="it-IT"/>
        </w:rPr>
        <w:t>hiết kế bản vẽ thi công - dự toán trước cơ quan, tổ chức thẩm định có thẩm quyền.</w:t>
      </w:r>
    </w:p>
    <w:p w:rsidR="000D0347" w:rsidRPr="002A2302" w:rsidRDefault="000D0347" w:rsidP="000D0347">
      <w:pPr>
        <w:spacing w:before="60" w:after="60"/>
        <w:ind w:firstLine="709"/>
        <w:rPr>
          <w:spacing w:val="-10"/>
          <w:sz w:val="28"/>
          <w:szCs w:val="28"/>
          <w:lang w:val="it-IT"/>
        </w:rPr>
      </w:pPr>
      <w:r w:rsidRPr="002A2302">
        <w:rPr>
          <w:spacing w:val="-10"/>
          <w:sz w:val="28"/>
          <w:szCs w:val="28"/>
          <w:lang w:val="it-IT"/>
        </w:rPr>
        <w:t>- Tiến hành hiệu chỉnh nội dung để lựa chọn theo các yêu cầu cụ thể của chủ đầu tư và hoặc cơ quan có thẩm quyền (nếu có).</w:t>
      </w:r>
    </w:p>
    <w:p w:rsidR="000D0347" w:rsidRPr="002A2302" w:rsidRDefault="000D0347" w:rsidP="000D0347">
      <w:pPr>
        <w:spacing w:before="50" w:after="40"/>
        <w:ind w:firstLine="720"/>
        <w:rPr>
          <w:b/>
          <w:spacing w:val="-10"/>
          <w:sz w:val="28"/>
          <w:szCs w:val="28"/>
          <w:lang w:val="it-IT"/>
        </w:rPr>
      </w:pPr>
      <w:r w:rsidRPr="002A2302">
        <w:rPr>
          <w:b/>
          <w:spacing w:val="-10"/>
          <w:sz w:val="28"/>
          <w:szCs w:val="28"/>
          <w:lang w:val="it-IT"/>
        </w:rPr>
        <w:t>3. Dự kiến thời gian chuyên gia bắt đầu thực hiện dịch vụ tư vấn</w:t>
      </w:r>
    </w:p>
    <w:p w:rsidR="000D0347" w:rsidRPr="002A2302" w:rsidRDefault="000D0347" w:rsidP="000D0347">
      <w:pPr>
        <w:spacing w:before="50" w:after="40"/>
        <w:ind w:firstLine="709"/>
        <w:rPr>
          <w:spacing w:val="-10"/>
          <w:sz w:val="28"/>
          <w:szCs w:val="28"/>
          <w:lang w:val="it-IT"/>
        </w:rPr>
      </w:pPr>
      <w:r w:rsidRPr="002A2302">
        <w:rPr>
          <w:spacing w:val="-10"/>
          <w:sz w:val="28"/>
          <w:szCs w:val="28"/>
          <w:lang w:val="it-IT"/>
        </w:rPr>
        <w:t>- Trong vòng 05 ngày kể từ khi hợp đồng được ký kết.</w:t>
      </w:r>
    </w:p>
    <w:p w:rsidR="006648E8" w:rsidRPr="002A2302" w:rsidRDefault="006648E8" w:rsidP="006648E8">
      <w:pPr>
        <w:spacing w:before="60" w:after="60"/>
        <w:ind w:firstLine="720"/>
        <w:rPr>
          <w:b/>
          <w:spacing w:val="-16"/>
          <w:sz w:val="28"/>
          <w:szCs w:val="28"/>
          <w:lang w:val="it-IT"/>
        </w:rPr>
      </w:pPr>
      <w:r w:rsidRPr="002A2302">
        <w:rPr>
          <w:b/>
          <w:spacing w:val="-16"/>
          <w:sz w:val="28"/>
          <w:szCs w:val="28"/>
          <w:lang w:val="it-IT"/>
        </w:rPr>
        <w:t>III. Giá dự thầu của nhà thầu:</w:t>
      </w:r>
    </w:p>
    <w:p w:rsidR="006648E8" w:rsidRPr="002A2302" w:rsidRDefault="006648E8" w:rsidP="006648E8">
      <w:pPr>
        <w:spacing w:before="60" w:after="60"/>
        <w:ind w:firstLine="720"/>
        <w:rPr>
          <w:bCs/>
          <w:spacing w:val="-16"/>
          <w:sz w:val="28"/>
          <w:szCs w:val="28"/>
          <w:lang w:val="it-IT"/>
        </w:rPr>
      </w:pPr>
      <w:r w:rsidRPr="002A2302">
        <w:rPr>
          <w:bCs/>
          <w:spacing w:val="-16"/>
          <w:sz w:val="28"/>
          <w:szCs w:val="28"/>
          <w:lang w:val="it-IT"/>
        </w:rPr>
        <w:t xml:space="preserve">Giá gói thầu được chủ đầu tư phê duyệt đã có thuế GTGT 10%. Nhà thầu đề xuất giá chào thầu cho dịch vụ tư vấn với thuế GTGT 10% để thống nhất trong quá trình đánh giá các </w:t>
      </w:r>
      <w:r w:rsidRPr="002A2302">
        <w:rPr>
          <w:bCs/>
          <w:spacing w:val="-16"/>
          <w:sz w:val="28"/>
          <w:szCs w:val="28"/>
          <w:lang w:val="it-IT"/>
        </w:rPr>
        <w:lastRenderedPageBreak/>
        <w:t>E-HSDT. Trường hợp tại thời điểm nghiệm thu, nếu có thay đổi về chính sách thuế thì sẽ được điều chỉnh theo quy định.</w:t>
      </w:r>
    </w:p>
    <w:p w:rsidR="006648E8" w:rsidRPr="002A2302" w:rsidRDefault="006648E8" w:rsidP="006648E8">
      <w:pPr>
        <w:spacing w:before="60" w:after="60"/>
        <w:ind w:firstLine="720"/>
        <w:rPr>
          <w:b/>
          <w:spacing w:val="-16"/>
          <w:sz w:val="28"/>
          <w:szCs w:val="28"/>
          <w:lang w:val="it-IT"/>
        </w:rPr>
      </w:pPr>
      <w:r w:rsidRPr="002A2302">
        <w:rPr>
          <w:b/>
          <w:spacing w:val="-16"/>
          <w:sz w:val="28"/>
          <w:szCs w:val="28"/>
          <w:lang w:val="it-IT"/>
        </w:rPr>
        <w:t>IV. Thời gian thực hiện:</w:t>
      </w:r>
    </w:p>
    <w:p w:rsidR="006648E8" w:rsidRPr="002A2302" w:rsidRDefault="006648E8" w:rsidP="006648E8">
      <w:pPr>
        <w:spacing w:before="60" w:after="60"/>
        <w:ind w:firstLine="709"/>
        <w:rPr>
          <w:i/>
          <w:spacing w:val="-18"/>
          <w:sz w:val="28"/>
          <w:szCs w:val="28"/>
          <w:lang w:val="it-IT"/>
        </w:rPr>
      </w:pPr>
      <w:r w:rsidRPr="002A2302">
        <w:rPr>
          <w:spacing w:val="-18"/>
          <w:sz w:val="28"/>
          <w:szCs w:val="28"/>
          <w:lang w:val="it-IT"/>
        </w:rPr>
        <w:t xml:space="preserve">Tổng thời gian thực hiện là 60 ngày, kể từ khi hai bên ký hợp đồng và Công ty Cổ phần Than Mông Dương -Vinacomin cung cấp đầy đủ tài liệu cơ sở cho bên thiết kế </w:t>
      </w:r>
      <w:r w:rsidRPr="002A2302">
        <w:rPr>
          <w:i/>
          <w:spacing w:val="-18"/>
          <w:sz w:val="28"/>
          <w:szCs w:val="28"/>
          <w:lang w:val="it-IT"/>
        </w:rPr>
        <w:t>(không kể thời gian nghỉ lễ, tết theo quy định và thời gian thẩm định phê duyệt của cấp có thẩm quyền).</w:t>
      </w:r>
    </w:p>
    <w:p w:rsidR="006648E8" w:rsidRPr="002A2302" w:rsidRDefault="006648E8" w:rsidP="006648E8">
      <w:pPr>
        <w:spacing w:before="60" w:after="60"/>
        <w:ind w:firstLine="720"/>
        <w:rPr>
          <w:b/>
          <w:spacing w:val="-16"/>
          <w:sz w:val="28"/>
          <w:szCs w:val="28"/>
          <w:lang w:val="it-IT"/>
        </w:rPr>
      </w:pPr>
      <w:r w:rsidRPr="002A2302">
        <w:rPr>
          <w:b/>
          <w:spacing w:val="-16"/>
          <w:sz w:val="28"/>
          <w:szCs w:val="28"/>
          <w:lang w:val="it-IT"/>
        </w:rPr>
        <w:t>V. Kinh nghiệm và nhân sự của nhà thầu</w:t>
      </w:r>
    </w:p>
    <w:p w:rsidR="006648E8" w:rsidRPr="002A2302" w:rsidRDefault="006648E8" w:rsidP="006648E8">
      <w:pPr>
        <w:spacing w:before="60" w:after="60"/>
        <w:ind w:firstLine="720"/>
        <w:rPr>
          <w:spacing w:val="-16"/>
          <w:sz w:val="28"/>
          <w:szCs w:val="28"/>
          <w:lang w:val="it-IT"/>
        </w:rPr>
      </w:pPr>
      <w:r w:rsidRPr="002A2302">
        <w:rPr>
          <w:spacing w:val="-16"/>
          <w:sz w:val="28"/>
          <w:szCs w:val="28"/>
          <w:lang w:val="it-IT"/>
        </w:rPr>
        <w:t>Theo mục 4 nhân sự chủ chốt bảng số 01 Chương III Tiêu chuẩn đánh giá E-HSDT.</w:t>
      </w:r>
    </w:p>
    <w:p w:rsidR="006648E8" w:rsidRPr="002A2302" w:rsidRDefault="006648E8" w:rsidP="006648E8">
      <w:pPr>
        <w:spacing w:before="60" w:after="60"/>
        <w:ind w:firstLine="720"/>
        <w:rPr>
          <w:b/>
          <w:spacing w:val="-16"/>
          <w:sz w:val="28"/>
          <w:szCs w:val="28"/>
          <w:lang w:val="it-IT"/>
        </w:rPr>
      </w:pPr>
      <w:r w:rsidRPr="002A2302">
        <w:rPr>
          <w:b/>
          <w:spacing w:val="-16"/>
          <w:sz w:val="28"/>
          <w:szCs w:val="28"/>
          <w:lang w:val="it-IT"/>
        </w:rPr>
        <w:t>VI. Trách nhiệm của bên mời thầu:</w:t>
      </w:r>
    </w:p>
    <w:p w:rsidR="006648E8" w:rsidRPr="002A2302" w:rsidRDefault="006648E8" w:rsidP="006648E8">
      <w:pPr>
        <w:spacing w:before="60" w:after="60"/>
        <w:ind w:firstLine="720"/>
        <w:rPr>
          <w:bCs/>
          <w:spacing w:val="-16"/>
          <w:sz w:val="28"/>
          <w:szCs w:val="28"/>
          <w:lang w:val="it-IT"/>
        </w:rPr>
      </w:pPr>
      <w:r w:rsidRPr="002A2302">
        <w:rPr>
          <w:bCs/>
          <w:spacing w:val="-16"/>
          <w:sz w:val="28"/>
          <w:szCs w:val="28"/>
          <w:lang w:val="it-IT"/>
        </w:rPr>
        <w:t>Bên mời thầu sẽ tạo điều kiện để Nhà thầu có thể thăm quan hiện trường, tìm hiểu một số thông tin cơ bản về dự án nếu có yêu cầu. Mọi chi phí, rủi ro do việc thăm quan hiện trường hay tìm hiểu dự án do Nhà thầu chịu.</w:t>
      </w:r>
    </w:p>
    <w:p w:rsidR="006648E8" w:rsidRPr="002A2302" w:rsidRDefault="006648E8">
      <w:pPr>
        <w:spacing w:before="60" w:after="60"/>
        <w:ind w:firstLine="720"/>
        <w:rPr>
          <w:bCs/>
          <w:spacing w:val="-16"/>
          <w:sz w:val="28"/>
          <w:szCs w:val="28"/>
          <w:lang w:val="it-IT"/>
        </w:rPr>
      </w:pPr>
    </w:p>
    <w:sectPr w:rsidR="006648E8" w:rsidRPr="002A2302" w:rsidSect="00FD1D7B">
      <w:footerReference w:type="default" r:id="rId9"/>
      <w:pgSz w:w="11907" w:h="16840" w:code="9"/>
      <w:pgMar w:top="1134" w:right="1134" w:bottom="1134" w:left="1701" w:header="454"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79D" w:rsidRDefault="0012679D">
      <w:r>
        <w:separator/>
      </w:r>
    </w:p>
  </w:endnote>
  <w:endnote w:type="continuationSeparator" w:id="0">
    <w:p w:rsidR="0012679D" w:rsidRDefault="0012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9BE" w:rsidRPr="00C95CA2" w:rsidRDefault="00CD19BE" w:rsidP="00CD19BE">
    <w:pPr>
      <w:pStyle w:val="Footer"/>
      <w:ind w:right="360"/>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79D" w:rsidRDefault="0012679D">
      <w:r>
        <w:separator/>
      </w:r>
    </w:p>
  </w:footnote>
  <w:footnote w:type="continuationSeparator" w:id="0">
    <w:p w:rsidR="0012679D" w:rsidRDefault="00126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6DAD"/>
    <w:multiLevelType w:val="multilevel"/>
    <w:tmpl w:val="B0FEA954"/>
    <w:lvl w:ilvl="0">
      <w:start w:val="1"/>
      <w:numFmt w:val="upperRoman"/>
      <w:lvlText w:val="Chương %1:"/>
      <w:lvlJc w:val="left"/>
      <w:pPr>
        <w:tabs>
          <w:tab w:val="num" w:pos="717"/>
        </w:tabs>
        <w:ind w:left="714" w:hanging="357"/>
      </w:pPr>
      <w:rPr>
        <w:rFonts w:hint="default"/>
      </w:rPr>
    </w:lvl>
    <w:lvl w:ilvl="1" w:tentative="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1">
    <w:nsid w:val="064F2B9E"/>
    <w:multiLevelType w:val="hybridMultilevel"/>
    <w:tmpl w:val="BFE4FD8A"/>
    <w:lvl w:ilvl="0" w:tplc="A54E0AC6">
      <w:start w:val="1"/>
      <w:numFmt w:val="decimal"/>
      <w:lvlText w:val="III.2.1.4.%1."/>
      <w:lvlJc w:val="left"/>
      <w:pPr>
        <w:ind w:left="144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6523B"/>
    <w:multiLevelType w:val="hybridMultilevel"/>
    <w:tmpl w:val="3E824CCA"/>
    <w:lvl w:ilvl="0" w:tplc="32E27634">
      <w:start w:val="1"/>
      <w:numFmt w:val="decimal"/>
      <w:lvlText w:val="III.2.2.5.%1."/>
      <w:lvlJc w:val="left"/>
      <w:pPr>
        <w:ind w:left="144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26B84"/>
    <w:multiLevelType w:val="multilevel"/>
    <w:tmpl w:val="C68A55C4"/>
    <w:lvl w:ilvl="0">
      <w:start w:val="1"/>
      <w:numFmt w:val="decimal"/>
      <w:lvlText w:val="III.2.2.%1."/>
      <w:lvlJc w:val="left"/>
      <w:pPr>
        <w:ind w:left="928" w:hanging="360"/>
      </w:pPr>
      <w:rPr>
        <w:rFonts w:hint="default"/>
        <w:b/>
        <w:sz w:val="28"/>
        <w:szCs w:val="28"/>
      </w:rPr>
    </w:lvl>
    <w:lvl w:ilvl="1">
      <w:start w:val="2"/>
      <w:numFmt w:val="decimal"/>
      <w:isLgl/>
      <w:lvlText w:val="%1.%2."/>
      <w:lvlJc w:val="left"/>
      <w:pPr>
        <w:ind w:left="1635" w:hanging="735"/>
      </w:pPr>
      <w:rPr>
        <w:rFonts w:hint="default"/>
      </w:rPr>
    </w:lvl>
    <w:lvl w:ilvl="2">
      <w:start w:val="1"/>
      <w:numFmt w:val="decimal"/>
      <w:isLgl/>
      <w:lvlText w:val="%1.%2.%3."/>
      <w:lvlJc w:val="left"/>
      <w:pPr>
        <w:ind w:left="2175" w:hanging="735"/>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4">
    <w:nsid w:val="2ABC33EA"/>
    <w:multiLevelType w:val="hybridMultilevel"/>
    <w:tmpl w:val="B9B86A58"/>
    <w:lvl w:ilvl="0" w:tplc="29EA7A1A">
      <w:start w:val="1"/>
      <w:numFmt w:val="decimal"/>
      <w:lvlText w:val="III.2.1.7.%1."/>
      <w:lvlJc w:val="left"/>
      <w:pPr>
        <w:ind w:left="144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162D8"/>
    <w:multiLevelType w:val="hybridMultilevel"/>
    <w:tmpl w:val="4D8A3C1C"/>
    <w:lvl w:ilvl="0" w:tplc="A21ECA9C">
      <w:start w:val="1"/>
      <w:numFmt w:val="decimal"/>
      <w:lvlText w:val="III.2.%1."/>
      <w:lvlJc w:val="left"/>
      <w:pPr>
        <w:ind w:left="19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B338ED"/>
    <w:multiLevelType w:val="hybridMultilevel"/>
    <w:tmpl w:val="424E2160"/>
    <w:lvl w:ilvl="0" w:tplc="27C28CA6">
      <w:start w:val="1"/>
      <w:numFmt w:val="decimal"/>
      <w:lvlText w:val="III.2.2.4.%1."/>
      <w:lvlJc w:val="left"/>
      <w:pPr>
        <w:ind w:left="144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C716A0"/>
    <w:multiLevelType w:val="hybridMultilevel"/>
    <w:tmpl w:val="1FB82D42"/>
    <w:lvl w:ilvl="0" w:tplc="D250DBFE">
      <w:start w:val="1"/>
      <w:numFmt w:val="decimal"/>
      <w:lvlText w:val="III.2.1.3.%1."/>
      <w:lvlJc w:val="left"/>
      <w:pPr>
        <w:ind w:left="144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F75EDD"/>
    <w:multiLevelType w:val="hybridMultilevel"/>
    <w:tmpl w:val="065A1FF6"/>
    <w:lvl w:ilvl="0" w:tplc="01D0D814">
      <w:start w:val="1"/>
      <w:numFmt w:val="decimal"/>
      <w:lvlText w:val="III.2.2.3.%1."/>
      <w:lvlJc w:val="left"/>
      <w:pPr>
        <w:ind w:left="1506" w:hanging="360"/>
      </w:pPr>
      <w:rPr>
        <w:rFonts w:hint="default"/>
        <w:sz w:val="28"/>
        <w:szCs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8F17FB7"/>
    <w:multiLevelType w:val="multilevel"/>
    <w:tmpl w:val="5EC2933C"/>
    <w:lvl w:ilvl="0">
      <w:start w:val="1"/>
      <w:numFmt w:val="decimal"/>
      <w:lvlText w:val="%1."/>
      <w:lvlJc w:val="left"/>
      <w:pPr>
        <w:ind w:left="928" w:hanging="360"/>
      </w:pPr>
      <w:rPr>
        <w:rFonts w:hint="default"/>
        <w:sz w:val="28"/>
        <w:szCs w:val="28"/>
      </w:rPr>
    </w:lvl>
    <w:lvl w:ilvl="1">
      <w:start w:val="2"/>
      <w:numFmt w:val="decimal"/>
      <w:isLgl/>
      <w:lvlText w:val="%1.%2."/>
      <w:lvlJc w:val="left"/>
      <w:pPr>
        <w:ind w:left="1635" w:hanging="735"/>
      </w:pPr>
      <w:rPr>
        <w:rFonts w:hint="default"/>
      </w:rPr>
    </w:lvl>
    <w:lvl w:ilvl="2">
      <w:start w:val="1"/>
      <w:numFmt w:val="decimal"/>
      <w:isLgl/>
      <w:lvlText w:val="%1.%2.%3."/>
      <w:lvlJc w:val="left"/>
      <w:pPr>
        <w:ind w:left="2175" w:hanging="735"/>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10">
    <w:nsid w:val="4AC2316D"/>
    <w:multiLevelType w:val="hybridMultilevel"/>
    <w:tmpl w:val="19C29DCA"/>
    <w:lvl w:ilvl="0" w:tplc="5E60FE02">
      <w:start w:val="1"/>
      <w:numFmt w:val="decimal"/>
      <w:lvlText w:val="I.%1."/>
      <w:lvlJc w:val="left"/>
      <w:pPr>
        <w:ind w:left="1220" w:hanging="360"/>
      </w:pPr>
      <w:rPr>
        <w:rFonts w:hint="default"/>
      </w:rPr>
    </w:lvl>
    <w:lvl w:ilvl="1" w:tplc="04090019" w:tentative="1">
      <w:start w:val="1"/>
      <w:numFmt w:val="lowerLetter"/>
      <w:lvlText w:val="%2."/>
      <w:lvlJc w:val="left"/>
      <w:pPr>
        <w:ind w:left="661" w:hanging="360"/>
      </w:pPr>
    </w:lvl>
    <w:lvl w:ilvl="2" w:tplc="0409001B" w:tentative="1">
      <w:start w:val="1"/>
      <w:numFmt w:val="lowerRoman"/>
      <w:lvlText w:val="%3."/>
      <w:lvlJc w:val="right"/>
      <w:pPr>
        <w:ind w:left="1381" w:hanging="180"/>
      </w:pPr>
    </w:lvl>
    <w:lvl w:ilvl="3" w:tplc="0409000F" w:tentative="1">
      <w:start w:val="1"/>
      <w:numFmt w:val="decimal"/>
      <w:lvlText w:val="%4."/>
      <w:lvlJc w:val="left"/>
      <w:pPr>
        <w:ind w:left="2101" w:hanging="360"/>
      </w:pPr>
    </w:lvl>
    <w:lvl w:ilvl="4" w:tplc="04090019" w:tentative="1">
      <w:start w:val="1"/>
      <w:numFmt w:val="lowerLetter"/>
      <w:lvlText w:val="%5."/>
      <w:lvlJc w:val="left"/>
      <w:pPr>
        <w:ind w:left="2821" w:hanging="360"/>
      </w:pPr>
    </w:lvl>
    <w:lvl w:ilvl="5" w:tplc="0409001B" w:tentative="1">
      <w:start w:val="1"/>
      <w:numFmt w:val="lowerRoman"/>
      <w:lvlText w:val="%6."/>
      <w:lvlJc w:val="right"/>
      <w:pPr>
        <w:ind w:left="3541" w:hanging="180"/>
      </w:pPr>
    </w:lvl>
    <w:lvl w:ilvl="6" w:tplc="0409000F" w:tentative="1">
      <w:start w:val="1"/>
      <w:numFmt w:val="decimal"/>
      <w:lvlText w:val="%7."/>
      <w:lvlJc w:val="left"/>
      <w:pPr>
        <w:ind w:left="4261" w:hanging="360"/>
      </w:pPr>
    </w:lvl>
    <w:lvl w:ilvl="7" w:tplc="04090019" w:tentative="1">
      <w:start w:val="1"/>
      <w:numFmt w:val="lowerLetter"/>
      <w:lvlText w:val="%8."/>
      <w:lvlJc w:val="left"/>
      <w:pPr>
        <w:ind w:left="4981" w:hanging="360"/>
      </w:pPr>
    </w:lvl>
    <w:lvl w:ilvl="8" w:tplc="0409001B" w:tentative="1">
      <w:start w:val="1"/>
      <w:numFmt w:val="lowerRoman"/>
      <w:lvlText w:val="%9."/>
      <w:lvlJc w:val="right"/>
      <w:pPr>
        <w:ind w:left="5701" w:hanging="180"/>
      </w:pPr>
    </w:lvl>
  </w:abstractNum>
  <w:abstractNum w:abstractNumId="11">
    <w:nsid w:val="51690236"/>
    <w:multiLevelType w:val="hybridMultilevel"/>
    <w:tmpl w:val="A0ECEB3C"/>
    <w:lvl w:ilvl="0" w:tplc="DEF64196">
      <w:start w:val="1"/>
      <w:numFmt w:val="decimal"/>
      <w:lvlText w:val="III.2.1.1.%1."/>
      <w:lvlJc w:val="left"/>
      <w:pPr>
        <w:ind w:left="144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7E484A"/>
    <w:multiLevelType w:val="hybridMultilevel"/>
    <w:tmpl w:val="70DE526A"/>
    <w:lvl w:ilvl="0" w:tplc="C28AACBE">
      <w:start w:val="1"/>
      <w:numFmt w:val="decimal"/>
      <w:lvlText w:val="I.4.%1."/>
      <w:lvlJc w:val="left"/>
      <w:pPr>
        <w:ind w:left="1920" w:hanging="360"/>
      </w:pPr>
      <w:rPr>
        <w:rFonts w:hint="default"/>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54E645E"/>
    <w:multiLevelType w:val="hybridMultilevel"/>
    <w:tmpl w:val="67E05872"/>
    <w:lvl w:ilvl="0" w:tplc="541874C0">
      <w:start w:val="1"/>
      <w:numFmt w:val="decimal"/>
      <w:lvlText w:val="I.4.2.%1."/>
      <w:lvlJc w:val="left"/>
      <w:pPr>
        <w:ind w:left="1713" w:hanging="360"/>
      </w:pPr>
      <w:rPr>
        <w:rFonts w:hint="default"/>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nsid w:val="5EBD5112"/>
    <w:multiLevelType w:val="hybridMultilevel"/>
    <w:tmpl w:val="57E2E4B8"/>
    <w:lvl w:ilvl="0" w:tplc="3C7E0210">
      <w:start w:val="1"/>
      <w:numFmt w:val="decimal"/>
      <w:lvlText w:val="I.4.3.%1."/>
      <w:lvlJc w:val="left"/>
      <w:pPr>
        <w:ind w:left="1713"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7F2C48"/>
    <w:multiLevelType w:val="hybridMultilevel"/>
    <w:tmpl w:val="9F1CA302"/>
    <w:lvl w:ilvl="0" w:tplc="7842EA8C">
      <w:start w:val="1"/>
      <w:numFmt w:val="upperRoman"/>
      <w:lvlText w:val="Chương %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5171D1"/>
    <w:multiLevelType w:val="hybridMultilevel"/>
    <w:tmpl w:val="928A2EB6"/>
    <w:lvl w:ilvl="0" w:tplc="BF00F8F0">
      <w:start w:val="1"/>
      <w:numFmt w:val="decimal"/>
      <w:lvlText w:val="III.2.1.2.%1."/>
      <w:lvlJc w:val="left"/>
      <w:pPr>
        <w:ind w:left="144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917495"/>
    <w:multiLevelType w:val="hybridMultilevel"/>
    <w:tmpl w:val="99584B86"/>
    <w:lvl w:ilvl="0" w:tplc="395A9DC2">
      <w:start w:val="1"/>
      <w:numFmt w:val="decimal"/>
      <w:lvlText w:val="III.2.1.5.%1."/>
      <w:lvlJc w:val="left"/>
      <w:pPr>
        <w:ind w:left="144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2E2909"/>
    <w:multiLevelType w:val="hybridMultilevel"/>
    <w:tmpl w:val="809C54DC"/>
    <w:lvl w:ilvl="0" w:tplc="C4CC688E">
      <w:start w:val="1"/>
      <w:numFmt w:val="decimal"/>
      <w:lvlText w:val="III.2.2.2.%1."/>
      <w:lvlJc w:val="left"/>
      <w:pPr>
        <w:ind w:left="144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C005D"/>
    <w:multiLevelType w:val="hybridMultilevel"/>
    <w:tmpl w:val="FDBE0334"/>
    <w:lvl w:ilvl="0" w:tplc="E63A03DA">
      <w:start w:val="1"/>
      <w:numFmt w:val="upp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BF303C"/>
    <w:multiLevelType w:val="hybridMultilevel"/>
    <w:tmpl w:val="02E8EF6A"/>
    <w:lvl w:ilvl="0" w:tplc="4948AB74">
      <w:start w:val="1"/>
      <w:numFmt w:val="decimal"/>
      <w:lvlText w:val="III.2.2.1.%1."/>
      <w:lvlJc w:val="left"/>
      <w:pPr>
        <w:ind w:left="144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644947"/>
    <w:multiLevelType w:val="multilevel"/>
    <w:tmpl w:val="208E4B4C"/>
    <w:lvl w:ilvl="0">
      <w:start w:val="1"/>
      <w:numFmt w:val="decimal"/>
      <w:lvlText w:val="III.%1."/>
      <w:lvlJc w:val="left"/>
      <w:pPr>
        <w:ind w:left="1293" w:hanging="360"/>
      </w:pPr>
      <w:rPr>
        <w:rFonts w:hint="default"/>
        <w:b/>
        <w:sz w:val="28"/>
        <w:szCs w:val="28"/>
      </w:rPr>
    </w:lvl>
    <w:lvl w:ilvl="1">
      <w:start w:val="2"/>
      <w:numFmt w:val="decimal"/>
      <w:isLgl/>
      <w:lvlText w:val="%1.%2."/>
      <w:lvlJc w:val="left"/>
      <w:pPr>
        <w:ind w:left="2000" w:hanging="735"/>
      </w:pPr>
      <w:rPr>
        <w:rFonts w:hint="default"/>
      </w:rPr>
    </w:lvl>
    <w:lvl w:ilvl="2">
      <w:start w:val="1"/>
      <w:numFmt w:val="decimal"/>
      <w:isLgl/>
      <w:lvlText w:val="%1.%2.%3."/>
      <w:lvlJc w:val="left"/>
      <w:pPr>
        <w:ind w:left="2540" w:hanging="735"/>
      </w:pPr>
      <w:rPr>
        <w:rFonts w:hint="default"/>
      </w:rPr>
    </w:lvl>
    <w:lvl w:ilvl="3">
      <w:start w:val="1"/>
      <w:numFmt w:val="decimal"/>
      <w:isLgl/>
      <w:lvlText w:val="%1.%2.%3.%4."/>
      <w:lvlJc w:val="left"/>
      <w:pPr>
        <w:ind w:left="3425" w:hanging="1080"/>
      </w:pPr>
      <w:rPr>
        <w:rFonts w:hint="default"/>
      </w:rPr>
    </w:lvl>
    <w:lvl w:ilvl="4">
      <w:start w:val="1"/>
      <w:numFmt w:val="decimal"/>
      <w:isLgl/>
      <w:lvlText w:val="%1.%2.%3.%4.%5."/>
      <w:lvlJc w:val="left"/>
      <w:pPr>
        <w:ind w:left="4325" w:hanging="1440"/>
      </w:pPr>
      <w:rPr>
        <w:rFonts w:hint="default"/>
      </w:rPr>
    </w:lvl>
    <w:lvl w:ilvl="5">
      <w:start w:val="1"/>
      <w:numFmt w:val="decimal"/>
      <w:isLgl/>
      <w:lvlText w:val="%1.%2.%3.%4.%5.%6."/>
      <w:lvlJc w:val="left"/>
      <w:pPr>
        <w:ind w:left="4865" w:hanging="1440"/>
      </w:pPr>
      <w:rPr>
        <w:rFonts w:hint="default"/>
      </w:rPr>
    </w:lvl>
    <w:lvl w:ilvl="6">
      <w:start w:val="1"/>
      <w:numFmt w:val="decimal"/>
      <w:isLgl/>
      <w:lvlText w:val="%1.%2.%3.%4.%5.%6.%7."/>
      <w:lvlJc w:val="left"/>
      <w:pPr>
        <w:ind w:left="5765" w:hanging="1800"/>
      </w:pPr>
      <w:rPr>
        <w:rFonts w:hint="default"/>
      </w:rPr>
    </w:lvl>
    <w:lvl w:ilvl="7">
      <w:start w:val="1"/>
      <w:numFmt w:val="decimal"/>
      <w:isLgl/>
      <w:lvlText w:val="%1.%2.%3.%4.%5.%6.%7.%8."/>
      <w:lvlJc w:val="left"/>
      <w:pPr>
        <w:ind w:left="6305" w:hanging="1800"/>
      </w:pPr>
      <w:rPr>
        <w:rFonts w:hint="default"/>
      </w:rPr>
    </w:lvl>
    <w:lvl w:ilvl="8">
      <w:start w:val="1"/>
      <w:numFmt w:val="decimal"/>
      <w:isLgl/>
      <w:lvlText w:val="%1.%2.%3.%4.%5.%6.%7.%8.%9."/>
      <w:lvlJc w:val="left"/>
      <w:pPr>
        <w:ind w:left="7205" w:hanging="2160"/>
      </w:pPr>
      <w:rPr>
        <w:rFonts w:hint="default"/>
      </w:rPr>
    </w:lvl>
  </w:abstractNum>
  <w:abstractNum w:abstractNumId="22">
    <w:nsid w:val="786D4227"/>
    <w:multiLevelType w:val="multilevel"/>
    <w:tmpl w:val="8F1A7848"/>
    <w:lvl w:ilvl="0">
      <w:start w:val="1"/>
      <w:numFmt w:val="decimal"/>
      <w:lvlText w:val="%1."/>
      <w:lvlJc w:val="left"/>
      <w:pPr>
        <w:ind w:left="928" w:hanging="360"/>
      </w:pPr>
      <w:rPr>
        <w:rFonts w:hint="default"/>
      </w:rPr>
    </w:lvl>
    <w:lvl w:ilvl="1">
      <w:start w:val="2"/>
      <w:numFmt w:val="decimal"/>
      <w:isLgl/>
      <w:lvlText w:val="%1.%2."/>
      <w:lvlJc w:val="left"/>
      <w:pPr>
        <w:ind w:left="1635" w:hanging="735"/>
      </w:pPr>
      <w:rPr>
        <w:rFonts w:hint="default"/>
      </w:rPr>
    </w:lvl>
    <w:lvl w:ilvl="2">
      <w:start w:val="1"/>
      <w:numFmt w:val="decimal"/>
      <w:isLgl/>
      <w:lvlText w:val="%1.%2.%3."/>
      <w:lvlJc w:val="left"/>
      <w:pPr>
        <w:ind w:left="2175" w:hanging="735"/>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23">
    <w:nsid w:val="7DFA2585"/>
    <w:multiLevelType w:val="multilevel"/>
    <w:tmpl w:val="C5001418"/>
    <w:lvl w:ilvl="0">
      <w:start w:val="1"/>
      <w:numFmt w:val="decimal"/>
      <w:lvlText w:val="III.2.1.%1."/>
      <w:lvlJc w:val="left"/>
      <w:pPr>
        <w:ind w:left="928" w:hanging="360"/>
      </w:pPr>
      <w:rPr>
        <w:rFonts w:hint="default"/>
        <w:sz w:val="28"/>
        <w:szCs w:val="28"/>
      </w:rPr>
    </w:lvl>
    <w:lvl w:ilvl="1">
      <w:start w:val="2"/>
      <w:numFmt w:val="decimal"/>
      <w:isLgl/>
      <w:lvlText w:val="%1.%2."/>
      <w:lvlJc w:val="left"/>
      <w:pPr>
        <w:ind w:left="1635" w:hanging="735"/>
      </w:pPr>
      <w:rPr>
        <w:rFonts w:hint="default"/>
      </w:rPr>
    </w:lvl>
    <w:lvl w:ilvl="2">
      <w:start w:val="1"/>
      <w:numFmt w:val="decimal"/>
      <w:isLgl/>
      <w:lvlText w:val="%1.%2.%3."/>
      <w:lvlJc w:val="left"/>
      <w:pPr>
        <w:ind w:left="2175" w:hanging="735"/>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num w:numId="1">
    <w:abstractNumId w:val="0"/>
  </w:num>
  <w:num w:numId="2">
    <w:abstractNumId w:val="19"/>
  </w:num>
  <w:num w:numId="3">
    <w:abstractNumId w:val="12"/>
  </w:num>
  <w:num w:numId="4">
    <w:abstractNumId w:val="13"/>
  </w:num>
  <w:num w:numId="5">
    <w:abstractNumId w:val="14"/>
  </w:num>
  <w:num w:numId="6">
    <w:abstractNumId w:val="23"/>
  </w:num>
  <w:num w:numId="7">
    <w:abstractNumId w:val="11"/>
  </w:num>
  <w:num w:numId="8">
    <w:abstractNumId w:val="16"/>
  </w:num>
  <w:num w:numId="9">
    <w:abstractNumId w:val="3"/>
  </w:num>
  <w:num w:numId="10">
    <w:abstractNumId w:val="20"/>
  </w:num>
  <w:num w:numId="11">
    <w:abstractNumId w:val="18"/>
  </w:num>
  <w:num w:numId="12">
    <w:abstractNumId w:val="8"/>
  </w:num>
  <w:num w:numId="13">
    <w:abstractNumId w:val="6"/>
  </w:num>
  <w:num w:numId="14">
    <w:abstractNumId w:val="2"/>
  </w:num>
  <w:num w:numId="15">
    <w:abstractNumId w:val="15"/>
  </w:num>
  <w:num w:numId="16">
    <w:abstractNumId w:val="22"/>
  </w:num>
  <w:num w:numId="17">
    <w:abstractNumId w:val="9"/>
  </w:num>
  <w:num w:numId="18">
    <w:abstractNumId w:val="21"/>
  </w:num>
  <w:num w:numId="19">
    <w:abstractNumId w:val="5"/>
  </w:num>
  <w:num w:numId="20">
    <w:abstractNumId w:val="10"/>
  </w:num>
  <w:num w:numId="21">
    <w:abstractNumId w:val="7"/>
  </w:num>
  <w:num w:numId="22">
    <w:abstractNumId w:val="1"/>
  </w:num>
  <w:num w:numId="23">
    <w:abstractNumId w:val="1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49C"/>
    <w:rsid w:val="000019F0"/>
    <w:rsid w:val="000224B2"/>
    <w:rsid w:val="00053000"/>
    <w:rsid w:val="00053335"/>
    <w:rsid w:val="000756B5"/>
    <w:rsid w:val="00082320"/>
    <w:rsid w:val="00095551"/>
    <w:rsid w:val="000972D6"/>
    <w:rsid w:val="000B0EE3"/>
    <w:rsid w:val="000C6869"/>
    <w:rsid w:val="000D0347"/>
    <w:rsid w:val="000D748F"/>
    <w:rsid w:val="001001BC"/>
    <w:rsid w:val="00107B1A"/>
    <w:rsid w:val="0012679D"/>
    <w:rsid w:val="00140981"/>
    <w:rsid w:val="001419E9"/>
    <w:rsid w:val="0014586A"/>
    <w:rsid w:val="00156AC5"/>
    <w:rsid w:val="00164A74"/>
    <w:rsid w:val="00166011"/>
    <w:rsid w:val="00170754"/>
    <w:rsid w:val="00172038"/>
    <w:rsid w:val="00177264"/>
    <w:rsid w:val="001830DF"/>
    <w:rsid w:val="00190B45"/>
    <w:rsid w:val="001C7671"/>
    <w:rsid w:val="001D54C4"/>
    <w:rsid w:val="001E446D"/>
    <w:rsid w:val="001E685F"/>
    <w:rsid w:val="002457D9"/>
    <w:rsid w:val="002661A5"/>
    <w:rsid w:val="002724B8"/>
    <w:rsid w:val="002877E7"/>
    <w:rsid w:val="002A2302"/>
    <w:rsid w:val="002A2FB2"/>
    <w:rsid w:val="002B3A2C"/>
    <w:rsid w:val="002B4F22"/>
    <w:rsid w:val="002B5B76"/>
    <w:rsid w:val="002C3B15"/>
    <w:rsid w:val="002D1745"/>
    <w:rsid w:val="003056D0"/>
    <w:rsid w:val="003070E7"/>
    <w:rsid w:val="00310DB8"/>
    <w:rsid w:val="00312EB4"/>
    <w:rsid w:val="003277D6"/>
    <w:rsid w:val="0034600B"/>
    <w:rsid w:val="0035220C"/>
    <w:rsid w:val="003635D0"/>
    <w:rsid w:val="003720A4"/>
    <w:rsid w:val="00385861"/>
    <w:rsid w:val="00390EC7"/>
    <w:rsid w:val="00392690"/>
    <w:rsid w:val="003B64FA"/>
    <w:rsid w:val="003C63F9"/>
    <w:rsid w:val="003D60F9"/>
    <w:rsid w:val="003E35C0"/>
    <w:rsid w:val="003E77AF"/>
    <w:rsid w:val="0040083E"/>
    <w:rsid w:val="00401E7A"/>
    <w:rsid w:val="00420D39"/>
    <w:rsid w:val="004264FD"/>
    <w:rsid w:val="00432A2E"/>
    <w:rsid w:val="00436D8A"/>
    <w:rsid w:val="00463A42"/>
    <w:rsid w:val="00477F49"/>
    <w:rsid w:val="00480DDE"/>
    <w:rsid w:val="00486E8B"/>
    <w:rsid w:val="00494C90"/>
    <w:rsid w:val="00496346"/>
    <w:rsid w:val="004D347E"/>
    <w:rsid w:val="004E6ECA"/>
    <w:rsid w:val="004F0589"/>
    <w:rsid w:val="004F4921"/>
    <w:rsid w:val="00504516"/>
    <w:rsid w:val="00515F69"/>
    <w:rsid w:val="00517101"/>
    <w:rsid w:val="00541156"/>
    <w:rsid w:val="005519AF"/>
    <w:rsid w:val="005540F3"/>
    <w:rsid w:val="0056498C"/>
    <w:rsid w:val="00582702"/>
    <w:rsid w:val="005A66C9"/>
    <w:rsid w:val="005B203E"/>
    <w:rsid w:val="005C2F2A"/>
    <w:rsid w:val="005C440A"/>
    <w:rsid w:val="005D63B1"/>
    <w:rsid w:val="005E44FC"/>
    <w:rsid w:val="0060598D"/>
    <w:rsid w:val="00614B2E"/>
    <w:rsid w:val="00634955"/>
    <w:rsid w:val="00656BEC"/>
    <w:rsid w:val="006648E8"/>
    <w:rsid w:val="0067136B"/>
    <w:rsid w:val="00696516"/>
    <w:rsid w:val="00696647"/>
    <w:rsid w:val="006A065C"/>
    <w:rsid w:val="006A5DF1"/>
    <w:rsid w:val="006C11F1"/>
    <w:rsid w:val="006C491D"/>
    <w:rsid w:val="006D194E"/>
    <w:rsid w:val="006D7D14"/>
    <w:rsid w:val="006F016B"/>
    <w:rsid w:val="006F069A"/>
    <w:rsid w:val="006F747D"/>
    <w:rsid w:val="006F7E51"/>
    <w:rsid w:val="00706246"/>
    <w:rsid w:val="007102A8"/>
    <w:rsid w:val="00713058"/>
    <w:rsid w:val="0071721D"/>
    <w:rsid w:val="00723A67"/>
    <w:rsid w:val="00723D7C"/>
    <w:rsid w:val="0072655D"/>
    <w:rsid w:val="00734FA6"/>
    <w:rsid w:val="00737F5D"/>
    <w:rsid w:val="00741349"/>
    <w:rsid w:val="0077497F"/>
    <w:rsid w:val="00777E4A"/>
    <w:rsid w:val="007963C3"/>
    <w:rsid w:val="00796A25"/>
    <w:rsid w:val="007A4A64"/>
    <w:rsid w:val="007B3315"/>
    <w:rsid w:val="007B7E90"/>
    <w:rsid w:val="007D0B89"/>
    <w:rsid w:val="007D69FE"/>
    <w:rsid w:val="007E2E4A"/>
    <w:rsid w:val="007F124C"/>
    <w:rsid w:val="0080084A"/>
    <w:rsid w:val="00807931"/>
    <w:rsid w:val="008245BB"/>
    <w:rsid w:val="00826CE1"/>
    <w:rsid w:val="00853F87"/>
    <w:rsid w:val="00865D6A"/>
    <w:rsid w:val="008663AA"/>
    <w:rsid w:val="00875935"/>
    <w:rsid w:val="00875AC8"/>
    <w:rsid w:val="00876108"/>
    <w:rsid w:val="008864F6"/>
    <w:rsid w:val="00892527"/>
    <w:rsid w:val="00894D29"/>
    <w:rsid w:val="008C6EF4"/>
    <w:rsid w:val="008F79E7"/>
    <w:rsid w:val="00906F36"/>
    <w:rsid w:val="00926180"/>
    <w:rsid w:val="00927E58"/>
    <w:rsid w:val="00932C5F"/>
    <w:rsid w:val="0094273B"/>
    <w:rsid w:val="009458C9"/>
    <w:rsid w:val="00961987"/>
    <w:rsid w:val="00983722"/>
    <w:rsid w:val="009853E1"/>
    <w:rsid w:val="009916A6"/>
    <w:rsid w:val="00996775"/>
    <w:rsid w:val="009A296A"/>
    <w:rsid w:val="009B2463"/>
    <w:rsid w:val="009B7DC5"/>
    <w:rsid w:val="009D3C01"/>
    <w:rsid w:val="009D3FD6"/>
    <w:rsid w:val="009F3735"/>
    <w:rsid w:val="00A00C71"/>
    <w:rsid w:val="00A10903"/>
    <w:rsid w:val="00A370A4"/>
    <w:rsid w:val="00A372E7"/>
    <w:rsid w:val="00A434E5"/>
    <w:rsid w:val="00A52642"/>
    <w:rsid w:val="00A65107"/>
    <w:rsid w:val="00A87A51"/>
    <w:rsid w:val="00A90732"/>
    <w:rsid w:val="00AA589B"/>
    <w:rsid w:val="00AC0356"/>
    <w:rsid w:val="00AD5F49"/>
    <w:rsid w:val="00AF7E27"/>
    <w:rsid w:val="00B01622"/>
    <w:rsid w:val="00B03FE9"/>
    <w:rsid w:val="00B1259C"/>
    <w:rsid w:val="00B152FA"/>
    <w:rsid w:val="00B1595F"/>
    <w:rsid w:val="00B358AC"/>
    <w:rsid w:val="00B36F3F"/>
    <w:rsid w:val="00B70B2F"/>
    <w:rsid w:val="00B775E3"/>
    <w:rsid w:val="00B82A35"/>
    <w:rsid w:val="00B929C6"/>
    <w:rsid w:val="00BA4FCE"/>
    <w:rsid w:val="00BA50A8"/>
    <w:rsid w:val="00BC4921"/>
    <w:rsid w:val="00BF0E82"/>
    <w:rsid w:val="00C12DDA"/>
    <w:rsid w:val="00C501DE"/>
    <w:rsid w:val="00C55BA9"/>
    <w:rsid w:val="00C67C9D"/>
    <w:rsid w:val="00C70DA3"/>
    <w:rsid w:val="00C811FB"/>
    <w:rsid w:val="00C9411E"/>
    <w:rsid w:val="00CA03A6"/>
    <w:rsid w:val="00CA6C8E"/>
    <w:rsid w:val="00CB274F"/>
    <w:rsid w:val="00CD19BE"/>
    <w:rsid w:val="00CE5FE1"/>
    <w:rsid w:val="00CF7471"/>
    <w:rsid w:val="00D04959"/>
    <w:rsid w:val="00D05F37"/>
    <w:rsid w:val="00D25653"/>
    <w:rsid w:val="00D34194"/>
    <w:rsid w:val="00D3436C"/>
    <w:rsid w:val="00D36B5E"/>
    <w:rsid w:val="00D510D6"/>
    <w:rsid w:val="00D60D78"/>
    <w:rsid w:val="00D63723"/>
    <w:rsid w:val="00D86374"/>
    <w:rsid w:val="00D87AF9"/>
    <w:rsid w:val="00D90318"/>
    <w:rsid w:val="00DA02C4"/>
    <w:rsid w:val="00DA11FA"/>
    <w:rsid w:val="00DA241F"/>
    <w:rsid w:val="00DB4A5A"/>
    <w:rsid w:val="00DD1C4D"/>
    <w:rsid w:val="00DD6899"/>
    <w:rsid w:val="00DD7074"/>
    <w:rsid w:val="00DE5384"/>
    <w:rsid w:val="00DF5177"/>
    <w:rsid w:val="00DF59DA"/>
    <w:rsid w:val="00DF7393"/>
    <w:rsid w:val="00E1297E"/>
    <w:rsid w:val="00E13954"/>
    <w:rsid w:val="00E27C91"/>
    <w:rsid w:val="00E37F46"/>
    <w:rsid w:val="00E52ECF"/>
    <w:rsid w:val="00E53C21"/>
    <w:rsid w:val="00E54F14"/>
    <w:rsid w:val="00E86BB5"/>
    <w:rsid w:val="00E91FC1"/>
    <w:rsid w:val="00E9312F"/>
    <w:rsid w:val="00E935B5"/>
    <w:rsid w:val="00E95A37"/>
    <w:rsid w:val="00EB01B9"/>
    <w:rsid w:val="00EB0EF2"/>
    <w:rsid w:val="00EC4C10"/>
    <w:rsid w:val="00EC4F59"/>
    <w:rsid w:val="00ED6229"/>
    <w:rsid w:val="00EE418A"/>
    <w:rsid w:val="00EE4C9C"/>
    <w:rsid w:val="00EE5372"/>
    <w:rsid w:val="00EE76A7"/>
    <w:rsid w:val="00F1449C"/>
    <w:rsid w:val="00F145B4"/>
    <w:rsid w:val="00F207F2"/>
    <w:rsid w:val="00F212DC"/>
    <w:rsid w:val="00F34587"/>
    <w:rsid w:val="00F408CC"/>
    <w:rsid w:val="00F432CD"/>
    <w:rsid w:val="00F46025"/>
    <w:rsid w:val="00F60361"/>
    <w:rsid w:val="00F75769"/>
    <w:rsid w:val="00F815CF"/>
    <w:rsid w:val="00F97FE3"/>
    <w:rsid w:val="00FC41FA"/>
    <w:rsid w:val="00FD0553"/>
    <w:rsid w:val="00FD1D7B"/>
    <w:rsid w:val="00FD1E51"/>
    <w:rsid w:val="00FD1EA7"/>
    <w:rsid w:val="00FE2EAE"/>
    <w:rsid w:val="00FE48C4"/>
    <w:rsid w:val="00FE4B65"/>
    <w:rsid w:val="00FE72E3"/>
    <w:rsid w:val="00FF40A7"/>
    <w:rsid w:val="00FF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F5D"/>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B358A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TN2"/>
    <w:basedOn w:val="Normal"/>
    <w:next w:val="Normal"/>
    <w:link w:val="Heading2Char"/>
    <w:qFormat/>
    <w:rsid w:val="00737F5D"/>
    <w:pPr>
      <w:spacing w:before="120" w:after="120"/>
      <w:jc w:val="center"/>
      <w:outlineLvl w:val="1"/>
    </w:pPr>
    <w:rPr>
      <w:b/>
      <w:bCs/>
      <w:sz w:val="28"/>
      <w:szCs w:val="22"/>
      <w:lang w:val="vi-VN"/>
    </w:rPr>
  </w:style>
  <w:style w:type="paragraph" w:styleId="Heading3">
    <w:name w:val="heading 3"/>
    <w:aliases w:val="HTN3"/>
    <w:basedOn w:val="Normal"/>
    <w:next w:val="Normal"/>
    <w:link w:val="Heading3Char"/>
    <w:qFormat/>
    <w:rsid w:val="00737F5D"/>
    <w:pPr>
      <w:widowControl w:val="0"/>
      <w:spacing w:before="120" w:after="120" w:line="264" w:lineRule="auto"/>
      <w:jc w:val="center"/>
      <w:outlineLvl w:val="2"/>
    </w:pPr>
    <w:rPr>
      <w:b/>
      <w:b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TN2 Char"/>
    <w:basedOn w:val="DefaultParagraphFont"/>
    <w:link w:val="Heading2"/>
    <w:rsid w:val="00737F5D"/>
    <w:rPr>
      <w:rFonts w:eastAsia="Times New Roman" w:cs="Times New Roman"/>
      <w:b/>
      <w:bCs/>
      <w:lang w:val="vi-VN"/>
    </w:rPr>
  </w:style>
  <w:style w:type="character" w:customStyle="1" w:styleId="Heading3Char">
    <w:name w:val="Heading 3 Char"/>
    <w:aliases w:val="HTN3 Char"/>
    <w:basedOn w:val="DefaultParagraphFont"/>
    <w:link w:val="Heading3"/>
    <w:rsid w:val="00737F5D"/>
    <w:rPr>
      <w:rFonts w:eastAsia="Times New Roman" w:cs="Times New Roman"/>
      <w:b/>
      <w:bCs/>
      <w:szCs w:val="28"/>
      <w:lang w:val="vi-VN"/>
    </w:rPr>
  </w:style>
  <w:style w:type="paragraph" w:styleId="Header">
    <w:name w:val="header"/>
    <w:basedOn w:val="Normal"/>
    <w:link w:val="HeaderChar"/>
    <w:rsid w:val="00463A42"/>
    <w:pPr>
      <w:tabs>
        <w:tab w:val="center" w:pos="4320"/>
        <w:tab w:val="right" w:pos="8640"/>
      </w:tabs>
      <w:jc w:val="left"/>
    </w:pPr>
    <w:rPr>
      <w:rFonts w:ascii=".VnTime" w:hAnsi=".VnTime"/>
      <w:sz w:val="28"/>
    </w:rPr>
  </w:style>
  <w:style w:type="character" w:customStyle="1" w:styleId="HeaderChar">
    <w:name w:val="Header Char"/>
    <w:basedOn w:val="DefaultParagraphFont"/>
    <w:link w:val="Header"/>
    <w:rsid w:val="00463A42"/>
    <w:rPr>
      <w:rFonts w:ascii=".VnTime" w:eastAsia="Times New Roman" w:hAnsi=".VnTime" w:cs="Times New Roman"/>
      <w:szCs w:val="20"/>
    </w:rPr>
  </w:style>
  <w:style w:type="character" w:styleId="PageNumber">
    <w:name w:val="page number"/>
    <w:basedOn w:val="DefaultParagraphFont"/>
    <w:rsid w:val="00463A42"/>
  </w:style>
  <w:style w:type="paragraph" w:styleId="Footer">
    <w:name w:val="footer"/>
    <w:basedOn w:val="Normal"/>
    <w:link w:val="FooterChar"/>
    <w:uiPriority w:val="99"/>
    <w:rsid w:val="00463A42"/>
    <w:pPr>
      <w:tabs>
        <w:tab w:val="center" w:pos="4320"/>
        <w:tab w:val="right" w:pos="8640"/>
      </w:tabs>
      <w:jc w:val="left"/>
    </w:pPr>
    <w:rPr>
      <w:rFonts w:ascii=".VnTime" w:hAnsi=".VnTime"/>
      <w:sz w:val="28"/>
    </w:rPr>
  </w:style>
  <w:style w:type="character" w:customStyle="1" w:styleId="FooterChar">
    <w:name w:val="Footer Char"/>
    <w:basedOn w:val="DefaultParagraphFont"/>
    <w:link w:val="Footer"/>
    <w:uiPriority w:val="99"/>
    <w:rsid w:val="00463A42"/>
    <w:rPr>
      <w:rFonts w:ascii=".VnTime" w:eastAsia="Times New Roman" w:hAnsi=".VnTime" w:cs="Times New Roman"/>
      <w:szCs w:val="20"/>
    </w:rPr>
  </w:style>
  <w:style w:type="paragraph" w:styleId="NormalWeb">
    <w:name w:val="Normal (Web)"/>
    <w:basedOn w:val="Normal"/>
    <w:rsid w:val="00463A42"/>
    <w:pPr>
      <w:spacing w:before="100" w:beforeAutospacing="1" w:after="100" w:afterAutospacing="1"/>
      <w:jc w:val="left"/>
    </w:pPr>
    <w:rPr>
      <w:szCs w:val="24"/>
    </w:rPr>
  </w:style>
  <w:style w:type="paragraph" w:styleId="ListParagraph">
    <w:name w:val="List Paragraph"/>
    <w:basedOn w:val="Normal"/>
    <w:uiPriority w:val="34"/>
    <w:qFormat/>
    <w:rsid w:val="00463A42"/>
    <w:pPr>
      <w:ind w:left="720"/>
      <w:contextualSpacing/>
      <w:jc w:val="left"/>
    </w:pPr>
    <w:rPr>
      <w:rFonts w:ascii=".VnTime" w:hAnsi=".VnTime"/>
      <w:sz w:val="28"/>
    </w:rPr>
  </w:style>
  <w:style w:type="character" w:customStyle="1" w:styleId="Heading1Char">
    <w:name w:val="Heading 1 Char"/>
    <w:basedOn w:val="DefaultParagraphFont"/>
    <w:link w:val="Heading1"/>
    <w:uiPriority w:val="9"/>
    <w:rsid w:val="00B358AC"/>
    <w:rPr>
      <w:rFonts w:asciiTheme="majorHAnsi" w:eastAsiaTheme="majorEastAsia" w:hAnsiTheme="majorHAnsi" w:cstheme="majorBidi"/>
      <w:color w:val="365F91" w:themeColor="accent1" w:themeShade="BF"/>
      <w:sz w:val="32"/>
      <w:szCs w:val="32"/>
    </w:rPr>
  </w:style>
  <w:style w:type="paragraph" w:styleId="BodyText2">
    <w:name w:val="Body Text 2"/>
    <w:basedOn w:val="Normal"/>
    <w:link w:val="BodyText2Char"/>
    <w:uiPriority w:val="99"/>
    <w:unhideWhenUsed/>
    <w:rsid w:val="00B358AC"/>
    <w:pPr>
      <w:spacing w:after="120" w:line="480" w:lineRule="auto"/>
      <w:jc w:val="left"/>
    </w:pPr>
    <w:rPr>
      <w:rFonts w:ascii=".VnTime" w:hAnsi=".VnTime"/>
      <w:sz w:val="28"/>
    </w:rPr>
  </w:style>
  <w:style w:type="character" w:customStyle="1" w:styleId="BodyText2Char">
    <w:name w:val="Body Text 2 Char"/>
    <w:basedOn w:val="DefaultParagraphFont"/>
    <w:link w:val="BodyText2"/>
    <w:uiPriority w:val="99"/>
    <w:rsid w:val="00B358AC"/>
    <w:rPr>
      <w:rFonts w:ascii=".VnTime" w:eastAsia="Times New Roman" w:hAnsi=".VnTime"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F5D"/>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B358A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TN2"/>
    <w:basedOn w:val="Normal"/>
    <w:next w:val="Normal"/>
    <w:link w:val="Heading2Char"/>
    <w:qFormat/>
    <w:rsid w:val="00737F5D"/>
    <w:pPr>
      <w:spacing w:before="120" w:after="120"/>
      <w:jc w:val="center"/>
      <w:outlineLvl w:val="1"/>
    </w:pPr>
    <w:rPr>
      <w:b/>
      <w:bCs/>
      <w:sz w:val="28"/>
      <w:szCs w:val="22"/>
      <w:lang w:val="vi-VN"/>
    </w:rPr>
  </w:style>
  <w:style w:type="paragraph" w:styleId="Heading3">
    <w:name w:val="heading 3"/>
    <w:aliases w:val="HTN3"/>
    <w:basedOn w:val="Normal"/>
    <w:next w:val="Normal"/>
    <w:link w:val="Heading3Char"/>
    <w:qFormat/>
    <w:rsid w:val="00737F5D"/>
    <w:pPr>
      <w:widowControl w:val="0"/>
      <w:spacing w:before="120" w:after="120" w:line="264" w:lineRule="auto"/>
      <w:jc w:val="center"/>
      <w:outlineLvl w:val="2"/>
    </w:pPr>
    <w:rPr>
      <w:b/>
      <w:b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TN2 Char"/>
    <w:basedOn w:val="DefaultParagraphFont"/>
    <w:link w:val="Heading2"/>
    <w:rsid w:val="00737F5D"/>
    <w:rPr>
      <w:rFonts w:eastAsia="Times New Roman" w:cs="Times New Roman"/>
      <w:b/>
      <w:bCs/>
      <w:lang w:val="vi-VN"/>
    </w:rPr>
  </w:style>
  <w:style w:type="character" w:customStyle="1" w:styleId="Heading3Char">
    <w:name w:val="Heading 3 Char"/>
    <w:aliases w:val="HTN3 Char"/>
    <w:basedOn w:val="DefaultParagraphFont"/>
    <w:link w:val="Heading3"/>
    <w:rsid w:val="00737F5D"/>
    <w:rPr>
      <w:rFonts w:eastAsia="Times New Roman" w:cs="Times New Roman"/>
      <w:b/>
      <w:bCs/>
      <w:szCs w:val="28"/>
      <w:lang w:val="vi-VN"/>
    </w:rPr>
  </w:style>
  <w:style w:type="paragraph" w:styleId="Header">
    <w:name w:val="header"/>
    <w:basedOn w:val="Normal"/>
    <w:link w:val="HeaderChar"/>
    <w:rsid w:val="00463A42"/>
    <w:pPr>
      <w:tabs>
        <w:tab w:val="center" w:pos="4320"/>
        <w:tab w:val="right" w:pos="8640"/>
      </w:tabs>
      <w:jc w:val="left"/>
    </w:pPr>
    <w:rPr>
      <w:rFonts w:ascii=".VnTime" w:hAnsi=".VnTime"/>
      <w:sz w:val="28"/>
    </w:rPr>
  </w:style>
  <w:style w:type="character" w:customStyle="1" w:styleId="HeaderChar">
    <w:name w:val="Header Char"/>
    <w:basedOn w:val="DefaultParagraphFont"/>
    <w:link w:val="Header"/>
    <w:rsid w:val="00463A42"/>
    <w:rPr>
      <w:rFonts w:ascii=".VnTime" w:eastAsia="Times New Roman" w:hAnsi=".VnTime" w:cs="Times New Roman"/>
      <w:szCs w:val="20"/>
    </w:rPr>
  </w:style>
  <w:style w:type="character" w:styleId="PageNumber">
    <w:name w:val="page number"/>
    <w:basedOn w:val="DefaultParagraphFont"/>
    <w:rsid w:val="00463A42"/>
  </w:style>
  <w:style w:type="paragraph" w:styleId="Footer">
    <w:name w:val="footer"/>
    <w:basedOn w:val="Normal"/>
    <w:link w:val="FooterChar"/>
    <w:uiPriority w:val="99"/>
    <w:rsid w:val="00463A42"/>
    <w:pPr>
      <w:tabs>
        <w:tab w:val="center" w:pos="4320"/>
        <w:tab w:val="right" w:pos="8640"/>
      </w:tabs>
      <w:jc w:val="left"/>
    </w:pPr>
    <w:rPr>
      <w:rFonts w:ascii=".VnTime" w:hAnsi=".VnTime"/>
      <w:sz w:val="28"/>
    </w:rPr>
  </w:style>
  <w:style w:type="character" w:customStyle="1" w:styleId="FooterChar">
    <w:name w:val="Footer Char"/>
    <w:basedOn w:val="DefaultParagraphFont"/>
    <w:link w:val="Footer"/>
    <w:uiPriority w:val="99"/>
    <w:rsid w:val="00463A42"/>
    <w:rPr>
      <w:rFonts w:ascii=".VnTime" w:eastAsia="Times New Roman" w:hAnsi=".VnTime" w:cs="Times New Roman"/>
      <w:szCs w:val="20"/>
    </w:rPr>
  </w:style>
  <w:style w:type="paragraph" w:styleId="NormalWeb">
    <w:name w:val="Normal (Web)"/>
    <w:basedOn w:val="Normal"/>
    <w:rsid w:val="00463A42"/>
    <w:pPr>
      <w:spacing w:before="100" w:beforeAutospacing="1" w:after="100" w:afterAutospacing="1"/>
      <w:jc w:val="left"/>
    </w:pPr>
    <w:rPr>
      <w:szCs w:val="24"/>
    </w:rPr>
  </w:style>
  <w:style w:type="paragraph" w:styleId="ListParagraph">
    <w:name w:val="List Paragraph"/>
    <w:basedOn w:val="Normal"/>
    <w:uiPriority w:val="34"/>
    <w:qFormat/>
    <w:rsid w:val="00463A42"/>
    <w:pPr>
      <w:ind w:left="720"/>
      <w:contextualSpacing/>
      <w:jc w:val="left"/>
    </w:pPr>
    <w:rPr>
      <w:rFonts w:ascii=".VnTime" w:hAnsi=".VnTime"/>
      <w:sz w:val="28"/>
    </w:rPr>
  </w:style>
  <w:style w:type="character" w:customStyle="1" w:styleId="Heading1Char">
    <w:name w:val="Heading 1 Char"/>
    <w:basedOn w:val="DefaultParagraphFont"/>
    <w:link w:val="Heading1"/>
    <w:uiPriority w:val="9"/>
    <w:rsid w:val="00B358AC"/>
    <w:rPr>
      <w:rFonts w:asciiTheme="majorHAnsi" w:eastAsiaTheme="majorEastAsia" w:hAnsiTheme="majorHAnsi" w:cstheme="majorBidi"/>
      <w:color w:val="365F91" w:themeColor="accent1" w:themeShade="BF"/>
      <w:sz w:val="32"/>
      <w:szCs w:val="32"/>
    </w:rPr>
  </w:style>
  <w:style w:type="paragraph" w:styleId="BodyText2">
    <w:name w:val="Body Text 2"/>
    <w:basedOn w:val="Normal"/>
    <w:link w:val="BodyText2Char"/>
    <w:uiPriority w:val="99"/>
    <w:unhideWhenUsed/>
    <w:rsid w:val="00B358AC"/>
    <w:pPr>
      <w:spacing w:after="120" w:line="480" w:lineRule="auto"/>
      <w:jc w:val="left"/>
    </w:pPr>
    <w:rPr>
      <w:rFonts w:ascii=".VnTime" w:hAnsi=".VnTime"/>
      <w:sz w:val="28"/>
    </w:rPr>
  </w:style>
  <w:style w:type="character" w:customStyle="1" w:styleId="BodyText2Char">
    <w:name w:val="Body Text 2 Char"/>
    <w:basedOn w:val="DefaultParagraphFont"/>
    <w:link w:val="BodyText2"/>
    <w:uiPriority w:val="99"/>
    <w:rsid w:val="00B358AC"/>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71320-F403-4B74-80E7-78E4A51F3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Quockhanh</dc:creator>
  <cp:lastModifiedBy>Quoc khanh</cp:lastModifiedBy>
  <cp:revision>25</cp:revision>
  <dcterms:created xsi:type="dcterms:W3CDTF">2025-06-20T06:53:00Z</dcterms:created>
  <dcterms:modified xsi:type="dcterms:W3CDTF">2025-11-20T03:42:00Z</dcterms:modified>
</cp:coreProperties>
</file>