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E4" w:rsidRPr="00F5142B" w:rsidRDefault="00E831E4" w:rsidP="00E831E4">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rsidR="00E831E4" w:rsidRPr="00F5142B" w:rsidRDefault="00E831E4" w:rsidP="00E831E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rsidR="00E831E4" w:rsidRPr="00F5142B" w:rsidRDefault="00E831E4" w:rsidP="00E831E4">
      <w:pPr>
        <w:pStyle w:val="Style11"/>
        <w:tabs>
          <w:tab w:val="left" w:pos="0"/>
          <w:tab w:val="left" w:pos="851"/>
          <w:tab w:val="left" w:pos="1418"/>
        </w:tabs>
        <w:spacing w:before="120" w:after="120" w:line="264" w:lineRule="auto"/>
        <w:ind w:firstLine="567"/>
        <w:jc w:val="center"/>
        <w:rPr>
          <w:b/>
          <w:sz w:val="28"/>
          <w:szCs w:val="28"/>
          <w:lang w:val="vi-VN"/>
        </w:rPr>
      </w:pPr>
    </w:p>
    <w:p w:rsidR="00E831E4" w:rsidRPr="00F5142B" w:rsidRDefault="00E831E4" w:rsidP="00E831E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rsidR="00E831E4" w:rsidRPr="006A07C8" w:rsidRDefault="00E831E4" w:rsidP="00E831E4">
      <w:pPr>
        <w:tabs>
          <w:tab w:val="left" w:pos="1418"/>
        </w:tabs>
        <w:spacing w:before="120" w:after="120" w:line="264" w:lineRule="auto"/>
        <w:ind w:firstLine="709"/>
        <w:rPr>
          <w:sz w:val="28"/>
          <w:szCs w:val="28"/>
          <w:lang w:val="vi-VN"/>
        </w:rPr>
      </w:pPr>
      <w:r w:rsidRPr="00F5142B">
        <w:rPr>
          <w:sz w:val="28"/>
          <w:szCs w:val="28"/>
          <w:lang w:val="vi-VN"/>
        </w:rPr>
        <w:t>1. Phạm vi công việc của gói thầu.</w:t>
      </w:r>
    </w:p>
    <w:p w:rsidR="00E831E4" w:rsidRPr="006A07C8" w:rsidRDefault="00E831E4" w:rsidP="00E831E4">
      <w:pPr>
        <w:tabs>
          <w:tab w:val="left" w:pos="1418"/>
        </w:tabs>
        <w:spacing w:before="120" w:after="120" w:line="264" w:lineRule="auto"/>
        <w:ind w:firstLine="709"/>
        <w:rPr>
          <w:color w:val="FF0000"/>
          <w:sz w:val="28"/>
          <w:szCs w:val="28"/>
          <w:lang w:val="vi-VN"/>
        </w:rPr>
      </w:pPr>
      <w:r w:rsidRPr="006A07C8">
        <w:rPr>
          <w:color w:val="FF0000"/>
          <w:sz w:val="28"/>
          <w:szCs w:val="28"/>
          <w:lang w:val="vi-VN"/>
        </w:rPr>
        <w:t xml:space="preserve">- Tên dự án: </w:t>
      </w:r>
      <w:r w:rsidRPr="00E831E4">
        <w:rPr>
          <w:color w:val="FF0000"/>
          <w:sz w:val="28"/>
          <w:szCs w:val="28"/>
          <w:lang w:val="vi-VN"/>
        </w:rPr>
        <w:t>Sân, hàng rào và các hạng mục phụ trợ Trường tiểu học Sơn Tây</w:t>
      </w:r>
      <w:r w:rsidRPr="006A07C8">
        <w:rPr>
          <w:color w:val="FF0000"/>
          <w:sz w:val="28"/>
          <w:szCs w:val="28"/>
          <w:lang w:val="vi-VN"/>
        </w:rPr>
        <w:t>.</w:t>
      </w:r>
    </w:p>
    <w:p w:rsidR="00E831E4" w:rsidRPr="006A07C8" w:rsidRDefault="00E831E4" w:rsidP="00E831E4">
      <w:pPr>
        <w:tabs>
          <w:tab w:val="left" w:pos="1418"/>
        </w:tabs>
        <w:spacing w:before="120" w:after="120" w:line="264" w:lineRule="auto"/>
        <w:ind w:firstLine="709"/>
        <w:rPr>
          <w:color w:val="FF0000"/>
          <w:sz w:val="28"/>
          <w:szCs w:val="28"/>
          <w:lang w:val="vi-VN"/>
        </w:rPr>
      </w:pPr>
      <w:r w:rsidRPr="006A07C8">
        <w:rPr>
          <w:color w:val="FF0000"/>
          <w:sz w:val="28"/>
          <w:szCs w:val="28"/>
          <w:lang w:val="vi-VN"/>
        </w:rPr>
        <w:t xml:space="preserve">- Địa điểm xây dựng: </w:t>
      </w:r>
      <w:r>
        <w:rPr>
          <w:color w:val="FF0000"/>
          <w:sz w:val="28"/>
          <w:szCs w:val="28"/>
        </w:rPr>
        <w:t>xã Sơn Tây</w:t>
      </w:r>
      <w:r w:rsidRPr="006A07C8">
        <w:rPr>
          <w:color w:val="FF0000"/>
          <w:sz w:val="28"/>
          <w:szCs w:val="28"/>
          <w:lang w:val="vi-VN"/>
        </w:rPr>
        <w:t>, tỉnh Hà Tĩnh.</w:t>
      </w:r>
    </w:p>
    <w:p w:rsidR="00E831E4" w:rsidRPr="006A07C8" w:rsidRDefault="00E831E4" w:rsidP="00E831E4">
      <w:pPr>
        <w:tabs>
          <w:tab w:val="left" w:pos="1418"/>
        </w:tabs>
        <w:spacing w:before="120" w:after="120" w:line="264" w:lineRule="auto"/>
        <w:ind w:firstLine="709"/>
        <w:rPr>
          <w:color w:val="FF0000"/>
          <w:sz w:val="28"/>
          <w:szCs w:val="28"/>
          <w:lang w:val="vi-VN"/>
        </w:rPr>
      </w:pPr>
      <w:r w:rsidRPr="006A07C8">
        <w:rPr>
          <w:color w:val="FF0000"/>
          <w:sz w:val="28"/>
          <w:szCs w:val="28"/>
          <w:lang w:val="vi-VN"/>
        </w:rPr>
        <w:t xml:space="preserve">- Người quyết định đầu tư: Chủ tịch UBND </w:t>
      </w:r>
      <w:r>
        <w:rPr>
          <w:color w:val="FF0000"/>
          <w:sz w:val="28"/>
          <w:szCs w:val="28"/>
        </w:rPr>
        <w:t>xã Sơn Tây</w:t>
      </w:r>
      <w:r w:rsidRPr="006A07C8">
        <w:rPr>
          <w:color w:val="FF0000"/>
          <w:sz w:val="28"/>
          <w:szCs w:val="28"/>
          <w:lang w:val="vi-VN"/>
        </w:rPr>
        <w:t>.</w:t>
      </w:r>
    </w:p>
    <w:p w:rsidR="00E831E4" w:rsidRDefault="00E831E4" w:rsidP="00E831E4">
      <w:pPr>
        <w:tabs>
          <w:tab w:val="left" w:pos="1418"/>
        </w:tabs>
        <w:spacing w:before="120" w:after="120" w:line="264" w:lineRule="auto"/>
        <w:ind w:firstLine="709"/>
        <w:rPr>
          <w:color w:val="FF0000"/>
          <w:sz w:val="28"/>
          <w:szCs w:val="28"/>
        </w:rPr>
      </w:pPr>
      <w:r w:rsidRPr="006A07C8">
        <w:rPr>
          <w:color w:val="FF0000"/>
          <w:sz w:val="28"/>
          <w:szCs w:val="28"/>
          <w:lang w:val="vi-VN"/>
        </w:rPr>
        <w:t xml:space="preserve">- Chủ đầu tư: </w:t>
      </w:r>
      <w:r w:rsidRPr="00E831E4">
        <w:rPr>
          <w:color w:val="FF0000"/>
          <w:sz w:val="28"/>
          <w:szCs w:val="28"/>
          <w:lang w:val="vi-VN"/>
        </w:rPr>
        <w:t xml:space="preserve">UBND xã Sơn Tây </w:t>
      </w:r>
    </w:p>
    <w:p w:rsidR="00E831E4" w:rsidRPr="006A07C8" w:rsidRDefault="00E831E4" w:rsidP="00E831E4">
      <w:pPr>
        <w:tabs>
          <w:tab w:val="left" w:pos="1418"/>
        </w:tabs>
        <w:spacing w:before="120" w:after="120" w:line="264" w:lineRule="auto"/>
        <w:ind w:firstLine="709"/>
        <w:rPr>
          <w:color w:val="FF0000"/>
          <w:sz w:val="28"/>
          <w:szCs w:val="28"/>
          <w:lang w:val="vi-VN"/>
        </w:rPr>
      </w:pPr>
      <w:r w:rsidRPr="006A07C8">
        <w:rPr>
          <w:color w:val="FF0000"/>
          <w:sz w:val="28"/>
          <w:szCs w:val="28"/>
          <w:lang w:val="vi-VN"/>
        </w:rPr>
        <w:t xml:space="preserve">- Nội dung công việc: </w:t>
      </w:r>
    </w:p>
    <w:p w:rsidR="00E831E4" w:rsidRPr="006A07C8" w:rsidRDefault="00E831E4" w:rsidP="00E831E4">
      <w:pPr>
        <w:tabs>
          <w:tab w:val="left" w:pos="1418"/>
        </w:tabs>
        <w:spacing w:before="120" w:after="120" w:line="264" w:lineRule="auto"/>
        <w:ind w:firstLine="709"/>
        <w:rPr>
          <w:i/>
          <w:iCs/>
          <w:color w:val="FF0000"/>
          <w:sz w:val="28"/>
          <w:szCs w:val="28"/>
          <w:lang w:val="vi-VN"/>
        </w:rPr>
      </w:pPr>
      <w:r w:rsidRPr="006A07C8">
        <w:rPr>
          <w:i/>
          <w:iCs/>
          <w:color w:val="FF0000"/>
          <w:sz w:val="28"/>
          <w:szCs w:val="28"/>
          <w:lang w:val="vi-VN"/>
        </w:rPr>
        <w:t xml:space="preserve"> </w:t>
      </w:r>
      <w:r w:rsidRPr="006A07C8">
        <w:rPr>
          <w:i/>
          <w:iCs/>
          <w:color w:val="FF0000"/>
          <w:sz w:val="28"/>
          <w:szCs w:val="28"/>
          <w:lang w:val="vi-VN"/>
        </w:rPr>
        <w:t>(Nội dung chi tiết theo hồ sơ thiết kế bản vẽ thi công</w:t>
      </w:r>
      <w:bookmarkStart w:id="0" w:name="_GoBack"/>
      <w:bookmarkEnd w:id="0"/>
      <w:r w:rsidRPr="006A07C8">
        <w:rPr>
          <w:i/>
          <w:iCs/>
          <w:color w:val="FF0000"/>
          <w:sz w:val="28"/>
          <w:szCs w:val="28"/>
          <w:lang w:val="vi-VN"/>
        </w:rPr>
        <w:t>).</w:t>
      </w:r>
    </w:p>
    <w:p w:rsidR="00E831E4" w:rsidRPr="006A07C8" w:rsidRDefault="00E831E4" w:rsidP="00E831E4">
      <w:pPr>
        <w:widowControl w:val="0"/>
        <w:tabs>
          <w:tab w:val="left" w:pos="1418"/>
        </w:tabs>
        <w:spacing w:before="120" w:after="120" w:line="264" w:lineRule="auto"/>
        <w:ind w:firstLine="709"/>
        <w:rPr>
          <w:sz w:val="28"/>
          <w:szCs w:val="28"/>
          <w:lang w:val="vi-VN"/>
        </w:rPr>
      </w:pPr>
      <w:r w:rsidRPr="00F5142B">
        <w:rPr>
          <w:sz w:val="28"/>
          <w:szCs w:val="28"/>
          <w:lang w:val="vi-VN"/>
        </w:rPr>
        <w:t>2. Thời hạn hoàn thành</w:t>
      </w:r>
      <w:r w:rsidRPr="006A07C8">
        <w:rPr>
          <w:sz w:val="28"/>
          <w:szCs w:val="28"/>
          <w:lang w:val="vi-VN"/>
        </w:rPr>
        <w:t xml:space="preserve">: </w:t>
      </w:r>
      <w:r w:rsidR="00B10E0F">
        <w:rPr>
          <w:b/>
          <w:bCs/>
          <w:color w:val="FF0000"/>
          <w:sz w:val="28"/>
          <w:szCs w:val="28"/>
        </w:rPr>
        <w:t>180</w:t>
      </w:r>
      <w:r w:rsidRPr="006A07C8">
        <w:rPr>
          <w:b/>
          <w:bCs/>
          <w:color w:val="FF0000"/>
          <w:sz w:val="28"/>
          <w:szCs w:val="28"/>
          <w:lang w:val="vi-VN"/>
        </w:rPr>
        <w:t xml:space="preserve"> ngày kể từ ngày hợp đồng có hiệu lực</w:t>
      </w:r>
      <w:r w:rsidRPr="006A07C8">
        <w:rPr>
          <w:b/>
          <w:bCs/>
          <w:sz w:val="28"/>
          <w:szCs w:val="28"/>
          <w:lang w:val="vi-VN"/>
        </w:rPr>
        <w:t>.</w:t>
      </w:r>
    </w:p>
    <w:p w:rsidR="00E831E4" w:rsidRPr="00F5142B" w:rsidRDefault="00E831E4" w:rsidP="00E831E4">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rsidR="00E831E4" w:rsidRPr="00DB3864" w:rsidRDefault="00E831E4" w:rsidP="00E831E4">
      <w:pPr>
        <w:widowControl w:val="0"/>
        <w:tabs>
          <w:tab w:val="left" w:pos="1418"/>
        </w:tabs>
        <w:spacing w:before="120" w:after="120" w:line="264" w:lineRule="auto"/>
        <w:ind w:firstLine="709"/>
        <w:rPr>
          <w:sz w:val="28"/>
          <w:szCs w:val="28"/>
          <w:lang w:val="vi-VN"/>
        </w:rPr>
      </w:pPr>
      <w:r w:rsidRPr="00DB3864">
        <w:rPr>
          <w:sz w:val="28"/>
          <w:szCs w:val="28"/>
          <w:lang w:val="vi-VN"/>
        </w:rPr>
        <w:t xml:space="preserve">Thời gian từ khi khởi công đến khi hoàn thành hợp đồng: </w:t>
      </w:r>
      <w:r w:rsidR="00B10E0F">
        <w:rPr>
          <w:b/>
          <w:bCs/>
          <w:color w:val="FF0000"/>
          <w:sz w:val="28"/>
          <w:szCs w:val="28"/>
        </w:rPr>
        <w:t>180</w:t>
      </w:r>
      <w:r w:rsidRPr="00DB3864">
        <w:rPr>
          <w:b/>
          <w:bCs/>
          <w:color w:val="FF0000"/>
          <w:sz w:val="28"/>
          <w:szCs w:val="28"/>
          <w:lang w:val="vi-VN"/>
        </w:rPr>
        <w:t xml:space="preserve"> ngày.</w:t>
      </w:r>
    </w:p>
    <w:p w:rsidR="00E831E4" w:rsidRPr="00282192" w:rsidRDefault="00E831E4" w:rsidP="00E831E4">
      <w:pPr>
        <w:widowControl w:val="0"/>
        <w:spacing w:before="120" w:after="120" w:line="264" w:lineRule="auto"/>
        <w:ind w:firstLine="709"/>
        <w:rPr>
          <w:b/>
          <w:bCs/>
          <w:sz w:val="28"/>
          <w:szCs w:val="28"/>
          <w:lang w:val="sq-AL"/>
        </w:rPr>
      </w:pPr>
      <w:r w:rsidRPr="00282192">
        <w:rPr>
          <w:b/>
          <w:bCs/>
          <w:sz w:val="28"/>
          <w:szCs w:val="28"/>
          <w:lang w:val="sq-AL"/>
        </w:rPr>
        <w:t>III. Yêu cầu về kỹ thuật/chỉ dẫn kỹ thuật</w:t>
      </w:r>
    </w:p>
    <w:p w:rsidR="00E831E4" w:rsidRPr="00282192" w:rsidRDefault="00E831E4" w:rsidP="00E831E4">
      <w:pPr>
        <w:widowControl w:val="0"/>
        <w:spacing w:before="120" w:after="120" w:line="264" w:lineRule="auto"/>
        <w:ind w:firstLine="709"/>
        <w:rPr>
          <w:sz w:val="28"/>
          <w:szCs w:val="28"/>
          <w:lang w:val="vi-VN"/>
        </w:rPr>
      </w:pPr>
      <w:r w:rsidRPr="00282192">
        <w:rPr>
          <w:sz w:val="28"/>
          <w:szCs w:val="28"/>
          <w:lang w:val="vi-VN"/>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rsidR="00E831E4" w:rsidRPr="00282192" w:rsidRDefault="00E831E4" w:rsidP="00E831E4">
      <w:pPr>
        <w:widowControl w:val="0"/>
        <w:spacing w:before="120" w:after="120" w:line="264" w:lineRule="auto"/>
        <w:ind w:firstLine="709"/>
        <w:rPr>
          <w:sz w:val="28"/>
          <w:szCs w:val="28"/>
          <w:lang w:val="vi-VN"/>
        </w:rPr>
      </w:pPr>
      <w:r w:rsidRPr="00282192">
        <w:rPr>
          <w:sz w:val="28"/>
          <w:szCs w:val="28"/>
          <w:lang w:val="vi-VN"/>
        </w:rPr>
        <w:t>1. Yêu cầu về mặt kỹ thuật/chỉ dẫn kỹ thuật bao gồm các nội dung chủ yếu sau:</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Quy chuẩn Xây dựng Việt Nam ban hành kèm theo Quyết định số 682/BXD-CSXD ngày 14/12/1996 của Bộ xây dựng;</w:t>
      </w:r>
    </w:p>
    <w:p w:rsidR="00E831E4" w:rsidRPr="00DB3864" w:rsidRDefault="00E831E4" w:rsidP="00E831E4">
      <w:pPr>
        <w:widowControl w:val="0"/>
        <w:spacing w:before="40" w:after="40" w:line="240" w:lineRule="atLeast"/>
        <w:ind w:firstLine="567"/>
        <w:rPr>
          <w:sz w:val="28"/>
          <w:szCs w:val="28"/>
          <w:lang w:val="vi-VN"/>
        </w:rPr>
      </w:pPr>
      <w:r w:rsidRPr="00DB3864">
        <w:rPr>
          <w:sz w:val="28"/>
          <w:szCs w:val="28"/>
          <w:lang w:val="vi-VN"/>
        </w:rPr>
        <w:t>- QCVN 03:2022/BXD Quy chuẩn kỹ thuật quốc gia về Phân cấp công trình phục vụ thiết kế xây dựng;</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xml:space="preserve">- QCVN 01:2021/BXD Quy chuẩn kỹ thuật quốc gia về Quy hoạch xây dựng; QCVN 05:2008/BXD Nhà ở và công trình công cộng - An Toàn sinh mạng và sức khỏe; </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xml:space="preserve">- TCVN 2737:2023: Tải trọng và tác </w:t>
      </w:r>
      <w:r w:rsidRPr="00DB3864">
        <w:rPr>
          <w:rFonts w:hint="eastAsia"/>
          <w:sz w:val="28"/>
          <w:szCs w:val="28"/>
          <w:lang w:val="vi-VN"/>
        </w:rPr>
        <w:t>đ</w:t>
      </w:r>
      <w:r w:rsidRPr="00DB3864">
        <w:rPr>
          <w:sz w:val="28"/>
          <w:szCs w:val="28"/>
          <w:lang w:val="vi-VN"/>
        </w:rPr>
        <w:t>ộng - Tiêu chuẩn thiết kế;</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TCVN 9362: 2012: Tiêu chuẩn thiết kế nền nhà và công trình;</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TCVN 9379:2012: Kết cấu XD và nền - Nguyên tắc c</w:t>
      </w:r>
      <w:r w:rsidRPr="00DB3864">
        <w:rPr>
          <w:rFonts w:hint="eastAsia"/>
          <w:sz w:val="28"/>
          <w:szCs w:val="28"/>
          <w:lang w:val="vi-VN"/>
        </w:rPr>
        <w:t>ơ</w:t>
      </w:r>
      <w:r w:rsidRPr="00DB3864">
        <w:rPr>
          <w:sz w:val="28"/>
          <w:szCs w:val="28"/>
          <w:lang w:val="vi-VN"/>
        </w:rPr>
        <w:t xml:space="preserve"> bản về tính toán;</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TCVN 5574: 2018: Tiêu chuẩn thiết kế bê tông và bê tông cốt thép;</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TCVN 5575: 2024: Kết cấu thép - Tiêu chuẩn thiết kế;</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xml:space="preserve">- TCVN 5573: 2011: Kết cấu gạch </w:t>
      </w:r>
      <w:r w:rsidRPr="00DB3864">
        <w:rPr>
          <w:rFonts w:hint="eastAsia"/>
          <w:sz w:val="28"/>
          <w:szCs w:val="28"/>
          <w:lang w:val="vi-VN"/>
        </w:rPr>
        <w:t>đá</w:t>
      </w:r>
      <w:r w:rsidRPr="00DB3864">
        <w:rPr>
          <w:sz w:val="28"/>
          <w:szCs w:val="28"/>
          <w:lang w:val="vi-VN"/>
        </w:rPr>
        <w:t xml:space="preserve"> và gạch </w:t>
      </w:r>
      <w:r w:rsidRPr="00DB3864">
        <w:rPr>
          <w:rFonts w:hint="eastAsia"/>
          <w:sz w:val="28"/>
          <w:szCs w:val="28"/>
          <w:lang w:val="vi-VN"/>
        </w:rPr>
        <w:t>đá</w:t>
      </w:r>
      <w:r w:rsidRPr="00DB3864">
        <w:rPr>
          <w:sz w:val="28"/>
          <w:szCs w:val="28"/>
          <w:lang w:val="vi-VN"/>
        </w:rPr>
        <w:t xml:space="preserve"> cốt thép - TC thiết kế;</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TCVN 4491: 1982: Khảo sát cho xây dựng - Nguyên tắc c</w:t>
      </w:r>
      <w:r w:rsidRPr="00DB3864">
        <w:rPr>
          <w:rFonts w:hint="eastAsia"/>
          <w:sz w:val="28"/>
          <w:szCs w:val="28"/>
          <w:lang w:val="vi-VN"/>
        </w:rPr>
        <w:t>ơ</w:t>
      </w:r>
      <w:r w:rsidRPr="00DB3864">
        <w:rPr>
          <w:sz w:val="28"/>
          <w:szCs w:val="28"/>
          <w:lang w:val="vi-VN"/>
        </w:rPr>
        <w:t xml:space="preserve"> bản;</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lastRenderedPageBreak/>
        <w:t>- TCVN 4319: 2012: Nhà và công trình công cộng - Nguyên tắc c</w:t>
      </w:r>
      <w:r w:rsidRPr="00DB3864">
        <w:rPr>
          <w:rFonts w:hint="eastAsia"/>
          <w:sz w:val="28"/>
          <w:szCs w:val="28"/>
          <w:lang w:val="vi-VN"/>
        </w:rPr>
        <w:t>ơ</w:t>
      </w:r>
      <w:r w:rsidRPr="00DB3864">
        <w:rPr>
          <w:sz w:val="28"/>
          <w:szCs w:val="28"/>
          <w:lang w:val="vi-VN"/>
        </w:rPr>
        <w:t xml:space="preserve"> bản </w:t>
      </w:r>
      <w:r w:rsidRPr="00DB3864">
        <w:rPr>
          <w:rFonts w:hint="eastAsia"/>
          <w:sz w:val="28"/>
          <w:szCs w:val="28"/>
          <w:lang w:val="vi-VN"/>
        </w:rPr>
        <w:t>đ</w:t>
      </w:r>
      <w:r w:rsidRPr="00DB3864">
        <w:rPr>
          <w:sz w:val="28"/>
          <w:szCs w:val="28"/>
          <w:lang w:val="vi-VN"/>
        </w:rPr>
        <w:t>ể thiết kế;</w:t>
      </w:r>
    </w:p>
    <w:p w:rsidR="00E831E4" w:rsidRPr="00DB3864" w:rsidRDefault="00E831E4" w:rsidP="00E831E4">
      <w:pPr>
        <w:spacing w:before="40" w:after="40" w:line="240" w:lineRule="atLeast"/>
        <w:ind w:firstLine="567"/>
        <w:rPr>
          <w:sz w:val="28"/>
          <w:szCs w:val="28"/>
          <w:lang w:val="vi-VN"/>
        </w:rPr>
      </w:pPr>
      <w:r w:rsidRPr="00DB3864">
        <w:rPr>
          <w:sz w:val="28"/>
          <w:szCs w:val="28"/>
          <w:lang w:val="vi-VN"/>
        </w:rPr>
        <w:t xml:space="preserve">- TCVN 9206: 2012: </w:t>
      </w:r>
      <w:r w:rsidRPr="00DB3864">
        <w:rPr>
          <w:rFonts w:hint="eastAsia"/>
          <w:sz w:val="28"/>
          <w:szCs w:val="28"/>
          <w:lang w:val="vi-VN"/>
        </w:rPr>
        <w:t>Đ</w:t>
      </w:r>
      <w:r w:rsidRPr="00DB3864">
        <w:rPr>
          <w:sz w:val="28"/>
          <w:szCs w:val="28"/>
          <w:lang w:val="vi-VN"/>
        </w:rPr>
        <w:t xml:space="preserve">ặt thiết bị </w:t>
      </w:r>
      <w:r w:rsidRPr="00DB3864">
        <w:rPr>
          <w:rFonts w:hint="eastAsia"/>
          <w:sz w:val="28"/>
          <w:szCs w:val="28"/>
          <w:lang w:val="vi-VN"/>
        </w:rPr>
        <w:t>đ</w:t>
      </w:r>
      <w:r w:rsidRPr="00DB3864">
        <w:rPr>
          <w:sz w:val="28"/>
          <w:szCs w:val="28"/>
          <w:lang w:val="vi-VN"/>
        </w:rPr>
        <w:t>iện trong nhà ở và công trình công cộng;</w:t>
      </w:r>
    </w:p>
    <w:p w:rsidR="00E831E4" w:rsidRPr="00DB3864" w:rsidRDefault="00E831E4" w:rsidP="00E831E4">
      <w:pPr>
        <w:widowControl w:val="0"/>
        <w:spacing w:before="40" w:after="40" w:line="240" w:lineRule="atLeast"/>
        <w:ind w:firstLine="567"/>
        <w:rPr>
          <w:sz w:val="28"/>
          <w:szCs w:val="28"/>
          <w:lang w:val="vi-VN"/>
        </w:rPr>
      </w:pPr>
      <w:r w:rsidRPr="00DB3864">
        <w:rPr>
          <w:sz w:val="28"/>
          <w:szCs w:val="28"/>
          <w:lang w:val="vi-VN"/>
        </w:rPr>
        <w:t>- TCVN 13606: 2023: Cấp n</w:t>
      </w:r>
      <w:r w:rsidRPr="00DB3864">
        <w:rPr>
          <w:rFonts w:hint="eastAsia"/>
          <w:sz w:val="28"/>
          <w:szCs w:val="28"/>
          <w:lang w:val="vi-VN"/>
        </w:rPr>
        <w:t>ư</w:t>
      </w:r>
      <w:r w:rsidRPr="00DB3864">
        <w:rPr>
          <w:sz w:val="28"/>
          <w:szCs w:val="28"/>
          <w:lang w:val="vi-VN"/>
        </w:rPr>
        <w:t>ớc - Mạng l</w:t>
      </w:r>
      <w:r w:rsidRPr="00DB3864">
        <w:rPr>
          <w:rFonts w:hint="eastAsia"/>
          <w:sz w:val="28"/>
          <w:szCs w:val="28"/>
          <w:lang w:val="vi-VN"/>
        </w:rPr>
        <w:t>ư</w:t>
      </w:r>
      <w:r w:rsidRPr="00DB3864">
        <w:rPr>
          <w:sz w:val="28"/>
          <w:szCs w:val="28"/>
          <w:lang w:val="vi-VN"/>
        </w:rPr>
        <w:t xml:space="preserve">ới </w:t>
      </w:r>
      <w:r w:rsidRPr="00DB3864">
        <w:rPr>
          <w:rFonts w:hint="eastAsia"/>
          <w:sz w:val="28"/>
          <w:szCs w:val="28"/>
          <w:lang w:val="vi-VN"/>
        </w:rPr>
        <w:t>đư</w:t>
      </w:r>
      <w:r w:rsidRPr="00DB3864">
        <w:rPr>
          <w:sz w:val="28"/>
          <w:szCs w:val="28"/>
          <w:lang w:val="vi-VN"/>
        </w:rPr>
        <w:t>ờng ống và công trình - Tiêu chuẩn thiết kế;</w:t>
      </w:r>
    </w:p>
    <w:p w:rsidR="00E831E4" w:rsidRPr="00DB3864" w:rsidRDefault="00E831E4" w:rsidP="00E831E4">
      <w:pPr>
        <w:spacing w:before="60" w:line="266" w:lineRule="auto"/>
        <w:ind w:firstLine="567"/>
        <w:rPr>
          <w:sz w:val="28"/>
          <w:szCs w:val="28"/>
          <w:lang w:val="vi-VN"/>
        </w:rPr>
      </w:pPr>
      <w:r w:rsidRPr="00DB3864">
        <w:rPr>
          <w:sz w:val="28"/>
          <w:szCs w:val="28"/>
          <w:lang w:val="vi-VN"/>
        </w:rPr>
        <w:t>- TCVN 9366-2:2012: Cửa đi, cửa sổ - Cửa kim loại - Yêu cầu kỹ thuật;</w:t>
      </w:r>
    </w:p>
    <w:p w:rsidR="00E831E4" w:rsidRPr="00DB3864" w:rsidRDefault="00E831E4" w:rsidP="00E831E4">
      <w:pPr>
        <w:widowControl w:val="0"/>
        <w:spacing w:before="40" w:after="40" w:line="240" w:lineRule="atLeast"/>
        <w:ind w:firstLine="567"/>
        <w:rPr>
          <w:sz w:val="28"/>
          <w:szCs w:val="28"/>
          <w:lang w:val="vi-VN"/>
        </w:rPr>
      </w:pPr>
      <w:r w:rsidRPr="00DB3864">
        <w:rPr>
          <w:sz w:val="28"/>
          <w:szCs w:val="28"/>
          <w:lang w:val="vi-VN"/>
        </w:rPr>
        <w:t xml:space="preserve">- TCVN 9207-2012: </w:t>
      </w:r>
      <w:r w:rsidRPr="00DB3864">
        <w:rPr>
          <w:rFonts w:hint="eastAsia"/>
          <w:sz w:val="28"/>
          <w:szCs w:val="28"/>
          <w:lang w:val="vi-VN"/>
        </w:rPr>
        <w:t>Đ</w:t>
      </w:r>
      <w:r w:rsidRPr="00DB3864">
        <w:rPr>
          <w:sz w:val="28"/>
          <w:szCs w:val="28"/>
          <w:lang w:val="vi-VN"/>
        </w:rPr>
        <w:t xml:space="preserve">ặt </w:t>
      </w:r>
      <w:r w:rsidRPr="00DB3864">
        <w:rPr>
          <w:rFonts w:hint="eastAsia"/>
          <w:sz w:val="28"/>
          <w:szCs w:val="28"/>
          <w:lang w:val="vi-VN"/>
        </w:rPr>
        <w:t>đư</w:t>
      </w:r>
      <w:r w:rsidRPr="00DB3864">
        <w:rPr>
          <w:sz w:val="28"/>
          <w:szCs w:val="28"/>
          <w:lang w:val="vi-VN"/>
        </w:rPr>
        <w:t xml:space="preserve">ờng dẫn </w:t>
      </w:r>
      <w:r w:rsidRPr="00DB3864">
        <w:rPr>
          <w:rFonts w:hint="eastAsia"/>
          <w:sz w:val="28"/>
          <w:szCs w:val="28"/>
          <w:lang w:val="vi-VN"/>
        </w:rPr>
        <w:t>đ</w:t>
      </w:r>
      <w:r w:rsidRPr="00DB3864">
        <w:rPr>
          <w:sz w:val="28"/>
          <w:szCs w:val="28"/>
          <w:lang w:val="vi-VN"/>
        </w:rPr>
        <w:t>iện trong nhà ở và công trình công cộng - Tiêu chuẩn thiết kế;</w:t>
      </w:r>
    </w:p>
    <w:p w:rsidR="00E831E4" w:rsidRPr="00DB3864" w:rsidRDefault="00E831E4" w:rsidP="00E831E4">
      <w:pPr>
        <w:widowControl w:val="0"/>
        <w:spacing w:before="40" w:after="40" w:line="240" w:lineRule="atLeast"/>
        <w:ind w:firstLine="567"/>
        <w:rPr>
          <w:sz w:val="28"/>
          <w:szCs w:val="28"/>
          <w:lang w:val="vi-VN"/>
        </w:rPr>
      </w:pPr>
      <w:r w:rsidRPr="00DB3864">
        <w:rPr>
          <w:sz w:val="28"/>
          <w:szCs w:val="28"/>
          <w:lang w:val="vi-VN"/>
        </w:rPr>
        <w:t>- TCVN 9385-2012: Chống sét cho các công trình xây dựng - H</w:t>
      </w:r>
      <w:r w:rsidRPr="00DB3864">
        <w:rPr>
          <w:rFonts w:hint="eastAsia"/>
          <w:sz w:val="28"/>
          <w:szCs w:val="28"/>
          <w:lang w:val="vi-VN"/>
        </w:rPr>
        <w:t>ư</w:t>
      </w:r>
      <w:r w:rsidRPr="00DB3864">
        <w:rPr>
          <w:sz w:val="28"/>
          <w:szCs w:val="28"/>
          <w:lang w:val="vi-VN"/>
        </w:rPr>
        <w:t>ớng dẫn thiết kế, kiểm tra và bảo trì hệ thống;</w:t>
      </w:r>
    </w:p>
    <w:p w:rsidR="00E831E4" w:rsidRPr="00DB3864" w:rsidRDefault="00E831E4" w:rsidP="00E831E4">
      <w:pPr>
        <w:widowControl w:val="0"/>
        <w:spacing w:before="120" w:after="120" w:line="264" w:lineRule="auto"/>
        <w:ind w:firstLine="709"/>
        <w:rPr>
          <w:sz w:val="28"/>
          <w:szCs w:val="28"/>
          <w:lang w:val="vi-VN"/>
        </w:rPr>
      </w:pPr>
      <w:r w:rsidRPr="00DB3864">
        <w:rPr>
          <w:sz w:val="28"/>
          <w:szCs w:val="28"/>
          <w:lang w:val="vi-VN"/>
        </w:rPr>
        <w:t xml:space="preserve">Các tiêu chuẩn, quy phạm khác có liên quan </w:t>
      </w:r>
    </w:p>
    <w:p w:rsidR="00E831E4" w:rsidRPr="00DB3864" w:rsidRDefault="00E831E4" w:rsidP="00E831E4">
      <w:pPr>
        <w:widowControl w:val="0"/>
        <w:spacing w:before="120" w:after="120" w:line="264" w:lineRule="auto"/>
        <w:ind w:firstLine="709"/>
        <w:rPr>
          <w:sz w:val="28"/>
          <w:szCs w:val="28"/>
          <w:lang w:val="vi-VN"/>
        </w:rPr>
      </w:pPr>
      <w:r w:rsidRPr="00DB3864">
        <w:rPr>
          <w:sz w:val="28"/>
          <w:szCs w:val="28"/>
          <w:lang w:val="vi-VN"/>
        </w:rPr>
        <w:t>2. Yêu cầu về tổ chức kỹ thuật thi công, giám sát: Thực hiện theo các quy định sau:</w:t>
      </w:r>
    </w:p>
    <w:p w:rsidR="00E831E4" w:rsidRPr="00DB3864" w:rsidRDefault="00E831E4" w:rsidP="00E831E4">
      <w:pPr>
        <w:widowControl w:val="0"/>
        <w:spacing w:before="120" w:after="120" w:line="264" w:lineRule="auto"/>
        <w:ind w:firstLine="709"/>
        <w:rPr>
          <w:sz w:val="28"/>
          <w:szCs w:val="28"/>
          <w:lang w:val="vi-VN"/>
        </w:rPr>
      </w:pPr>
      <w:r w:rsidRPr="00DB3864">
        <w:rPr>
          <w:sz w:val="28"/>
          <w:szCs w:val="28"/>
          <w:lang w:val="vi-VN"/>
        </w:rPr>
        <w:t>- Nghị định số 06/2021/NĐ-CP ngày 26/01/2021 của Chính phủ hướng dẫn về quản lý chất lượng, thi công xây dựng và bảo trì công trình xây dựng.</w:t>
      </w:r>
    </w:p>
    <w:p w:rsidR="00E831E4" w:rsidRPr="00DB3864" w:rsidRDefault="00E831E4" w:rsidP="00E831E4">
      <w:pPr>
        <w:widowControl w:val="0"/>
        <w:spacing w:before="120" w:after="120" w:line="264" w:lineRule="auto"/>
        <w:ind w:firstLine="709"/>
        <w:rPr>
          <w:sz w:val="28"/>
          <w:szCs w:val="28"/>
          <w:lang w:val="vi-VN"/>
        </w:rPr>
      </w:pPr>
      <w:r w:rsidRPr="00DB3864">
        <w:rPr>
          <w:sz w:val="28"/>
          <w:szCs w:val="28"/>
          <w:lang w:val="vi-VN"/>
        </w:rPr>
        <w:t>- Nghị định số 175/2024/NĐ-CP ngày 30/12/2024 của Chính phủ quy định chi tiết một số điều và biện pháp thi hành luật xây dựng về quản lý hoạt động xây dựng.</w:t>
      </w:r>
    </w:p>
    <w:p w:rsidR="00E831E4" w:rsidRPr="00DB3864" w:rsidRDefault="00E831E4" w:rsidP="00E831E4">
      <w:pPr>
        <w:widowControl w:val="0"/>
        <w:spacing w:before="120" w:after="120" w:line="264" w:lineRule="auto"/>
        <w:ind w:firstLine="709"/>
        <w:rPr>
          <w:sz w:val="28"/>
          <w:szCs w:val="28"/>
          <w:lang w:val="vi-VN"/>
        </w:rPr>
      </w:pPr>
      <w:r w:rsidRPr="00DB3864">
        <w:rPr>
          <w:sz w:val="28"/>
          <w:szCs w:val="28"/>
          <w:lang w:val="vi-VN"/>
        </w:rPr>
        <w:t>Và các văn bản hiện hành liên quan khác</w:t>
      </w:r>
    </w:p>
    <w:p w:rsidR="00E831E4" w:rsidRPr="00DB3864" w:rsidRDefault="00E831E4" w:rsidP="00E831E4">
      <w:pPr>
        <w:widowControl w:val="0"/>
        <w:spacing w:before="120" w:after="120" w:line="264" w:lineRule="auto"/>
        <w:ind w:firstLine="709"/>
        <w:rPr>
          <w:sz w:val="28"/>
          <w:szCs w:val="28"/>
          <w:lang w:val="vi-VN"/>
        </w:rPr>
      </w:pPr>
      <w:r w:rsidRPr="00DB3864">
        <w:rPr>
          <w:sz w:val="28"/>
          <w:szCs w:val="28"/>
          <w:lang w:val="vi-VN"/>
        </w:rPr>
        <w:t>3. Yêu cầu về chủng loại, chất lượng vật tư, máy móc, thiết bị (kèm theo các tiêu chuẩn về phương pháp thử);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519"/>
        <w:gridCol w:w="2715"/>
      </w:tblGrid>
      <w:tr w:rsidR="00E831E4" w:rsidRPr="00282192" w:rsidTr="00684C61">
        <w:tc>
          <w:tcPr>
            <w:tcW w:w="0" w:type="auto"/>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jc w:val="center"/>
              <w:rPr>
                <w:b/>
                <w:bCs/>
                <w:sz w:val="28"/>
                <w:szCs w:val="28"/>
              </w:rPr>
            </w:pPr>
            <w:r w:rsidRPr="00282192">
              <w:rPr>
                <w:b/>
                <w:bCs/>
                <w:sz w:val="28"/>
                <w:szCs w:val="28"/>
              </w:rPr>
              <w:t>STT</w:t>
            </w: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jc w:val="center"/>
              <w:rPr>
                <w:b/>
                <w:bCs/>
                <w:sz w:val="28"/>
                <w:szCs w:val="28"/>
              </w:rPr>
            </w:pPr>
            <w:r w:rsidRPr="00282192">
              <w:rPr>
                <w:b/>
                <w:bCs/>
                <w:sz w:val="28"/>
                <w:szCs w:val="28"/>
              </w:rPr>
              <w:t>Vật liệu</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jc w:val="center"/>
              <w:rPr>
                <w:b/>
                <w:bCs/>
                <w:sz w:val="28"/>
                <w:szCs w:val="28"/>
              </w:rPr>
            </w:pPr>
            <w:r w:rsidRPr="00282192">
              <w:rPr>
                <w:b/>
                <w:bCs/>
                <w:sz w:val="28"/>
                <w:szCs w:val="28"/>
              </w:rPr>
              <w:t>Tiêu chuẩn</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jc w:val="center"/>
              <w:rPr>
                <w:sz w:val="28"/>
                <w:szCs w:val="28"/>
              </w:rPr>
            </w:pPr>
            <w:r w:rsidRPr="00282192">
              <w:rPr>
                <w:sz w:val="28"/>
                <w:szCs w:val="28"/>
              </w:rPr>
              <w:t>1</w:t>
            </w: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Xi măng</w:t>
            </w:r>
          </w:p>
        </w:tc>
        <w:tc>
          <w:tcPr>
            <w:tcW w:w="2715" w:type="dxa"/>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jc w:val="center"/>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Xi măng Pooc lăng – Yêu cầu kỹ thuật</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2682 : 2020</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jc w:val="center"/>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Xi măng Pooclăng hỗn hợp – Yêu cầu kỹ thuật</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6260 : 2020</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jc w:val="center"/>
              <w:rPr>
                <w:sz w:val="28"/>
                <w:szCs w:val="28"/>
              </w:rPr>
            </w:pPr>
            <w:r w:rsidRPr="00282192">
              <w:rPr>
                <w:sz w:val="28"/>
                <w:szCs w:val="28"/>
              </w:rPr>
              <w:t>2</w:t>
            </w: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Cốt liệu, nước trộn bê tông và vữa</w:t>
            </w:r>
          </w:p>
        </w:tc>
        <w:tc>
          <w:tcPr>
            <w:tcW w:w="2715" w:type="dxa"/>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Cốt liệu cho bê tông và vữa – Yêu cầu kỹ thuật</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TCVNXD: 7570:2006</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Cốt liệu cho bê tông và vữa – các phương pháp thử</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7572-22:2018</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Nước trộn bê tông và vữa – Yêu cầu kỹ thuật</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4506:2012</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Vữa xây dựng – Yêu cầu kỹ thuật</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4314 : 2022</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Công tác hoàn thiện trong xây dựng – Thi công và nghiệm thu</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9377-1:2022</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Cốt liệu cho bê tông và vữa - Yêu cầu kỹ thuật</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7570:2006</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Cốt liệu cho bê tông và vữa - Phương pháp thử</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7572:2006</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jc w:val="center"/>
              <w:rPr>
                <w:sz w:val="28"/>
                <w:szCs w:val="28"/>
              </w:rPr>
            </w:pPr>
            <w:r w:rsidRPr="00282192">
              <w:rPr>
                <w:sz w:val="28"/>
                <w:szCs w:val="28"/>
              </w:rPr>
              <w:t>3</w:t>
            </w: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Bê tông</w:t>
            </w:r>
          </w:p>
        </w:tc>
        <w:tc>
          <w:tcPr>
            <w:tcW w:w="2715" w:type="dxa"/>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jc w:val="center"/>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Hỗn hợp bê tông trộn sẵn – Các yêu cầu cơ bản đánh giá chất lượng và nghiệm thu</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9340:2012</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jc w:val="center"/>
              <w:rPr>
                <w:sz w:val="28"/>
                <w:szCs w:val="28"/>
              </w:rPr>
            </w:pPr>
            <w:r w:rsidRPr="00282192">
              <w:rPr>
                <w:sz w:val="28"/>
                <w:szCs w:val="28"/>
              </w:rPr>
              <w:t>4</w:t>
            </w: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Cốt thép cho bê tông</w:t>
            </w:r>
          </w:p>
        </w:tc>
        <w:tc>
          <w:tcPr>
            <w:tcW w:w="2715" w:type="dxa"/>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lang w:val="vi-VN"/>
              </w:rPr>
            </w:pP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jc w:val="center"/>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Thép cốt bê tông - Phần 2: Thép thanh vằn</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1651-2:2018</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jc w:val="center"/>
              <w:rPr>
                <w:sz w:val="28"/>
                <w:szCs w:val="28"/>
              </w:rPr>
            </w:pP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Thép cốt bê tông - Phần 3: Lưới thép hàn</w:t>
            </w:r>
          </w:p>
        </w:tc>
        <w:tc>
          <w:tcPr>
            <w:tcW w:w="2715"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TCVN 1651-3:2018</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vAlign w:val="center"/>
            <w:hideMark/>
          </w:tcPr>
          <w:p w:rsidR="00E831E4" w:rsidRPr="00282192" w:rsidRDefault="00E831E4" w:rsidP="00684C61">
            <w:pPr>
              <w:widowControl w:val="0"/>
              <w:spacing w:before="120" w:after="120" w:line="264" w:lineRule="auto"/>
              <w:jc w:val="center"/>
              <w:rPr>
                <w:sz w:val="28"/>
                <w:szCs w:val="28"/>
              </w:rPr>
            </w:pPr>
            <w:r w:rsidRPr="00282192">
              <w:rPr>
                <w:sz w:val="28"/>
                <w:szCs w:val="28"/>
              </w:rPr>
              <w:t>5</w:t>
            </w:r>
          </w:p>
        </w:tc>
        <w:tc>
          <w:tcPr>
            <w:tcW w:w="5519" w:type="dxa"/>
            <w:tcBorders>
              <w:top w:val="single" w:sz="4" w:space="0" w:color="auto"/>
              <w:left w:val="single" w:sz="4" w:space="0" w:color="auto"/>
              <w:bottom w:val="single" w:sz="4" w:space="0" w:color="auto"/>
              <w:right w:val="single" w:sz="4" w:space="0" w:color="auto"/>
            </w:tcBorders>
            <w:vAlign w:val="center"/>
            <w:hideMark/>
          </w:tcPr>
          <w:p w:rsidR="00E831E4" w:rsidRPr="00282192" w:rsidRDefault="00E831E4" w:rsidP="00684C61">
            <w:pPr>
              <w:widowControl w:val="0"/>
              <w:spacing w:before="120" w:after="120" w:line="264" w:lineRule="auto"/>
              <w:rPr>
                <w:sz w:val="28"/>
                <w:szCs w:val="28"/>
              </w:rPr>
            </w:pPr>
            <w:r w:rsidRPr="00282192">
              <w:rPr>
                <w:sz w:val="28"/>
                <w:szCs w:val="28"/>
                <w:lang w:val="vi-VN"/>
              </w:rPr>
              <w:t xml:space="preserve">Các vật liệu khác </w:t>
            </w:r>
          </w:p>
        </w:tc>
        <w:tc>
          <w:tcPr>
            <w:tcW w:w="2715" w:type="dxa"/>
            <w:tcBorders>
              <w:top w:val="single" w:sz="4" w:space="0" w:color="auto"/>
              <w:left w:val="single" w:sz="4" w:space="0" w:color="auto"/>
              <w:bottom w:val="single" w:sz="4" w:space="0" w:color="auto"/>
              <w:right w:val="single" w:sz="4" w:space="0" w:color="auto"/>
            </w:tcBorders>
            <w:vAlign w:val="center"/>
            <w:hideMark/>
          </w:tcPr>
          <w:p w:rsidR="00E831E4" w:rsidRPr="00282192" w:rsidRDefault="00E831E4" w:rsidP="00684C61">
            <w:pPr>
              <w:widowControl w:val="0"/>
              <w:spacing w:before="120" w:after="120" w:line="264" w:lineRule="auto"/>
              <w:rPr>
                <w:sz w:val="28"/>
                <w:szCs w:val="28"/>
              </w:rPr>
            </w:pPr>
            <w:r w:rsidRPr="00282192">
              <w:rPr>
                <w:sz w:val="28"/>
                <w:szCs w:val="28"/>
                <w:lang w:val="vi-VN"/>
              </w:rPr>
              <w:t>Theo chỉ dẫn kỹ thuật, bản vẽ thiết kế được duyệt</w:t>
            </w:r>
          </w:p>
        </w:tc>
      </w:tr>
      <w:tr w:rsidR="00E831E4" w:rsidRPr="00282192" w:rsidTr="00684C61">
        <w:tc>
          <w:tcPr>
            <w:tcW w:w="0" w:type="auto"/>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w:t>
            </w:r>
          </w:p>
        </w:tc>
        <w:tc>
          <w:tcPr>
            <w:tcW w:w="5519" w:type="dxa"/>
            <w:tcBorders>
              <w:top w:val="single" w:sz="4" w:space="0" w:color="auto"/>
              <w:left w:val="single" w:sz="4" w:space="0" w:color="auto"/>
              <w:bottom w:val="single" w:sz="4" w:space="0" w:color="auto"/>
              <w:right w:val="single" w:sz="4" w:space="0" w:color="auto"/>
            </w:tcBorders>
            <w:hideMark/>
          </w:tcPr>
          <w:p w:rsidR="00E831E4" w:rsidRPr="00282192" w:rsidRDefault="00E831E4" w:rsidP="00684C61">
            <w:pPr>
              <w:widowControl w:val="0"/>
              <w:spacing w:before="120" w:after="120" w:line="264" w:lineRule="auto"/>
              <w:rPr>
                <w:sz w:val="28"/>
                <w:szCs w:val="28"/>
              </w:rPr>
            </w:pPr>
            <w:r w:rsidRPr="00282192">
              <w:rPr>
                <w:sz w:val="28"/>
                <w:szCs w:val="28"/>
              </w:rPr>
              <w:t>……</w:t>
            </w:r>
          </w:p>
        </w:tc>
        <w:tc>
          <w:tcPr>
            <w:tcW w:w="2715" w:type="dxa"/>
            <w:tcBorders>
              <w:top w:val="single" w:sz="4" w:space="0" w:color="auto"/>
              <w:left w:val="single" w:sz="4" w:space="0" w:color="auto"/>
              <w:bottom w:val="single" w:sz="4" w:space="0" w:color="auto"/>
              <w:right w:val="single" w:sz="4" w:space="0" w:color="auto"/>
            </w:tcBorders>
          </w:tcPr>
          <w:p w:rsidR="00E831E4" w:rsidRPr="00282192" w:rsidRDefault="00E831E4" w:rsidP="00684C61">
            <w:pPr>
              <w:widowControl w:val="0"/>
              <w:spacing w:before="120" w:after="120" w:line="264" w:lineRule="auto"/>
              <w:rPr>
                <w:sz w:val="28"/>
                <w:szCs w:val="28"/>
              </w:rPr>
            </w:pPr>
          </w:p>
        </w:tc>
      </w:tr>
    </w:tbl>
    <w:p w:rsidR="00E831E4" w:rsidRPr="00282192" w:rsidRDefault="00E831E4" w:rsidP="00E831E4">
      <w:pPr>
        <w:widowControl w:val="0"/>
        <w:spacing w:before="120" w:after="120" w:line="264" w:lineRule="auto"/>
        <w:rPr>
          <w:sz w:val="28"/>
          <w:szCs w:val="28"/>
          <w:lang w:val="es-ES"/>
        </w:rPr>
      </w:pPr>
      <w:r>
        <w:rPr>
          <w:sz w:val="28"/>
          <w:szCs w:val="28"/>
          <w:lang w:val="vi-VN"/>
        </w:rPr>
        <w:t xml:space="preserve">          </w:t>
      </w:r>
      <w:r w:rsidRPr="00282192">
        <w:rPr>
          <w:sz w:val="28"/>
          <w:szCs w:val="28"/>
          <w:lang w:val="es-ES"/>
        </w:rPr>
        <w:t>- Vật liệu, Vật tư phải mới 100% và sản phẩm phải được sử dụng rộng rãi trên thị trường Việt nam.</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Nếu nhà thầu tự sản xuất sản phẩm hoặc liên danh, liên kết để sản xuất thì vật tư sản xuất phải đáp ứng yêu cầu của HSMT, ngoài ra tất cả sản phẩm/chi tiết sản phẩm đều phải được sản xuất tại công xưởng có các thiết bị cần thiết để sản xuất sản phẩm.</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xml:space="preserve">- Đối với các chi tiết đặc biệt phải tiến hành chế tạo, lắp tại công trường sẽ phải được TVGS và CĐT chấp thuận. </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xml:space="preserve">- Đối với vật tư, thiết bị khi vận chuyển đến công trường phải được đóng gói nguyên đai, nguyên kiện theo đúng quy định của nhà sản xuất. </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HSMT hoặc bản vẽ. Nếu chủng loại Vật tư, vật </w:t>
      </w:r>
      <w:r w:rsidRPr="00282192">
        <w:rPr>
          <w:sz w:val="28"/>
          <w:szCs w:val="28"/>
          <w:lang w:val="es-ES"/>
        </w:rPr>
        <w:lastRenderedPageBreak/>
        <w:t>liệu, thiết bị chào thầu được BMT đánh giá là không đạt tiêu chuẩn HSMT thì sẽ bị đánh giá về mức độ đáp ứng các yêu cầu về kỹ thuật.</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Trong trường hợp tại thời điểm thi công thị trường không có loại sản phẩm đã đề xuất và tính giá trong HS</w:t>
      </w:r>
      <w:r w:rsidRPr="00282192">
        <w:rPr>
          <w:sz w:val="28"/>
          <w:szCs w:val="28"/>
          <w:lang w:val="vi-VN"/>
        </w:rPr>
        <w:t>D</w:t>
      </w:r>
      <w:r w:rsidRPr="00282192">
        <w:rPr>
          <w:sz w:val="28"/>
          <w:szCs w:val="28"/>
          <w:lang w:val="es-ES"/>
        </w:rPr>
        <w:t xml:space="preserve">T, Nhà thầu sẽ chỉ được thay đổi khi được Chủ đầu tư chấp thuận; </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chủ động đánh giá mức độ đáp ứng yêu cầu HSMT của nhà thầu theo Hồ sơ TKBVTC kèm theo HSMT.</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vi-VN"/>
        </w:rPr>
        <w:t xml:space="preserve"> </w:t>
      </w:r>
      <w:r w:rsidRPr="00282192">
        <w:rPr>
          <w:sz w:val="28"/>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rsidR="00E831E4" w:rsidRPr="00282192" w:rsidRDefault="00E831E4" w:rsidP="00E831E4">
      <w:pPr>
        <w:widowControl w:val="0"/>
        <w:spacing w:before="120" w:after="120" w:line="264" w:lineRule="auto"/>
        <w:ind w:firstLine="709"/>
        <w:rPr>
          <w:sz w:val="28"/>
          <w:szCs w:val="28"/>
          <w:lang w:val="vi-VN"/>
        </w:rPr>
      </w:pPr>
      <w:r w:rsidRPr="00282192">
        <w:rPr>
          <w:sz w:val="28"/>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 về nội dung trên</w:t>
      </w:r>
      <w:r w:rsidRPr="00282192">
        <w:rPr>
          <w:sz w:val="28"/>
          <w:szCs w:val="28"/>
          <w:lang w:val="vi-VN"/>
        </w:rPr>
        <w:t>.</w:t>
      </w:r>
    </w:p>
    <w:p w:rsidR="00E831E4" w:rsidRPr="00282192" w:rsidRDefault="00E831E4" w:rsidP="00E831E4">
      <w:pPr>
        <w:widowControl w:val="0"/>
        <w:spacing w:before="120" w:after="120" w:line="264" w:lineRule="auto"/>
        <w:ind w:firstLine="709"/>
        <w:rPr>
          <w:sz w:val="28"/>
          <w:szCs w:val="28"/>
          <w:lang w:val="vi-VN"/>
        </w:rPr>
      </w:pPr>
      <w:r w:rsidRPr="00282192">
        <w:rPr>
          <w:sz w:val="28"/>
          <w:szCs w:val="28"/>
          <w:lang w:val="vi-VN"/>
        </w:rPr>
        <w:t>- Trong quá trình dự thầu, nhà thầu cần nghiên cứu kỹ bản vẽ để đề xuất khối lượng thừa thiếu nếu cần thiết. Nếu trong E-HSDT nhà thầu không đề xuất thì xem như nhà thầu đã thống nhất với E-HSMT. Các bên sẽ không tiến hành thương thảo lại nội dung này.</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4. Yêu cầu về vận hành thử nghiệm, an toàn;</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5. Yêu cầu về phòng, chống cháy, nổ:</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Tuyệt đối nghiêm cấm đưa các vật liệu dễ cháy, nổ vào công trường. Trừ vật liệu cần cho việc thi công.</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 xml:space="preserve">- Nhà thầu phải có khẩu hiệu, bình chống cháy, tiêu lệnh, hướng dẫn sử dụng bình chống cháy, số điện thoại các cơ quan chức năng khi cần thiết (phải </w:t>
      </w:r>
      <w:r w:rsidRPr="00282192">
        <w:rPr>
          <w:sz w:val="28"/>
          <w:szCs w:val="28"/>
          <w:lang w:val="es-ES"/>
        </w:rPr>
        <w:lastRenderedPageBreak/>
        <w:t>phổ biến cho cán bộ và công nhân được biết).</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6. Yêu cầu về vệ sinh môi trường:</w:t>
      </w:r>
    </w:p>
    <w:p w:rsidR="00E831E4" w:rsidRPr="00282192" w:rsidRDefault="00E831E4" w:rsidP="00E831E4">
      <w:pPr>
        <w:widowControl w:val="0"/>
        <w:spacing w:before="120" w:after="120" w:line="264" w:lineRule="auto"/>
        <w:ind w:firstLine="709"/>
        <w:rPr>
          <w:sz w:val="28"/>
          <w:szCs w:val="28"/>
          <w:lang w:val="es-ES"/>
        </w:rPr>
      </w:pPr>
      <w:r w:rsidRPr="00282192">
        <w:rPr>
          <w:sz w:val="28"/>
          <w:szCs w:val="28"/>
          <w:lang w:val="es-ES"/>
        </w:rPr>
        <w:t>Trong quá trình thi công việc vận chuyển vật liệu sẽ gây tiếng ồn và bụi đối với nhà trường và khu dân cư; yêu cầu nhà thầu có biện pháp giảm thiểu bằng cách phun nước mặt đường; dùng bạt che chắn thùng xe chở vật liệu, che chắn khu vực thi công.</w:t>
      </w:r>
    </w:p>
    <w:p w:rsidR="00E831E4" w:rsidRPr="00282192" w:rsidRDefault="00E831E4" w:rsidP="00E831E4">
      <w:pPr>
        <w:widowControl w:val="0"/>
        <w:spacing w:before="120" w:after="120" w:line="264" w:lineRule="auto"/>
        <w:ind w:firstLine="709"/>
        <w:rPr>
          <w:sz w:val="28"/>
          <w:szCs w:val="28"/>
        </w:rPr>
      </w:pPr>
      <w:r w:rsidRPr="00282192">
        <w:rPr>
          <w:sz w:val="28"/>
          <w:szCs w:val="28"/>
        </w:rPr>
        <w:t>7. Yêu cầu về an toàn lao động:</w:t>
      </w:r>
    </w:p>
    <w:p w:rsidR="00E831E4" w:rsidRPr="00282192" w:rsidRDefault="00E831E4" w:rsidP="00E831E4">
      <w:pPr>
        <w:widowControl w:val="0"/>
        <w:spacing w:before="120" w:after="120" w:line="264" w:lineRule="auto"/>
        <w:ind w:firstLine="709"/>
        <w:rPr>
          <w:sz w:val="28"/>
          <w:szCs w:val="28"/>
        </w:rPr>
      </w:pPr>
      <w:r w:rsidRPr="00282192">
        <w:rPr>
          <w:sz w:val="28"/>
          <w:szCs w:val="28"/>
        </w:rPr>
        <w:t>Các biện pháp đảm bảo an toàn lao động gồm: An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rsidR="00E831E4" w:rsidRPr="00282192" w:rsidRDefault="00E831E4" w:rsidP="00E831E4">
      <w:pPr>
        <w:widowControl w:val="0"/>
        <w:spacing w:before="120" w:after="120" w:line="264" w:lineRule="auto"/>
        <w:ind w:firstLine="709"/>
        <w:rPr>
          <w:sz w:val="28"/>
          <w:szCs w:val="28"/>
        </w:rPr>
      </w:pPr>
      <w:r w:rsidRPr="00282192">
        <w:rPr>
          <w:sz w:val="28"/>
          <w:szCs w:val="28"/>
        </w:rPr>
        <w:t>8. Biện pháp huy động nhân lực và thiết bị phục vụ thi công: Đảm bảo đủ nhân lực và thiết bị thi công theo bảng tiến độ tổng thể và tiến độ chi tiết cho từng hạng mục theo tuần, tháng, quý.</w:t>
      </w:r>
    </w:p>
    <w:p w:rsidR="00E831E4" w:rsidRPr="00282192" w:rsidRDefault="00E831E4" w:rsidP="00E831E4">
      <w:pPr>
        <w:widowControl w:val="0"/>
        <w:spacing w:before="120" w:after="120" w:line="264" w:lineRule="auto"/>
        <w:ind w:firstLine="709"/>
        <w:rPr>
          <w:sz w:val="28"/>
          <w:szCs w:val="28"/>
        </w:rPr>
      </w:pPr>
      <w:r w:rsidRPr="00282192">
        <w:rPr>
          <w:sz w:val="28"/>
          <w:szCs w:val="28"/>
        </w:rPr>
        <w:t>9. Yêu cầu về biện pháp tổ chức thi công tổng thể và các hạng mục: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rsidR="00E831E4" w:rsidRPr="00282192" w:rsidRDefault="00E831E4" w:rsidP="00E831E4">
      <w:pPr>
        <w:widowControl w:val="0"/>
        <w:spacing w:before="120" w:after="120" w:line="264" w:lineRule="auto"/>
        <w:ind w:firstLine="709"/>
        <w:rPr>
          <w:sz w:val="28"/>
          <w:szCs w:val="28"/>
        </w:rPr>
      </w:pPr>
      <w:r w:rsidRPr="00282192">
        <w:rPr>
          <w:sz w:val="28"/>
          <w:szCs w:val="28"/>
        </w:rPr>
        <w:t>10. Yêu cầu về hệ thống kiểm tra, giám sát chất lượng của nhà thầu: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rsidR="00E831E4" w:rsidRPr="00282192" w:rsidRDefault="00E831E4" w:rsidP="00E831E4">
      <w:pPr>
        <w:widowControl w:val="0"/>
        <w:spacing w:before="120" w:after="120" w:line="264" w:lineRule="auto"/>
        <w:ind w:firstLine="709"/>
        <w:rPr>
          <w:sz w:val="28"/>
          <w:szCs w:val="28"/>
        </w:rPr>
      </w:pPr>
      <w:r w:rsidRPr="00282192">
        <w:rPr>
          <w:sz w:val="28"/>
          <w:szCs w:val="28"/>
        </w:rPr>
        <w:t>Đối với công tác giám sát kỹ thuật: Cán bộ phụ trách công tác này phải có trình độ chuyên môn phù hợp và có kinh nghiệm thi công đáp ứng yêu cầu thiết kế.</w:t>
      </w:r>
    </w:p>
    <w:p w:rsidR="00E831E4" w:rsidRPr="00282192" w:rsidRDefault="00E831E4" w:rsidP="00E831E4">
      <w:pPr>
        <w:widowControl w:val="0"/>
        <w:spacing w:before="120" w:after="120" w:line="264" w:lineRule="auto"/>
        <w:ind w:firstLine="709"/>
        <w:rPr>
          <w:sz w:val="28"/>
          <w:szCs w:val="28"/>
        </w:rPr>
      </w:pPr>
      <w:r w:rsidRPr="00282192">
        <w:rPr>
          <w:sz w:val="28"/>
          <w:szCs w:val="28"/>
        </w:rPr>
        <w:t>11. Yêu cầu khác căn cứ quy mô, tính chất của gói thầu.</w:t>
      </w:r>
    </w:p>
    <w:p w:rsidR="00E831E4" w:rsidRPr="008E0198" w:rsidRDefault="00E831E4" w:rsidP="00E831E4">
      <w:pPr>
        <w:widowControl w:val="0"/>
        <w:tabs>
          <w:tab w:val="left" w:pos="1418"/>
          <w:tab w:val="left" w:pos="2127"/>
        </w:tabs>
        <w:spacing w:before="120" w:after="120" w:line="264" w:lineRule="auto"/>
        <w:ind w:firstLine="567"/>
        <w:rPr>
          <w:i/>
          <w:sz w:val="28"/>
          <w:szCs w:val="28"/>
        </w:rPr>
      </w:pPr>
      <w:r w:rsidRPr="00282192">
        <w:rPr>
          <w:b/>
          <w:bCs/>
          <w:sz w:val="28"/>
          <w:szCs w:val="28"/>
        </w:rPr>
        <w:t>IV. Các bản vẽ:</w:t>
      </w:r>
      <w:r w:rsidRPr="00282192">
        <w:rPr>
          <w:sz w:val="28"/>
          <w:szCs w:val="28"/>
        </w:rPr>
        <w:t xml:space="preserve"> Chi tiết có Hồ sơ thiết kế kèm theo hồ sơ mời thầu này</w:t>
      </w:r>
    </w:p>
    <w:p w:rsidR="00E831E4" w:rsidRPr="00DB3864" w:rsidRDefault="00E831E4" w:rsidP="00E831E4">
      <w:pPr>
        <w:tabs>
          <w:tab w:val="left" w:pos="1418"/>
        </w:tabs>
        <w:spacing w:before="120" w:after="120" w:line="264" w:lineRule="auto"/>
        <w:rPr>
          <w:i/>
          <w:sz w:val="28"/>
          <w:szCs w:val="28"/>
        </w:rPr>
        <w:sectPr w:rsidR="00E831E4" w:rsidRPr="00DB3864" w:rsidSect="005C00CB">
          <w:footerReference w:type="default" r:id="rId5"/>
          <w:footnotePr>
            <w:numRestart w:val="eachPage"/>
          </w:footnotePr>
          <w:pgSz w:w="11907" w:h="16839" w:code="9"/>
          <w:pgMar w:top="1140" w:right="1140" w:bottom="1140" w:left="1701" w:header="720" w:footer="403" w:gutter="0"/>
          <w:cols w:space="720"/>
          <w:docGrid w:linePitch="360"/>
        </w:sectPr>
      </w:pPr>
    </w:p>
    <w:p w:rsidR="00607D7E" w:rsidRDefault="00607D7E"/>
    <w:sectPr w:rsidR="00607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473" w:rsidRDefault="00B10E0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E4"/>
    <w:rsid w:val="00607D7E"/>
    <w:rsid w:val="00B10E0F"/>
    <w:rsid w:val="00E8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E4"/>
    <w:pPr>
      <w:spacing w:before="0" w:after="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31E4"/>
    <w:rPr>
      <w:sz w:val="20"/>
    </w:rPr>
  </w:style>
  <w:style w:type="character" w:customStyle="1" w:styleId="FooterChar">
    <w:name w:val="Footer Char"/>
    <w:basedOn w:val="DefaultParagraphFont"/>
    <w:link w:val="Footer"/>
    <w:uiPriority w:val="99"/>
    <w:rsid w:val="00E831E4"/>
    <w:rPr>
      <w:rFonts w:eastAsia="Times New Roman" w:cs="Times New Roman"/>
      <w:sz w:val="20"/>
      <w:szCs w:val="20"/>
    </w:rPr>
  </w:style>
  <w:style w:type="paragraph" w:customStyle="1" w:styleId="Style11">
    <w:name w:val="Style 11"/>
    <w:basedOn w:val="Normal"/>
    <w:rsid w:val="00E831E4"/>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1E4"/>
    <w:pPr>
      <w:spacing w:before="0" w:after="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31E4"/>
    <w:rPr>
      <w:sz w:val="20"/>
    </w:rPr>
  </w:style>
  <w:style w:type="character" w:customStyle="1" w:styleId="FooterChar">
    <w:name w:val="Footer Char"/>
    <w:basedOn w:val="DefaultParagraphFont"/>
    <w:link w:val="Footer"/>
    <w:uiPriority w:val="99"/>
    <w:rsid w:val="00E831E4"/>
    <w:rPr>
      <w:rFonts w:eastAsia="Times New Roman" w:cs="Times New Roman"/>
      <w:sz w:val="20"/>
      <w:szCs w:val="20"/>
    </w:rPr>
  </w:style>
  <w:style w:type="paragraph" w:customStyle="1" w:styleId="Style11">
    <w:name w:val="Style 11"/>
    <w:basedOn w:val="Normal"/>
    <w:rsid w:val="00E831E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2025-11-19T02:05:00Z</dcterms:created>
  <dcterms:modified xsi:type="dcterms:W3CDTF">2025-11-19T04:26:00Z</dcterms:modified>
</cp:coreProperties>
</file>