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01" w:rsidRPr="00F94D01" w:rsidRDefault="00F94D01" w:rsidP="00F94D01">
      <w:pPr>
        <w:jc w:val="center"/>
        <w:rPr>
          <w:b/>
        </w:rPr>
      </w:pPr>
      <w:r w:rsidRPr="00F94D01">
        <w:rPr>
          <w:b/>
        </w:rPr>
        <w:t>Phần 2. YÊU CẦU VỀ PHẠM VI CUNG CẤP</w:t>
      </w:r>
    </w:p>
    <w:p w:rsidR="00F94D01" w:rsidRPr="00F94D01" w:rsidRDefault="00F94D01" w:rsidP="00F94D01">
      <w:pPr>
        <w:jc w:val="center"/>
        <w:rPr>
          <w:b/>
        </w:rPr>
      </w:pPr>
      <w:r w:rsidRPr="00F94D01">
        <w:rPr>
          <w:b/>
        </w:rPr>
        <w:t>Chương V.PHẠM VI CUNG CẤP</w:t>
      </w:r>
    </w:p>
    <w:p w:rsidR="00F94D01" w:rsidRPr="00FE68C6" w:rsidRDefault="00F94D01" w:rsidP="00F94D01">
      <w:pPr>
        <w:jc w:val="both"/>
        <w:rPr>
          <w:b/>
        </w:rPr>
      </w:pPr>
      <w:r w:rsidRPr="00FE68C6">
        <w:rPr>
          <w:b/>
        </w:rPr>
        <w:t>Mục 1. Phạm vi và tiến độ cung cấp dược liệu, vị thuốc cổ truyền</w:t>
      </w:r>
    </w:p>
    <w:p w:rsidR="00F94D01" w:rsidRDefault="00F94D01" w:rsidP="009E38EC">
      <w:pPr>
        <w:spacing w:after="0" w:line="276" w:lineRule="auto"/>
        <w:jc w:val="both"/>
      </w:pPr>
      <w:r>
        <w:t>1. Phạm vi cung cấp dược liệu, vị thuốc cổ truyền và dịch vụ liên quan (nế</w:t>
      </w:r>
      <w:r w:rsidR="005D6674">
        <w:t xml:space="preserve">u có) </w:t>
      </w:r>
      <w:r>
        <w:t>Chi tiết theo Mẫu số 00. Bảng phạm vi cung cấp, tiến độ cung cấp và yêu cầ</w:t>
      </w:r>
      <w:r w:rsidR="005D6674">
        <w:t xml:space="preserve">u </w:t>
      </w:r>
      <w:r>
        <w:t>về</w:t>
      </w:r>
      <w:r w:rsidR="005D6674">
        <w:t xml:space="preserve"> </w:t>
      </w:r>
      <w:r>
        <w:t>kỹ thuật của vị thuốc cổ truyền thuộc Chương IV. Biểu mẫu mời thầu và dự</w:t>
      </w:r>
      <w:r w:rsidR="005D6674">
        <w:t xml:space="preserve"> </w:t>
      </w:r>
      <w:r>
        <w:t>thầu.</w:t>
      </w:r>
    </w:p>
    <w:p w:rsidR="00F94D01" w:rsidRDefault="00F94D01" w:rsidP="009E38EC">
      <w:pPr>
        <w:spacing w:after="0" w:line="276" w:lineRule="auto"/>
        <w:jc w:val="both"/>
      </w:pPr>
      <w:r>
        <w:t>2. Biểu tiến độ cung cấp</w:t>
      </w:r>
    </w:p>
    <w:p w:rsidR="00F94D01" w:rsidRDefault="00F94D01" w:rsidP="009E38EC">
      <w:pPr>
        <w:spacing w:after="0" w:line="276" w:lineRule="auto"/>
        <w:jc w:val="both"/>
      </w:pPr>
      <w:r>
        <w:t>Vị thuốc cổ truyền có thể được yêu cầu cung cấp thành một hoặc nhiều đợ</w:t>
      </w:r>
      <w:r w:rsidR="005D6674">
        <w:t xml:space="preserve">t </w:t>
      </w:r>
      <w:r>
        <w:t xml:space="preserve">khác nhau trong </w:t>
      </w:r>
      <w:r w:rsidR="00387073">
        <w:t>365 ng</w:t>
      </w:r>
      <w:r w:rsidR="00387073" w:rsidRPr="00387073">
        <w:t>ày</w:t>
      </w:r>
      <w:r>
        <w:t xml:space="preserve"> (kể từ ngày hợp đồng có hiệu lực). Thờ</w:t>
      </w:r>
      <w:r w:rsidR="00387073">
        <w:t xml:space="preserve">i gian cung </w:t>
      </w:r>
      <w:r>
        <w:t>cấp vị thuốc cổ truyề</w:t>
      </w:r>
      <w:r w:rsidR="009E38EC">
        <w:t>n trong vòng 10</w:t>
      </w:r>
      <w:r>
        <w:t xml:space="preserve"> ngày kể từ khi tiếp nhận thông tin yêu cầ</w:t>
      </w:r>
      <w:r w:rsidR="00387073">
        <w:t xml:space="preserve">u </w:t>
      </w:r>
      <w:r>
        <w:t>của Chủ đầu tư.</w:t>
      </w:r>
    </w:p>
    <w:p w:rsidR="00F94D01" w:rsidRDefault="00F94D01" w:rsidP="009E38EC">
      <w:pPr>
        <w:spacing w:after="0" w:line="276" w:lineRule="auto"/>
        <w:jc w:val="both"/>
      </w:pPr>
      <w:r>
        <w:t>Chi tiết danh mục các vị thuốc cổ truyền cần cung cấp với số lượ</w:t>
      </w:r>
      <w:r w:rsidR="007F1374">
        <w:t xml:space="preserve">ng và các </w:t>
      </w:r>
      <w:r>
        <w:t>thông tin cụ thể theo Mẫu số 00. Bảng phạm vi cung cấp, tiến độ cung cấ</w:t>
      </w:r>
      <w:r w:rsidR="007F1374">
        <w:t xml:space="preserve">p và </w:t>
      </w:r>
      <w:r>
        <w:t>yêu cầu về kỹ thuật của vị thuốc cổ truyền thuộc Chương IV. Biểu mẫu mờ</w:t>
      </w:r>
      <w:r w:rsidR="007F1374">
        <w:t xml:space="preserve">i </w:t>
      </w:r>
      <w:r>
        <w:t>thầu và dự thầu.</w:t>
      </w:r>
    </w:p>
    <w:p w:rsidR="00F94D01" w:rsidRPr="009E38EC" w:rsidRDefault="00F94D01" w:rsidP="009E38EC">
      <w:pPr>
        <w:spacing w:after="0" w:line="276" w:lineRule="auto"/>
        <w:jc w:val="both"/>
      </w:pPr>
      <w:r w:rsidRPr="009E38EC">
        <w:t xml:space="preserve">Địa điểm cung cấp: </w:t>
      </w:r>
      <w:r w:rsidR="007F1374" w:rsidRPr="009E38EC">
        <w:t>Khoa Dược - Vậ</w:t>
      </w:r>
      <w:r w:rsidR="003D6FCA" w:rsidRPr="009E38EC">
        <w:t>t tư ,</w:t>
      </w:r>
      <w:r w:rsidR="007F1374" w:rsidRPr="009E38EC">
        <w:t xml:space="preserve"> Thiết bị Y tế</w:t>
      </w:r>
      <w:r w:rsidR="000873CC" w:rsidRPr="009E38EC">
        <w:t xml:space="preserve">, </w:t>
      </w:r>
      <w:r w:rsidR="007F1374" w:rsidRPr="009E38EC">
        <w:t>Trung tâm Y tế Phú Lộc</w:t>
      </w:r>
      <w:r w:rsidRPr="009E38EC">
        <w:t>.</w:t>
      </w:r>
    </w:p>
    <w:p w:rsidR="007F1374" w:rsidRPr="009E38EC" w:rsidRDefault="00F94D01" w:rsidP="009E38EC">
      <w:pPr>
        <w:spacing w:after="0" w:line="276" w:lineRule="auto"/>
        <w:jc w:val="both"/>
      </w:pPr>
      <w:r w:rsidRPr="009E38EC">
        <w:t xml:space="preserve">- Địa chỉ: </w:t>
      </w:r>
      <w:r w:rsidR="009E38EC" w:rsidRPr="009E38EC">
        <w:t>28 Từ Dũ, Xã Phú Lộc, Thành phố Huế</w:t>
      </w:r>
    </w:p>
    <w:p w:rsidR="00F94D01" w:rsidRPr="000873CC" w:rsidRDefault="00F94D01" w:rsidP="00526109">
      <w:pPr>
        <w:spacing w:after="0" w:line="276" w:lineRule="auto"/>
        <w:jc w:val="both"/>
        <w:rPr>
          <w:b/>
        </w:rPr>
      </w:pPr>
      <w:r w:rsidRPr="000873CC">
        <w:rPr>
          <w:b/>
        </w:rPr>
        <w:t>Mục 2. Yêu cầu về kỹ thuật</w:t>
      </w:r>
    </w:p>
    <w:p w:rsidR="00F94D01" w:rsidRPr="00526109" w:rsidRDefault="00F94D01" w:rsidP="00526109">
      <w:pPr>
        <w:spacing w:after="0" w:line="276" w:lineRule="auto"/>
        <w:jc w:val="both"/>
      </w:pPr>
      <w:r w:rsidRPr="00526109">
        <w:t>Yêu cầu về kỹ thuật bao gồm các nội dung cơ bản như sau:</w:t>
      </w:r>
    </w:p>
    <w:p w:rsidR="00F94D01" w:rsidRPr="00526109" w:rsidRDefault="00F94D01" w:rsidP="00526109">
      <w:pPr>
        <w:spacing w:after="0" w:line="276" w:lineRule="auto"/>
        <w:jc w:val="both"/>
        <w:rPr>
          <w:b/>
        </w:rPr>
      </w:pPr>
      <w:r w:rsidRPr="00526109">
        <w:rPr>
          <w:b/>
        </w:rPr>
        <w:t>2.1. Giới thiệu chung về gói thầu</w:t>
      </w:r>
    </w:p>
    <w:p w:rsidR="000873CC" w:rsidRDefault="00F94D01" w:rsidP="00526109">
      <w:pPr>
        <w:spacing w:after="0" w:line="276" w:lineRule="auto"/>
        <w:jc w:val="both"/>
      </w:pPr>
      <w:r>
        <w:t>- Tên gói thầu:</w:t>
      </w:r>
      <w:r w:rsidR="000873CC">
        <w:t xml:space="preserve"> </w:t>
      </w:r>
      <w:r>
        <w:t>Gói thầu số</w:t>
      </w:r>
      <w:r w:rsidR="00526109">
        <w:t xml:space="preserve"> </w:t>
      </w:r>
      <w:r w:rsidR="000873CC">
        <w:t>3</w:t>
      </w:r>
      <w:r>
        <w:t xml:space="preserve">: </w:t>
      </w:r>
      <w:r w:rsidR="000873CC" w:rsidRPr="000873CC">
        <w:t>Cung cấp vị thuốc cổ truyền cho Trung tâm Y tế Phú Lộc năm 2025</w:t>
      </w:r>
    </w:p>
    <w:p w:rsidR="0032266F" w:rsidRPr="00526109" w:rsidRDefault="00F94D01" w:rsidP="00526109">
      <w:pPr>
        <w:spacing w:after="0" w:line="276" w:lineRule="auto"/>
        <w:rPr>
          <w:rFonts w:cs="Times New Roman"/>
          <w:szCs w:val="28"/>
        </w:rPr>
      </w:pPr>
      <w:r w:rsidRPr="00526109">
        <w:rPr>
          <w:rFonts w:cs="Times New Roman"/>
        </w:rPr>
        <w:t xml:space="preserve">- </w:t>
      </w:r>
      <w:r w:rsidR="0032266F" w:rsidRPr="00526109">
        <w:rPr>
          <w:rFonts w:cs="Times New Roman"/>
          <w:szCs w:val="28"/>
        </w:rPr>
        <w:t>Địa điểm: Trung tâmY tế Phú Lộc</w:t>
      </w:r>
    </w:p>
    <w:p w:rsidR="00F6748E" w:rsidRDefault="00F6748E" w:rsidP="00526109">
      <w:pPr>
        <w:spacing w:after="0" w:line="276" w:lineRule="auto"/>
        <w:jc w:val="both"/>
      </w:pPr>
      <w:r>
        <w:t xml:space="preserve">- </w:t>
      </w:r>
      <w:r w:rsidRPr="00F6748E">
        <w:t>Giá gói thầu</w:t>
      </w:r>
      <w:r>
        <w:t>: 3.862.300.425 đồng.</w:t>
      </w:r>
    </w:p>
    <w:p w:rsidR="00F94D01" w:rsidRDefault="00F94D01" w:rsidP="00526109">
      <w:pPr>
        <w:spacing w:after="0" w:line="276" w:lineRule="auto"/>
        <w:jc w:val="both"/>
      </w:pPr>
      <w:r>
        <w:t xml:space="preserve">- Nguồn vốn: </w:t>
      </w:r>
      <w:r w:rsidR="000E73B0" w:rsidRPr="000E73B0">
        <w:t>Nguồn bảo hiểm y tế, viện phí và các nguồn thu hợp pháp khác</w:t>
      </w:r>
      <w:r w:rsidR="000E73B0">
        <w:t>.</w:t>
      </w:r>
    </w:p>
    <w:p w:rsidR="00F94D01" w:rsidRDefault="00F94D01" w:rsidP="00526109">
      <w:pPr>
        <w:spacing w:after="0" w:line="276" w:lineRule="auto"/>
        <w:jc w:val="both"/>
      </w:pPr>
      <w:r>
        <w:t xml:space="preserve">- </w:t>
      </w:r>
      <w:r w:rsidR="00F442D5">
        <w:t>H</w:t>
      </w:r>
      <w:r w:rsidR="00F442D5" w:rsidRPr="00F442D5">
        <w:t>ình</w:t>
      </w:r>
      <w:r>
        <w:t xml:space="preserve"> thức lựa chọn nhà thầu: </w:t>
      </w:r>
      <w:r w:rsidR="00F442D5" w:rsidRPr="00F442D5">
        <w:t>Đấu thầu rộng rãi qua mạng</w:t>
      </w:r>
      <w:r w:rsidR="00F442D5">
        <w:t>.</w:t>
      </w:r>
    </w:p>
    <w:p w:rsidR="00F442D5" w:rsidRPr="00526109" w:rsidRDefault="00F442D5" w:rsidP="00526109">
      <w:pPr>
        <w:spacing w:after="0" w:line="276" w:lineRule="auto"/>
        <w:jc w:val="both"/>
      </w:pPr>
      <w:r w:rsidRPr="00526109">
        <w:t>- Phương thức đấu thầu: Một giai đoạn một túi hồ sơ.</w:t>
      </w:r>
    </w:p>
    <w:p w:rsidR="00F94D01" w:rsidRPr="00526109" w:rsidRDefault="00F94D01" w:rsidP="00526109">
      <w:pPr>
        <w:spacing w:after="0" w:line="276" w:lineRule="auto"/>
        <w:jc w:val="both"/>
      </w:pPr>
      <w:r w:rsidRPr="00526109">
        <w:t>- Loại hợp đồng: Theo đơn giá cố định</w:t>
      </w:r>
      <w:r w:rsidR="00DF324C" w:rsidRPr="00526109">
        <w:t>.</w:t>
      </w:r>
    </w:p>
    <w:p w:rsidR="00F94D01" w:rsidRPr="00526109" w:rsidRDefault="00F94D01" w:rsidP="00526109">
      <w:pPr>
        <w:spacing w:after="0" w:line="276" w:lineRule="auto"/>
        <w:jc w:val="both"/>
      </w:pPr>
      <w:r w:rsidRPr="00526109">
        <w:t xml:space="preserve">- </w:t>
      </w:r>
      <w:r w:rsidR="00DF324C" w:rsidRPr="00526109">
        <w:t>Thời gian thực hiện hợp đồng</w:t>
      </w:r>
      <w:r w:rsidRPr="00526109">
        <w:t xml:space="preserve">: </w:t>
      </w:r>
      <w:r w:rsidR="00DF324C" w:rsidRPr="00526109">
        <w:t>365 ngày kể từ ngày hợp đồng có hiệu lực.</w:t>
      </w:r>
    </w:p>
    <w:p w:rsidR="0032266F" w:rsidRPr="00526109" w:rsidRDefault="0032266F" w:rsidP="00526109">
      <w:pPr>
        <w:spacing w:after="0" w:line="276" w:lineRule="auto"/>
        <w:rPr>
          <w:rFonts w:cs="Times New Roman"/>
          <w:szCs w:val="28"/>
        </w:rPr>
      </w:pPr>
      <w:r w:rsidRPr="00526109">
        <w:rPr>
          <w:rFonts w:cs="Times New Roman"/>
          <w:szCs w:val="28"/>
        </w:rPr>
        <w:t>- Tuỳ chọn mua thêm: Khối lượng mua thêm không vượt quá 30% của khối lượng hạng mục tương ứng nêu trong hợp đồng</w:t>
      </w:r>
    </w:p>
    <w:p w:rsidR="00F94D01" w:rsidRPr="00526109" w:rsidRDefault="00F94D01" w:rsidP="00526109">
      <w:pPr>
        <w:spacing w:after="0" w:line="276" w:lineRule="auto"/>
        <w:jc w:val="both"/>
      </w:pPr>
      <w:r w:rsidRPr="00526109">
        <w:t>2.2. Yêu cầu về kỹ thuật</w:t>
      </w:r>
    </w:p>
    <w:p w:rsidR="00421466" w:rsidRPr="00526109" w:rsidRDefault="00421466" w:rsidP="00526109">
      <w:pPr>
        <w:tabs>
          <w:tab w:val="left" w:pos="8178"/>
        </w:tabs>
        <w:spacing w:before="120" w:after="0" w:line="276" w:lineRule="auto"/>
        <w:jc w:val="both"/>
        <w:rPr>
          <w:rFonts w:cs="Times New Roman"/>
          <w:szCs w:val="28"/>
        </w:rPr>
      </w:pPr>
      <w:r w:rsidRPr="00526109">
        <w:rPr>
          <w:rFonts w:cs="Times New Roman"/>
          <w:szCs w:val="28"/>
        </w:rPr>
        <w:t>- Thuốc phải đúng yêu cầu theo danh mục mời thầu quy định tại HSMT.</w:t>
      </w:r>
      <w:r w:rsidRPr="00526109">
        <w:rPr>
          <w:rFonts w:cs="Times New Roman"/>
          <w:szCs w:val="28"/>
        </w:rPr>
        <w:tab/>
      </w:r>
    </w:p>
    <w:p w:rsidR="00421466" w:rsidRPr="00526109" w:rsidRDefault="00421466" w:rsidP="00526109">
      <w:pPr>
        <w:spacing w:after="0" w:line="276" w:lineRule="auto"/>
        <w:jc w:val="both"/>
        <w:rPr>
          <w:rFonts w:cs="Times New Roman"/>
          <w:szCs w:val="28"/>
        </w:rPr>
      </w:pPr>
      <w:r w:rsidRPr="00526109">
        <w:rPr>
          <w:rFonts w:cs="Times New Roman"/>
          <w:szCs w:val="28"/>
        </w:rPr>
        <w:t xml:space="preserve">- Tài liệu chứng minh tính hợp lệ của vị thuốc cổ truyền theo các quy định tại mục </w:t>
      </w:r>
      <w:r w:rsidRPr="00526109">
        <w:rPr>
          <w:rFonts w:cs="Times New Roman"/>
          <w:b/>
          <w:bCs/>
          <w:szCs w:val="28"/>
        </w:rPr>
        <w:t xml:space="preserve">5.1 </w:t>
      </w:r>
      <w:r w:rsidRPr="00526109">
        <w:rPr>
          <w:rFonts w:cs="Times New Roman"/>
          <w:szCs w:val="28"/>
        </w:rPr>
        <w:t>của Bảng Chỉ dẫn nhà thầu.</w:t>
      </w:r>
    </w:p>
    <w:p w:rsidR="00421466" w:rsidRPr="00526109" w:rsidRDefault="00421466" w:rsidP="00526109">
      <w:pPr>
        <w:spacing w:after="0" w:line="276" w:lineRule="auto"/>
        <w:jc w:val="both"/>
        <w:rPr>
          <w:rFonts w:cs="Times New Roman"/>
          <w:szCs w:val="28"/>
        </w:rPr>
      </w:pPr>
      <w:r w:rsidRPr="00526109">
        <w:rPr>
          <w:rFonts w:cs="Times New Roman"/>
          <w:szCs w:val="28"/>
        </w:rPr>
        <w:t xml:space="preserve">- Mức điểm yêu cầu tối thiểu đạt kỹ thuật được đánh giá theo từng mặt hàng được quy định cụ thể tại </w:t>
      </w:r>
      <w:r w:rsidRPr="00526109">
        <w:rPr>
          <w:rFonts w:cs="Times New Roman"/>
          <w:b/>
          <w:bCs/>
          <w:szCs w:val="28"/>
        </w:rPr>
        <w:t>Mục 3, Chương III. Tiêu chuẩn đánh giá HSDT</w:t>
      </w:r>
      <w:r w:rsidRPr="00526109">
        <w:rPr>
          <w:rFonts w:cs="Times New Roman"/>
          <w:szCs w:val="28"/>
        </w:rPr>
        <w:t>.</w:t>
      </w:r>
    </w:p>
    <w:p w:rsidR="00421466" w:rsidRPr="00526109" w:rsidRDefault="00421466" w:rsidP="00526109">
      <w:pPr>
        <w:spacing w:before="120" w:after="0" w:line="276" w:lineRule="auto"/>
        <w:jc w:val="both"/>
        <w:rPr>
          <w:rFonts w:cs="Times New Roman"/>
          <w:szCs w:val="28"/>
        </w:rPr>
      </w:pPr>
      <w:r w:rsidRPr="00526109">
        <w:rPr>
          <w:rFonts w:cs="Times New Roman"/>
          <w:szCs w:val="28"/>
        </w:rPr>
        <w:t>- Nguồn gốc của vị thuốc: Nhà thầu dự thầu theo Thông tư số 05/2015/TT-BYT ngày 17/3/2015 của Bộ Y tế Ban hành danh mục thuốc đông y, thuốc từ dược liệu và vị thuốc cổ truyền thuộc phạm vi thanh toán của quỹ bảo hiểm y tế</w:t>
      </w:r>
    </w:p>
    <w:p w:rsidR="00421466" w:rsidRPr="00526109" w:rsidRDefault="00421466" w:rsidP="00526109">
      <w:pPr>
        <w:spacing w:before="120" w:after="0" w:line="276" w:lineRule="auto"/>
        <w:jc w:val="both"/>
        <w:rPr>
          <w:rFonts w:cs="Times New Roman"/>
          <w:szCs w:val="28"/>
        </w:rPr>
      </w:pPr>
      <w:r w:rsidRPr="00526109">
        <w:rPr>
          <w:rFonts w:cs="Times New Roman"/>
          <w:szCs w:val="28"/>
        </w:rPr>
        <w:lastRenderedPageBreak/>
        <w:t>- Vị thuốc cổ truyền phải đạ</w:t>
      </w:r>
      <w:r w:rsidR="00526109" w:rsidRPr="00526109">
        <w:rPr>
          <w:rFonts w:cs="Times New Roman"/>
          <w:szCs w:val="28"/>
        </w:rPr>
        <w:t xml:space="preserve">t </w:t>
      </w:r>
      <w:r w:rsidRPr="00526109">
        <w:rPr>
          <w:rFonts w:cs="Times New Roman"/>
          <w:szCs w:val="28"/>
        </w:rPr>
        <w:t>tiêu chuẩn chất lượng theo Quy định tại Thông tư 32/2025/TT-BYT ngày 01 tháng 7 năm 2025 quy định quản lý về chất lượng thuốc cổ truyền, vị thuốc cổ truyền  và phiếu kiểm nghiệm cho từng lô thuốc phải cung cấp khi giao hàng.</w:t>
      </w:r>
    </w:p>
    <w:p w:rsidR="00421466" w:rsidRPr="00526109" w:rsidRDefault="00421466" w:rsidP="00526109">
      <w:pPr>
        <w:spacing w:before="120" w:after="0" w:line="276" w:lineRule="auto"/>
        <w:jc w:val="both"/>
        <w:rPr>
          <w:rFonts w:cs="Times New Roman"/>
          <w:szCs w:val="28"/>
        </w:rPr>
      </w:pPr>
      <w:r w:rsidRPr="00526109">
        <w:rPr>
          <w:rFonts w:cs="Times New Roman"/>
          <w:szCs w:val="28"/>
        </w:rPr>
        <w:t>- Nhãn hàng hóa: Theo đúng quy định hiện hành, có tờ hướng dẫn sử dụng thuốc bằng tiếng Việt.</w:t>
      </w:r>
    </w:p>
    <w:p w:rsidR="00421466" w:rsidRPr="00526109" w:rsidRDefault="00421466" w:rsidP="00526109">
      <w:pPr>
        <w:spacing w:before="120" w:after="0" w:line="276" w:lineRule="auto"/>
        <w:jc w:val="both"/>
        <w:rPr>
          <w:rFonts w:cs="Times New Roman"/>
          <w:b/>
          <w:szCs w:val="28"/>
        </w:rPr>
      </w:pPr>
      <w:r w:rsidRPr="00526109">
        <w:rPr>
          <w:rFonts w:cs="Times New Roman"/>
          <w:szCs w:val="28"/>
        </w:rPr>
        <w:t>- Hạn dùng của thuốc tính từ thời điểm giao hàng: được quy định cụ thể tại</w:t>
      </w:r>
      <w:r w:rsidRPr="00526109">
        <w:rPr>
          <w:rFonts w:cs="Times New Roman"/>
          <w:b/>
          <w:szCs w:val="28"/>
        </w:rPr>
        <w:t xml:space="preserve"> Mục ĐKC 24.3, Chương VII. Điều kiện cụ thể của hợp đồng</w:t>
      </w:r>
    </w:p>
    <w:p w:rsidR="00421466" w:rsidRPr="00526109" w:rsidRDefault="00421466" w:rsidP="00526109">
      <w:pPr>
        <w:spacing w:after="0" w:line="276" w:lineRule="auto"/>
        <w:jc w:val="both"/>
        <w:rPr>
          <w:rFonts w:cs="Times New Roman"/>
          <w:szCs w:val="28"/>
        </w:rPr>
      </w:pPr>
      <w:r w:rsidRPr="00526109">
        <w:rPr>
          <w:rFonts w:cs="Times New Roman"/>
          <w:szCs w:val="28"/>
        </w:rPr>
        <w:t>- Cam kết thu hồi thuốc trong trường hợp thuốc đã giao nhưng không đảm bảo chất lượng hoặc có thông báo thu hồi của cơ quan có thẩm quyền mà nguyên nhân không do lỗi của Chủ đầu tư.</w:t>
      </w:r>
    </w:p>
    <w:p w:rsidR="00421466" w:rsidRPr="00526109" w:rsidRDefault="00421466" w:rsidP="00526109">
      <w:pPr>
        <w:spacing w:before="120" w:after="0" w:line="276" w:lineRule="auto"/>
        <w:jc w:val="both"/>
        <w:rPr>
          <w:rFonts w:cs="Times New Roman"/>
          <w:szCs w:val="28"/>
        </w:rPr>
      </w:pPr>
      <w:r w:rsidRPr="00526109">
        <w:rPr>
          <w:rFonts w:cs="Times New Roman"/>
          <w:szCs w:val="28"/>
        </w:rPr>
        <w:t>- Cam kết cung ứng đủ thuốc nếu trúng thầu và theo đúng tiến độ giao hàng là 10 ngày sau khi nhận được dự trù của bên mua (bằng fax hoặc điện thoại trong trường hợp khẩn cấp).</w:t>
      </w:r>
    </w:p>
    <w:p w:rsidR="00421466" w:rsidRPr="00526109" w:rsidRDefault="00421466" w:rsidP="00526109">
      <w:pPr>
        <w:spacing w:before="120" w:after="0" w:line="276" w:lineRule="auto"/>
        <w:jc w:val="both"/>
        <w:rPr>
          <w:rFonts w:cs="Times New Roman"/>
          <w:szCs w:val="28"/>
        </w:rPr>
      </w:pPr>
      <w:r w:rsidRPr="00526109">
        <w:rPr>
          <w:rFonts w:cs="Times New Roman"/>
          <w:szCs w:val="28"/>
        </w:rPr>
        <w:t>- Cam kết đảm bảo khả năng cung cấp thuốc theo đúng yêu cầu về chất lượng thuốc và đúng giá trúng thầu (kể cả trong trường hợp có trượt giá trong năm).</w:t>
      </w:r>
    </w:p>
    <w:p w:rsidR="00421466" w:rsidRPr="00526109" w:rsidRDefault="00421466" w:rsidP="00526109">
      <w:pPr>
        <w:spacing w:before="120" w:after="0" w:line="276" w:lineRule="auto"/>
        <w:jc w:val="both"/>
        <w:rPr>
          <w:rFonts w:cs="Times New Roman"/>
          <w:szCs w:val="28"/>
        </w:rPr>
      </w:pPr>
      <w:r w:rsidRPr="00526109">
        <w:rPr>
          <w:rFonts w:cs="Times New Roman"/>
          <w:szCs w:val="28"/>
        </w:rPr>
        <w:t>- Cam kết bảo đảm các dược liệu tham gia dự thầu có nguồn gốc, xuất xứ đúng với dược liệu được cung cấp thực tế tại cơ sở y tế trong quá trình cung ứng.</w:t>
      </w:r>
    </w:p>
    <w:p w:rsidR="00F94D01" w:rsidRPr="00526109" w:rsidRDefault="00F94D01" w:rsidP="00526109">
      <w:pPr>
        <w:spacing w:after="0" w:line="276" w:lineRule="auto"/>
        <w:jc w:val="both"/>
      </w:pPr>
      <w:r w:rsidRPr="00526109">
        <w:t>- Các yêu cầu về vị thuốc cổ truyền theo quy định tại Mẫu số 00. Bảng phạ</w:t>
      </w:r>
      <w:r w:rsidR="002D7914" w:rsidRPr="00526109">
        <w:t xml:space="preserve">m vi </w:t>
      </w:r>
      <w:r w:rsidRPr="00526109">
        <w:t>cung cấp, tiến độ cung cấp và yêu cầu về kỹ thuật của vị thuốc cổ truyền thuộ</w:t>
      </w:r>
      <w:r w:rsidR="002D7914" w:rsidRPr="00526109">
        <w:t xml:space="preserve">c </w:t>
      </w:r>
      <w:r w:rsidRPr="00526109">
        <w:t>Chương IV. Biểu mẫu mời thầu và dự thầu.</w:t>
      </w:r>
    </w:p>
    <w:p w:rsidR="00F94D01" w:rsidRPr="00526109" w:rsidRDefault="00F94D01" w:rsidP="00526109">
      <w:pPr>
        <w:spacing w:after="0" w:line="276" w:lineRule="auto"/>
        <w:jc w:val="both"/>
      </w:pPr>
      <w:r w:rsidRPr="00526109">
        <w:t>- Nhà thầu đóng gói vị thuốc cổ truyền đúng yêu cầu của nhà sản xuất, phù hợ</w:t>
      </w:r>
      <w:r w:rsidR="002D7914" w:rsidRPr="00526109">
        <w:t xml:space="preserve">p </w:t>
      </w:r>
      <w:r w:rsidRPr="00526109">
        <w:t>với phương tiện vận chuyển để chuyển hàng từ nơi xuất hàng tới địa điể</w:t>
      </w:r>
      <w:r w:rsidR="002D7914" w:rsidRPr="00526109">
        <w:t xml:space="preserve">m giao </w:t>
      </w:r>
      <w:r w:rsidRPr="00526109">
        <w:t>hàng quy định. Việc đóng gói phải bảo đảm vị thuốc cổ truyền được chuyể</w:t>
      </w:r>
      <w:r w:rsidR="002D7914" w:rsidRPr="00526109">
        <w:t xml:space="preserve">n </w:t>
      </w:r>
      <w:r w:rsidRPr="00526109">
        <w:t>đến nơi giao hàng không bị hư hỏng do va chạm trong khi bốc dỡ vận chuyể</w:t>
      </w:r>
      <w:r w:rsidR="002D7914" w:rsidRPr="00526109">
        <w:t xml:space="preserve">n </w:t>
      </w:r>
      <w:r w:rsidRPr="00526109">
        <w:t>và các tác động khác của môi trường.</w:t>
      </w:r>
    </w:p>
    <w:p w:rsidR="00F94D01" w:rsidRPr="00526109" w:rsidRDefault="00F94D01" w:rsidP="00526109">
      <w:pPr>
        <w:spacing w:after="0" w:line="276" w:lineRule="auto"/>
        <w:jc w:val="both"/>
      </w:pPr>
      <w:r w:rsidRPr="00526109">
        <w:t>- Khi giao hàng, nhà thầu phải kèm theo phiếu kiểm nghiệm đạt chất lượng củ</w:t>
      </w:r>
      <w:r w:rsidR="002D7914" w:rsidRPr="00526109">
        <w:t xml:space="preserve">a </w:t>
      </w:r>
      <w:r w:rsidRPr="00526109">
        <w:t>đúng lô hàng hóa đó.</w:t>
      </w:r>
    </w:p>
    <w:p w:rsidR="00F94D01" w:rsidRPr="00526109" w:rsidRDefault="00F94D01" w:rsidP="00526109">
      <w:pPr>
        <w:spacing w:after="0" w:line="276" w:lineRule="auto"/>
        <w:jc w:val="both"/>
      </w:pPr>
      <w:r w:rsidRPr="00526109">
        <w:t>- Nhà thầu phải kê khai rõ ràng nguồn gốc dược liệu/vị thuốc cổ truyền. Đồ</w:t>
      </w:r>
      <w:r w:rsidR="002D7914" w:rsidRPr="00526109">
        <w:t xml:space="preserve">ng </w:t>
      </w:r>
      <w:r w:rsidRPr="00526109">
        <w:t>thời, phải cung cấp các tài liệu chứng minh hợp lệ như sau:</w:t>
      </w:r>
    </w:p>
    <w:p w:rsidR="00F94D01" w:rsidRPr="00526109" w:rsidRDefault="002D7914" w:rsidP="00526109">
      <w:pPr>
        <w:spacing w:after="0" w:line="276" w:lineRule="auto"/>
        <w:jc w:val="both"/>
      </w:pPr>
      <w:r w:rsidRPr="00526109">
        <w:t xml:space="preserve">+ </w:t>
      </w:r>
      <w:r w:rsidR="00F94D01" w:rsidRPr="00526109">
        <w:t>Đối với dược liệu/vị thuốc cổ truyền nước ngoài (nguồn gốc B): Giấy chứ</w:t>
      </w:r>
      <w:r w:rsidRPr="00526109">
        <w:t xml:space="preserve">ng </w:t>
      </w:r>
      <w:r w:rsidR="00F94D01" w:rsidRPr="00526109">
        <w:t>nhận nguồn gốc, xuất xứ của từng lô dược liệu (Giấ</w:t>
      </w:r>
      <w:r w:rsidRPr="00526109">
        <w:t xml:space="preserve">y C/O) do cơ quan nhà </w:t>
      </w:r>
      <w:r w:rsidR="00F94D01" w:rsidRPr="00526109">
        <w:t>nước có thẩm quyền của nước xuất khẩu cấp</w:t>
      </w:r>
      <w:r w:rsidR="007034B1" w:rsidRPr="00526109">
        <w:t>;</w:t>
      </w:r>
    </w:p>
    <w:p w:rsidR="00F94D01" w:rsidRPr="00526109" w:rsidRDefault="007034B1" w:rsidP="00526109">
      <w:pPr>
        <w:spacing w:after="0" w:line="276" w:lineRule="auto"/>
        <w:jc w:val="both"/>
      </w:pPr>
      <w:r w:rsidRPr="00526109">
        <w:t xml:space="preserve">+ </w:t>
      </w:r>
      <w:r w:rsidR="00F94D01" w:rsidRPr="00526109">
        <w:t>Đối với dược liệu trong nước: tài liệu chứng minh đơn vị cung cấp có chứ</w:t>
      </w:r>
      <w:r w:rsidRPr="00526109">
        <w:t xml:space="preserve">c </w:t>
      </w:r>
      <w:r w:rsidR="00F94D01" w:rsidRPr="00526109">
        <w:t>năng nuôi trồng, sơ chế hoặc phân phối dược liệu, Bản cam kết về địa điể</w:t>
      </w:r>
      <w:r w:rsidRPr="00526109">
        <w:t xml:space="preserve">m </w:t>
      </w:r>
      <w:r w:rsidR="00F94D01" w:rsidRPr="00526109">
        <w:t>nuôi trồng, thu hái dược liệu, giấy chứng nhận GACP (nếu có)</w:t>
      </w:r>
      <w:r w:rsidRPr="00526109">
        <w:t>.</w:t>
      </w:r>
    </w:p>
    <w:p w:rsidR="00F94D01" w:rsidRPr="00526109" w:rsidRDefault="00F94D01" w:rsidP="00526109">
      <w:pPr>
        <w:spacing w:after="0" w:line="276" w:lineRule="auto"/>
        <w:jc w:val="both"/>
      </w:pPr>
      <w:r w:rsidRPr="00526109">
        <w:t>- Việc kê khai không trung thực hoặc không cung cấp được tài liệ</w:t>
      </w:r>
      <w:r w:rsidR="007034B1" w:rsidRPr="00526109">
        <w:t xml:space="preserve">u xác minh </w:t>
      </w:r>
      <w:r w:rsidRPr="00526109">
        <w:t>nguồn gốc dược liệu sẽ bị đánh giá là hành vi gian lận và có thể bị xử</w:t>
      </w:r>
      <w:r w:rsidR="007034B1" w:rsidRPr="00526109">
        <w:t xml:space="preserve"> lý theo </w:t>
      </w:r>
      <w:r w:rsidRPr="00526109">
        <w:t>quy định tại Điều 16 Luật Đấu thầu.</w:t>
      </w:r>
    </w:p>
    <w:p w:rsidR="00F94D01" w:rsidRDefault="00F94D01" w:rsidP="00526109">
      <w:pPr>
        <w:spacing w:after="0" w:line="276" w:lineRule="auto"/>
        <w:jc w:val="both"/>
      </w:pPr>
      <w:r w:rsidRPr="00526109">
        <w:t>2.3. Các yêu cầu khác</w:t>
      </w:r>
    </w:p>
    <w:p w:rsidR="00620197" w:rsidRDefault="00620197" w:rsidP="00620197">
      <w:pPr>
        <w:spacing w:after="0" w:line="276" w:lineRule="auto"/>
        <w:jc w:val="both"/>
      </w:pPr>
      <w:r>
        <w:lastRenderedPageBreak/>
        <w:t>- Mẫu số 15: Bảng tổng hợp điểm kỹ thuật của từng sản phẩm dự thầu do nhà thầu tự đánh giá (File Excel).</w:t>
      </w:r>
    </w:p>
    <w:p w:rsidR="00620197" w:rsidRPr="00526109" w:rsidRDefault="00620197" w:rsidP="00620197">
      <w:pPr>
        <w:spacing w:after="0" w:line="276" w:lineRule="auto"/>
        <w:jc w:val="both"/>
      </w:pPr>
      <w:r>
        <w:t>- Mẫu số 16: Cam kết điều kiện giao hàng của nhà thầu</w:t>
      </w:r>
    </w:p>
    <w:p w:rsidR="00F94D01" w:rsidRPr="00526109" w:rsidRDefault="00F94D01" w:rsidP="00526109">
      <w:pPr>
        <w:spacing w:after="0" w:line="276" w:lineRule="auto"/>
        <w:jc w:val="both"/>
      </w:pPr>
      <w:r w:rsidRPr="00526109">
        <w:t>- Yêu cầu về phạm vi cung cấp và tiến độ cung cấp theo quy định tại Mụ</w:t>
      </w:r>
      <w:r w:rsidR="007034B1" w:rsidRPr="00526109">
        <w:t xml:space="preserve">c 1 </w:t>
      </w:r>
      <w:r w:rsidRPr="00526109">
        <w:t>Chương này.</w:t>
      </w:r>
    </w:p>
    <w:p w:rsidR="001127B9" w:rsidRDefault="00F94D01" w:rsidP="00526109">
      <w:pPr>
        <w:spacing w:after="0" w:line="276" w:lineRule="auto"/>
        <w:jc w:val="both"/>
        <w:sectPr w:rsidR="001127B9" w:rsidSect="00526109">
          <w:pgSz w:w="11909" w:h="16834" w:code="9"/>
          <w:pgMar w:top="810" w:right="1277" w:bottom="630" w:left="1440" w:header="720" w:footer="720" w:gutter="0"/>
          <w:cols w:space="720"/>
          <w:docGrid w:linePitch="381"/>
        </w:sectPr>
      </w:pPr>
      <w:r w:rsidRPr="00526109">
        <w:t>- Nhà thầu nộp cùng E-HSDT Dữ liệu kỹ thuật (file excel) theo mẫu sau:</w:t>
      </w:r>
      <w:r w:rsidR="007034B1">
        <w:t xml:space="preserve"> </w:t>
      </w:r>
    </w:p>
    <w:p w:rsidR="00F94D01" w:rsidRDefault="00DF49B0" w:rsidP="00F94D01">
      <w:r>
        <w:lastRenderedPageBreak/>
        <w:t xml:space="preserve">Tên nhà </w:t>
      </w:r>
      <w:r w:rsidR="00F94D01">
        <w:t>thầu:</w:t>
      </w:r>
      <w:r w:rsidR="00620197">
        <w:t xml:space="preserve">                                                                                                                                                             </w:t>
      </w:r>
      <w:bookmarkStart w:id="0" w:name="_GoBack"/>
      <w:r w:rsidR="00620197" w:rsidRPr="00620197">
        <w:rPr>
          <w:b/>
        </w:rPr>
        <w:t>Mẫu 15</w:t>
      </w:r>
      <w:bookmarkEnd w:id="0"/>
    </w:p>
    <w:p w:rsidR="00F94D01" w:rsidRDefault="00F94D01" w:rsidP="00F94D01">
      <w:r>
        <w:t>Mã số</w:t>
      </w:r>
      <w:r w:rsidR="00DF49B0">
        <w:t xml:space="preserve"> </w:t>
      </w:r>
      <w:r>
        <w:t>thuế:</w:t>
      </w:r>
    </w:p>
    <w:p w:rsidR="00F94D01" w:rsidRDefault="00DF49B0" w:rsidP="00F94D01">
      <w:r>
        <w:t xml:space="preserve">Tên gói </w:t>
      </w:r>
      <w:r w:rsidR="00F94D01">
        <w:t>thầu:</w:t>
      </w:r>
    </w:p>
    <w:p w:rsidR="00F94D01" w:rsidRDefault="00F94D01" w:rsidP="00F94D01">
      <w:r>
        <w:t>Tiêu chuẩn thực hành tốt củ</w:t>
      </w:r>
      <w:r w:rsidR="00DF49B0">
        <w:t xml:space="preserve">a </w:t>
      </w:r>
      <w:r>
        <w:t>nhà thầu:</w:t>
      </w:r>
    </w:p>
    <w:p w:rsidR="00F94D01" w:rsidRPr="00DF49B0" w:rsidRDefault="00F94D01" w:rsidP="00DF49B0">
      <w:pPr>
        <w:jc w:val="center"/>
        <w:rPr>
          <w:b/>
        </w:rPr>
      </w:pPr>
      <w:r w:rsidRPr="00DF49B0">
        <w:rPr>
          <w:b/>
        </w:rPr>
        <w:t>BIỂU MẪU ĐÁNH GIÁ KỸ THUẬT CỦA MẶT HÀNG DỰ THẦU</w:t>
      </w:r>
    </w:p>
    <w:tbl>
      <w:tblPr>
        <w:tblStyle w:val="TableGrid"/>
        <w:tblW w:w="15877" w:type="dxa"/>
        <w:tblInd w:w="-998" w:type="dxa"/>
        <w:tblLayout w:type="fixed"/>
        <w:tblLook w:val="04A0" w:firstRow="1" w:lastRow="0" w:firstColumn="1" w:lastColumn="0" w:noHBand="0" w:noVBand="1"/>
      </w:tblPr>
      <w:tblGrid>
        <w:gridCol w:w="425"/>
        <w:gridCol w:w="710"/>
        <w:gridCol w:w="709"/>
        <w:gridCol w:w="567"/>
        <w:gridCol w:w="850"/>
        <w:gridCol w:w="709"/>
        <w:gridCol w:w="709"/>
        <w:gridCol w:w="709"/>
        <w:gridCol w:w="709"/>
        <w:gridCol w:w="844"/>
        <w:gridCol w:w="829"/>
        <w:gridCol w:w="878"/>
        <w:gridCol w:w="903"/>
        <w:gridCol w:w="692"/>
        <w:gridCol w:w="753"/>
        <w:gridCol w:w="767"/>
        <w:gridCol w:w="429"/>
        <w:gridCol w:w="425"/>
        <w:gridCol w:w="425"/>
        <w:gridCol w:w="425"/>
        <w:gridCol w:w="426"/>
        <w:gridCol w:w="425"/>
        <w:gridCol w:w="425"/>
        <w:gridCol w:w="425"/>
        <w:gridCol w:w="709"/>
      </w:tblGrid>
      <w:tr w:rsidR="00B8754A" w:rsidRPr="00B8754A" w:rsidTr="004404E0">
        <w:trPr>
          <w:trHeight w:val="564"/>
        </w:trPr>
        <w:tc>
          <w:tcPr>
            <w:tcW w:w="11763" w:type="dxa"/>
            <w:gridSpan w:val="16"/>
            <w:vAlign w:val="center"/>
          </w:tcPr>
          <w:p w:rsidR="00B8754A" w:rsidRPr="00B8754A" w:rsidRDefault="00B8754A" w:rsidP="00B8754A">
            <w:pPr>
              <w:jc w:val="center"/>
              <w:rPr>
                <w:b/>
                <w:sz w:val="22"/>
              </w:rPr>
            </w:pPr>
            <w:r w:rsidRPr="00B8754A">
              <w:rPr>
                <w:b/>
                <w:sz w:val="22"/>
              </w:rPr>
              <w:t>Thông tin sản phẩm dự thầu Phần tự đánh giá TCKT của nhà thầu</w:t>
            </w:r>
          </w:p>
        </w:tc>
        <w:tc>
          <w:tcPr>
            <w:tcW w:w="4114" w:type="dxa"/>
            <w:gridSpan w:val="9"/>
            <w:vAlign w:val="center"/>
          </w:tcPr>
          <w:p w:rsidR="00B8754A" w:rsidRPr="00B8754A" w:rsidRDefault="00B8754A" w:rsidP="00B8754A">
            <w:pPr>
              <w:jc w:val="center"/>
              <w:rPr>
                <w:b/>
                <w:sz w:val="22"/>
              </w:rPr>
            </w:pPr>
            <w:r w:rsidRPr="00B8754A">
              <w:rPr>
                <w:b/>
                <w:sz w:val="22"/>
              </w:rPr>
              <w:t>Phần tự đánh giá TCKT của nhà thầu</w:t>
            </w:r>
          </w:p>
        </w:tc>
      </w:tr>
      <w:tr w:rsidR="00746FF0" w:rsidRPr="00746FF0" w:rsidTr="004404E0">
        <w:trPr>
          <w:trHeight w:val="1291"/>
        </w:trPr>
        <w:tc>
          <w:tcPr>
            <w:tcW w:w="425" w:type="dxa"/>
            <w:vAlign w:val="center"/>
          </w:tcPr>
          <w:p w:rsidR="00746FF0" w:rsidRPr="00746FF0" w:rsidRDefault="00746FF0" w:rsidP="00FE14EA">
            <w:pPr>
              <w:jc w:val="center"/>
              <w:rPr>
                <w:b/>
                <w:sz w:val="18"/>
              </w:rPr>
            </w:pPr>
            <w:r w:rsidRPr="00746FF0">
              <w:rPr>
                <w:b/>
                <w:sz w:val="18"/>
              </w:rPr>
              <w:t>STT</w:t>
            </w:r>
          </w:p>
        </w:tc>
        <w:tc>
          <w:tcPr>
            <w:tcW w:w="710" w:type="dxa"/>
            <w:vAlign w:val="center"/>
          </w:tcPr>
          <w:p w:rsidR="00746FF0" w:rsidRPr="00746FF0" w:rsidRDefault="00746FF0" w:rsidP="00FE14EA">
            <w:pPr>
              <w:jc w:val="center"/>
              <w:rPr>
                <w:b/>
                <w:sz w:val="18"/>
              </w:rPr>
            </w:pPr>
            <w:r w:rsidRPr="00746FF0">
              <w:rPr>
                <w:b/>
                <w:sz w:val="18"/>
              </w:rPr>
              <w:t>STT theo E-HSMT</w:t>
            </w:r>
          </w:p>
        </w:tc>
        <w:tc>
          <w:tcPr>
            <w:tcW w:w="709" w:type="dxa"/>
            <w:vAlign w:val="center"/>
          </w:tcPr>
          <w:p w:rsidR="00746FF0" w:rsidRPr="00746FF0" w:rsidRDefault="00746FF0" w:rsidP="00FE14EA">
            <w:pPr>
              <w:jc w:val="center"/>
              <w:rPr>
                <w:b/>
                <w:sz w:val="18"/>
              </w:rPr>
            </w:pPr>
            <w:r w:rsidRPr="00746FF0">
              <w:rPr>
                <w:b/>
                <w:sz w:val="18"/>
              </w:rPr>
              <w:t>Mã phần (lô)</w:t>
            </w:r>
          </w:p>
        </w:tc>
        <w:tc>
          <w:tcPr>
            <w:tcW w:w="567" w:type="dxa"/>
            <w:vAlign w:val="center"/>
          </w:tcPr>
          <w:p w:rsidR="00746FF0" w:rsidRPr="00746FF0" w:rsidRDefault="00746FF0" w:rsidP="00FE14EA">
            <w:pPr>
              <w:jc w:val="center"/>
              <w:rPr>
                <w:b/>
                <w:sz w:val="18"/>
              </w:rPr>
            </w:pPr>
            <w:r w:rsidRPr="00746FF0">
              <w:rPr>
                <w:b/>
                <w:sz w:val="18"/>
              </w:rPr>
              <w:t>STT/</w:t>
            </w:r>
          </w:p>
          <w:p w:rsidR="00746FF0" w:rsidRPr="00746FF0" w:rsidRDefault="00746FF0" w:rsidP="00FE14EA">
            <w:pPr>
              <w:jc w:val="center"/>
              <w:rPr>
                <w:b/>
                <w:sz w:val="18"/>
              </w:rPr>
            </w:pPr>
            <w:r w:rsidRPr="00746FF0">
              <w:rPr>
                <w:b/>
                <w:sz w:val="18"/>
              </w:rPr>
              <w:t>TT05</w:t>
            </w:r>
          </w:p>
        </w:tc>
        <w:tc>
          <w:tcPr>
            <w:tcW w:w="850" w:type="dxa"/>
            <w:vAlign w:val="center"/>
          </w:tcPr>
          <w:p w:rsidR="00746FF0" w:rsidRPr="00746FF0" w:rsidRDefault="00746FF0" w:rsidP="00FE14EA">
            <w:pPr>
              <w:jc w:val="center"/>
              <w:rPr>
                <w:b/>
                <w:sz w:val="18"/>
              </w:rPr>
            </w:pPr>
            <w:r w:rsidRPr="00746FF0">
              <w:rPr>
                <w:b/>
                <w:sz w:val="18"/>
              </w:rPr>
              <w:t>Tên vị thuốc cổ truyền</w:t>
            </w:r>
          </w:p>
        </w:tc>
        <w:tc>
          <w:tcPr>
            <w:tcW w:w="709" w:type="dxa"/>
            <w:vAlign w:val="center"/>
          </w:tcPr>
          <w:p w:rsidR="00746FF0" w:rsidRPr="00746FF0" w:rsidRDefault="00746FF0" w:rsidP="00FE14EA">
            <w:pPr>
              <w:jc w:val="center"/>
              <w:rPr>
                <w:b/>
                <w:sz w:val="18"/>
              </w:rPr>
            </w:pPr>
            <w:r w:rsidRPr="00746FF0">
              <w:rPr>
                <w:b/>
                <w:sz w:val="18"/>
              </w:rPr>
              <w:t>Bộ</w:t>
            </w:r>
          </w:p>
          <w:p w:rsidR="00746FF0" w:rsidRPr="00746FF0" w:rsidRDefault="00746FF0" w:rsidP="00FE14EA">
            <w:pPr>
              <w:jc w:val="center"/>
              <w:rPr>
                <w:b/>
                <w:sz w:val="18"/>
              </w:rPr>
            </w:pPr>
            <w:r w:rsidRPr="00746FF0">
              <w:rPr>
                <w:b/>
                <w:sz w:val="18"/>
              </w:rPr>
              <w:t>phận</w:t>
            </w:r>
          </w:p>
          <w:p w:rsidR="00746FF0" w:rsidRPr="00746FF0" w:rsidRDefault="00746FF0" w:rsidP="00FE14EA">
            <w:pPr>
              <w:jc w:val="center"/>
              <w:rPr>
                <w:b/>
                <w:sz w:val="18"/>
              </w:rPr>
            </w:pPr>
            <w:r w:rsidRPr="00746FF0">
              <w:rPr>
                <w:b/>
                <w:sz w:val="18"/>
              </w:rPr>
              <w:t>dùng</w:t>
            </w:r>
          </w:p>
        </w:tc>
        <w:tc>
          <w:tcPr>
            <w:tcW w:w="709" w:type="dxa"/>
            <w:vAlign w:val="center"/>
          </w:tcPr>
          <w:p w:rsidR="00746FF0" w:rsidRPr="00746FF0" w:rsidRDefault="00746FF0" w:rsidP="00FE14EA">
            <w:pPr>
              <w:jc w:val="center"/>
              <w:rPr>
                <w:b/>
                <w:sz w:val="18"/>
              </w:rPr>
            </w:pPr>
            <w:r w:rsidRPr="00746FF0">
              <w:rPr>
                <w:b/>
                <w:sz w:val="18"/>
              </w:rPr>
              <w:t>Tên</w:t>
            </w:r>
          </w:p>
          <w:p w:rsidR="00746FF0" w:rsidRPr="00746FF0" w:rsidRDefault="00746FF0" w:rsidP="00FE14EA">
            <w:pPr>
              <w:jc w:val="center"/>
              <w:rPr>
                <w:b/>
                <w:sz w:val="18"/>
              </w:rPr>
            </w:pPr>
            <w:r w:rsidRPr="00746FF0">
              <w:rPr>
                <w:b/>
                <w:sz w:val="18"/>
              </w:rPr>
              <w:t>khoa</w:t>
            </w:r>
          </w:p>
          <w:p w:rsidR="00746FF0" w:rsidRPr="00746FF0" w:rsidRDefault="00746FF0" w:rsidP="00FE14EA">
            <w:pPr>
              <w:jc w:val="center"/>
              <w:rPr>
                <w:b/>
                <w:sz w:val="18"/>
              </w:rPr>
            </w:pPr>
            <w:r w:rsidRPr="00746FF0">
              <w:rPr>
                <w:b/>
                <w:sz w:val="18"/>
              </w:rPr>
              <w:t>học</w:t>
            </w:r>
          </w:p>
        </w:tc>
        <w:tc>
          <w:tcPr>
            <w:tcW w:w="709" w:type="dxa"/>
            <w:vAlign w:val="center"/>
          </w:tcPr>
          <w:p w:rsidR="00746FF0" w:rsidRPr="00746FF0" w:rsidRDefault="00746FF0" w:rsidP="00FE14EA">
            <w:pPr>
              <w:jc w:val="center"/>
              <w:rPr>
                <w:b/>
                <w:sz w:val="18"/>
              </w:rPr>
            </w:pPr>
            <w:r w:rsidRPr="00746FF0">
              <w:rPr>
                <w:b/>
                <w:sz w:val="18"/>
              </w:rPr>
              <w:t>Phương</w:t>
            </w:r>
          </w:p>
          <w:p w:rsidR="00746FF0" w:rsidRPr="00746FF0" w:rsidRDefault="00746FF0" w:rsidP="00FE14EA">
            <w:pPr>
              <w:jc w:val="center"/>
              <w:rPr>
                <w:b/>
                <w:sz w:val="18"/>
              </w:rPr>
            </w:pPr>
            <w:r w:rsidRPr="00746FF0">
              <w:rPr>
                <w:b/>
                <w:sz w:val="18"/>
              </w:rPr>
              <w:t>pháp</w:t>
            </w:r>
          </w:p>
          <w:p w:rsidR="00746FF0" w:rsidRPr="00746FF0" w:rsidRDefault="00746FF0" w:rsidP="00FE14EA">
            <w:pPr>
              <w:jc w:val="center"/>
              <w:rPr>
                <w:b/>
                <w:sz w:val="18"/>
              </w:rPr>
            </w:pPr>
            <w:r w:rsidRPr="00746FF0">
              <w:rPr>
                <w:b/>
                <w:sz w:val="18"/>
              </w:rPr>
              <w:t>chế</w:t>
            </w:r>
          </w:p>
          <w:p w:rsidR="00746FF0" w:rsidRPr="00746FF0" w:rsidRDefault="00746FF0" w:rsidP="00FE14EA">
            <w:pPr>
              <w:jc w:val="center"/>
              <w:rPr>
                <w:b/>
                <w:sz w:val="18"/>
              </w:rPr>
            </w:pPr>
            <w:r w:rsidRPr="00746FF0">
              <w:rPr>
                <w:b/>
                <w:sz w:val="18"/>
              </w:rPr>
              <w:t>biến</w:t>
            </w:r>
          </w:p>
        </w:tc>
        <w:tc>
          <w:tcPr>
            <w:tcW w:w="709" w:type="dxa"/>
            <w:vAlign w:val="center"/>
          </w:tcPr>
          <w:p w:rsidR="00746FF0" w:rsidRPr="00746FF0" w:rsidRDefault="00746FF0" w:rsidP="00FE14EA">
            <w:pPr>
              <w:jc w:val="center"/>
              <w:rPr>
                <w:b/>
                <w:sz w:val="18"/>
              </w:rPr>
            </w:pPr>
            <w:r w:rsidRPr="00746FF0">
              <w:rPr>
                <w:b/>
                <w:sz w:val="18"/>
              </w:rPr>
              <w:t>Quy</w:t>
            </w:r>
          </w:p>
          <w:p w:rsidR="00746FF0" w:rsidRPr="00746FF0" w:rsidRDefault="00746FF0" w:rsidP="00FE14EA">
            <w:pPr>
              <w:jc w:val="center"/>
              <w:rPr>
                <w:b/>
                <w:sz w:val="18"/>
              </w:rPr>
            </w:pPr>
            <w:r w:rsidRPr="00746FF0">
              <w:rPr>
                <w:b/>
                <w:sz w:val="18"/>
              </w:rPr>
              <w:t>cách</w:t>
            </w:r>
          </w:p>
          <w:p w:rsidR="00746FF0" w:rsidRPr="00746FF0" w:rsidRDefault="00746FF0" w:rsidP="00FE14EA">
            <w:pPr>
              <w:jc w:val="center"/>
              <w:rPr>
                <w:b/>
                <w:sz w:val="18"/>
              </w:rPr>
            </w:pPr>
            <w:r w:rsidRPr="00746FF0">
              <w:rPr>
                <w:b/>
                <w:sz w:val="18"/>
              </w:rPr>
              <w:t>đóng</w:t>
            </w:r>
          </w:p>
          <w:p w:rsidR="00746FF0" w:rsidRPr="00746FF0" w:rsidRDefault="00746FF0" w:rsidP="00FE14EA">
            <w:pPr>
              <w:jc w:val="center"/>
              <w:rPr>
                <w:b/>
                <w:sz w:val="18"/>
              </w:rPr>
            </w:pPr>
            <w:r w:rsidRPr="00746FF0">
              <w:rPr>
                <w:b/>
                <w:sz w:val="18"/>
              </w:rPr>
              <w:t>gói</w:t>
            </w:r>
          </w:p>
        </w:tc>
        <w:tc>
          <w:tcPr>
            <w:tcW w:w="844" w:type="dxa"/>
            <w:vAlign w:val="center"/>
          </w:tcPr>
          <w:p w:rsidR="00746FF0" w:rsidRPr="00746FF0" w:rsidRDefault="00746FF0" w:rsidP="00FE14EA">
            <w:pPr>
              <w:jc w:val="center"/>
              <w:rPr>
                <w:b/>
                <w:sz w:val="18"/>
              </w:rPr>
            </w:pPr>
            <w:r w:rsidRPr="00746FF0">
              <w:rPr>
                <w:b/>
                <w:sz w:val="18"/>
              </w:rPr>
              <w:t>Phân</w:t>
            </w:r>
          </w:p>
          <w:p w:rsidR="00746FF0" w:rsidRPr="00746FF0" w:rsidRDefault="00746FF0" w:rsidP="00FE14EA">
            <w:pPr>
              <w:jc w:val="center"/>
              <w:rPr>
                <w:b/>
                <w:sz w:val="18"/>
              </w:rPr>
            </w:pPr>
            <w:r w:rsidRPr="00746FF0">
              <w:rPr>
                <w:b/>
                <w:sz w:val="18"/>
              </w:rPr>
              <w:t>nhóm</w:t>
            </w:r>
          </w:p>
        </w:tc>
        <w:tc>
          <w:tcPr>
            <w:tcW w:w="829" w:type="dxa"/>
            <w:vAlign w:val="center"/>
          </w:tcPr>
          <w:p w:rsidR="00746FF0" w:rsidRPr="00746FF0" w:rsidRDefault="00746FF0" w:rsidP="00FE14EA">
            <w:pPr>
              <w:jc w:val="center"/>
              <w:rPr>
                <w:b/>
                <w:sz w:val="18"/>
              </w:rPr>
            </w:pPr>
            <w:r w:rsidRPr="00746FF0">
              <w:rPr>
                <w:b/>
                <w:sz w:val="18"/>
              </w:rPr>
              <w:t>Hạn</w:t>
            </w:r>
          </w:p>
          <w:p w:rsidR="00746FF0" w:rsidRPr="00746FF0" w:rsidRDefault="00746FF0" w:rsidP="00FE14EA">
            <w:pPr>
              <w:jc w:val="center"/>
              <w:rPr>
                <w:b/>
                <w:sz w:val="18"/>
              </w:rPr>
            </w:pPr>
            <w:r w:rsidRPr="00746FF0">
              <w:rPr>
                <w:b/>
                <w:sz w:val="18"/>
              </w:rPr>
              <w:t>dùng</w:t>
            </w:r>
          </w:p>
          <w:p w:rsidR="00746FF0" w:rsidRPr="00746FF0" w:rsidRDefault="00746FF0" w:rsidP="00FE14EA">
            <w:pPr>
              <w:jc w:val="center"/>
              <w:rPr>
                <w:b/>
                <w:sz w:val="18"/>
              </w:rPr>
            </w:pPr>
            <w:r w:rsidRPr="00746FF0">
              <w:rPr>
                <w:b/>
                <w:sz w:val="18"/>
              </w:rPr>
              <w:t>(Tuổi</w:t>
            </w:r>
          </w:p>
          <w:p w:rsidR="00746FF0" w:rsidRPr="00746FF0" w:rsidRDefault="00746FF0" w:rsidP="00FE14EA">
            <w:pPr>
              <w:jc w:val="center"/>
              <w:rPr>
                <w:b/>
                <w:sz w:val="18"/>
              </w:rPr>
            </w:pPr>
            <w:r w:rsidRPr="00746FF0">
              <w:rPr>
                <w:b/>
                <w:sz w:val="18"/>
              </w:rPr>
              <w:t>thọ)</w:t>
            </w:r>
          </w:p>
        </w:tc>
        <w:tc>
          <w:tcPr>
            <w:tcW w:w="878" w:type="dxa"/>
            <w:vAlign w:val="center"/>
          </w:tcPr>
          <w:p w:rsidR="00746FF0" w:rsidRPr="00746FF0" w:rsidRDefault="00746FF0" w:rsidP="00FE14EA">
            <w:pPr>
              <w:jc w:val="center"/>
              <w:rPr>
                <w:b/>
                <w:sz w:val="18"/>
              </w:rPr>
            </w:pPr>
            <w:r w:rsidRPr="00746FF0">
              <w:rPr>
                <w:b/>
                <w:sz w:val="18"/>
              </w:rPr>
              <w:t>Nguồn gốc</w:t>
            </w:r>
          </w:p>
          <w:p w:rsidR="00746FF0" w:rsidRPr="00746FF0" w:rsidRDefault="00746FF0" w:rsidP="00FE14EA">
            <w:pPr>
              <w:jc w:val="center"/>
              <w:rPr>
                <w:b/>
                <w:sz w:val="18"/>
              </w:rPr>
            </w:pPr>
            <w:r w:rsidRPr="00746FF0">
              <w:rPr>
                <w:b/>
                <w:sz w:val="18"/>
              </w:rPr>
              <w:t>(B/N)</w:t>
            </w:r>
          </w:p>
        </w:tc>
        <w:tc>
          <w:tcPr>
            <w:tcW w:w="903" w:type="dxa"/>
            <w:vAlign w:val="center"/>
          </w:tcPr>
          <w:p w:rsidR="00746FF0" w:rsidRPr="00746FF0" w:rsidRDefault="00746FF0" w:rsidP="00FE14EA">
            <w:pPr>
              <w:jc w:val="center"/>
              <w:rPr>
                <w:b/>
                <w:sz w:val="18"/>
              </w:rPr>
            </w:pPr>
            <w:r w:rsidRPr="00746FF0">
              <w:rPr>
                <w:b/>
                <w:sz w:val="18"/>
              </w:rPr>
              <w:t>Số</w:t>
            </w:r>
          </w:p>
          <w:p w:rsidR="00746FF0" w:rsidRPr="00746FF0" w:rsidRDefault="00746FF0" w:rsidP="00FE14EA">
            <w:pPr>
              <w:jc w:val="center"/>
              <w:rPr>
                <w:b/>
                <w:sz w:val="18"/>
              </w:rPr>
            </w:pPr>
            <w:r w:rsidRPr="00746FF0">
              <w:rPr>
                <w:b/>
                <w:sz w:val="18"/>
              </w:rPr>
              <w:t>ĐKLH/</w:t>
            </w:r>
          </w:p>
          <w:p w:rsidR="00746FF0" w:rsidRPr="00746FF0" w:rsidRDefault="00746FF0" w:rsidP="00FE14EA">
            <w:pPr>
              <w:jc w:val="center"/>
              <w:rPr>
                <w:b/>
                <w:sz w:val="18"/>
              </w:rPr>
            </w:pPr>
            <w:r w:rsidRPr="00746FF0">
              <w:rPr>
                <w:b/>
                <w:sz w:val="18"/>
              </w:rPr>
              <w:t>GPNK</w:t>
            </w:r>
          </w:p>
        </w:tc>
        <w:tc>
          <w:tcPr>
            <w:tcW w:w="692" w:type="dxa"/>
            <w:vAlign w:val="center"/>
          </w:tcPr>
          <w:p w:rsidR="00746FF0" w:rsidRPr="00746FF0" w:rsidRDefault="00746FF0" w:rsidP="00FE14EA">
            <w:pPr>
              <w:jc w:val="center"/>
              <w:rPr>
                <w:b/>
                <w:sz w:val="18"/>
              </w:rPr>
            </w:pPr>
            <w:r w:rsidRPr="00746FF0">
              <w:rPr>
                <w:b/>
                <w:sz w:val="18"/>
              </w:rPr>
              <w:t>Cơ</w:t>
            </w:r>
          </w:p>
          <w:p w:rsidR="00746FF0" w:rsidRPr="00746FF0" w:rsidRDefault="00746FF0" w:rsidP="00FE14EA">
            <w:pPr>
              <w:jc w:val="center"/>
              <w:rPr>
                <w:b/>
                <w:sz w:val="18"/>
              </w:rPr>
            </w:pPr>
            <w:r w:rsidRPr="00746FF0">
              <w:rPr>
                <w:b/>
                <w:sz w:val="18"/>
              </w:rPr>
              <w:t>sở</w:t>
            </w:r>
          </w:p>
          <w:p w:rsidR="00746FF0" w:rsidRPr="00746FF0" w:rsidRDefault="00746FF0" w:rsidP="00FE14EA">
            <w:pPr>
              <w:jc w:val="center"/>
              <w:rPr>
                <w:b/>
                <w:sz w:val="18"/>
              </w:rPr>
            </w:pPr>
            <w:r w:rsidRPr="00746FF0">
              <w:rPr>
                <w:b/>
                <w:sz w:val="18"/>
              </w:rPr>
              <w:t>sản</w:t>
            </w:r>
          </w:p>
          <w:p w:rsidR="00746FF0" w:rsidRPr="00746FF0" w:rsidRDefault="00746FF0" w:rsidP="00FE14EA">
            <w:pPr>
              <w:jc w:val="center"/>
              <w:rPr>
                <w:b/>
                <w:sz w:val="18"/>
              </w:rPr>
            </w:pPr>
            <w:r w:rsidRPr="00746FF0">
              <w:rPr>
                <w:b/>
                <w:sz w:val="18"/>
              </w:rPr>
              <w:t>xuất</w:t>
            </w:r>
          </w:p>
        </w:tc>
        <w:tc>
          <w:tcPr>
            <w:tcW w:w="753" w:type="dxa"/>
            <w:vAlign w:val="center"/>
          </w:tcPr>
          <w:p w:rsidR="00746FF0" w:rsidRPr="00746FF0" w:rsidRDefault="00746FF0" w:rsidP="00FE14EA">
            <w:pPr>
              <w:jc w:val="center"/>
              <w:rPr>
                <w:b/>
                <w:sz w:val="18"/>
              </w:rPr>
            </w:pPr>
            <w:r w:rsidRPr="00746FF0">
              <w:rPr>
                <w:b/>
                <w:sz w:val="18"/>
              </w:rPr>
              <w:t>Cơ</w:t>
            </w:r>
          </w:p>
          <w:p w:rsidR="00746FF0" w:rsidRPr="00746FF0" w:rsidRDefault="00746FF0" w:rsidP="00FE14EA">
            <w:pPr>
              <w:jc w:val="center"/>
              <w:rPr>
                <w:b/>
                <w:sz w:val="18"/>
              </w:rPr>
            </w:pPr>
            <w:r w:rsidRPr="00746FF0">
              <w:rPr>
                <w:b/>
                <w:sz w:val="18"/>
              </w:rPr>
              <w:t>sở</w:t>
            </w:r>
          </w:p>
          <w:p w:rsidR="00746FF0" w:rsidRPr="00746FF0" w:rsidRDefault="00746FF0" w:rsidP="00FE14EA">
            <w:pPr>
              <w:jc w:val="center"/>
              <w:rPr>
                <w:b/>
                <w:sz w:val="18"/>
              </w:rPr>
            </w:pPr>
            <w:r w:rsidRPr="00746FF0">
              <w:rPr>
                <w:b/>
                <w:sz w:val="18"/>
              </w:rPr>
              <w:t>cung</w:t>
            </w:r>
          </w:p>
          <w:p w:rsidR="00746FF0" w:rsidRPr="00746FF0" w:rsidRDefault="00746FF0" w:rsidP="00FE14EA">
            <w:pPr>
              <w:jc w:val="center"/>
              <w:rPr>
                <w:b/>
                <w:sz w:val="18"/>
              </w:rPr>
            </w:pPr>
            <w:r w:rsidRPr="00746FF0">
              <w:rPr>
                <w:b/>
                <w:sz w:val="18"/>
              </w:rPr>
              <w:t>cấp</w:t>
            </w:r>
          </w:p>
        </w:tc>
        <w:tc>
          <w:tcPr>
            <w:tcW w:w="767" w:type="dxa"/>
            <w:vAlign w:val="center"/>
          </w:tcPr>
          <w:p w:rsidR="00746FF0" w:rsidRPr="00746FF0" w:rsidRDefault="00746FF0" w:rsidP="00FE14EA">
            <w:pPr>
              <w:jc w:val="center"/>
              <w:rPr>
                <w:b/>
                <w:sz w:val="18"/>
              </w:rPr>
            </w:pPr>
            <w:r w:rsidRPr="00746FF0">
              <w:rPr>
                <w:b/>
                <w:sz w:val="18"/>
              </w:rPr>
              <w:t>Phân</w:t>
            </w:r>
          </w:p>
          <w:p w:rsidR="00746FF0" w:rsidRPr="00746FF0" w:rsidRDefault="00746FF0" w:rsidP="00FE14EA">
            <w:pPr>
              <w:jc w:val="center"/>
              <w:rPr>
                <w:b/>
                <w:sz w:val="18"/>
              </w:rPr>
            </w:pPr>
            <w:r w:rsidRPr="00746FF0">
              <w:rPr>
                <w:b/>
                <w:sz w:val="18"/>
              </w:rPr>
              <w:t>loại</w:t>
            </w:r>
          </w:p>
          <w:p w:rsidR="00746FF0" w:rsidRPr="00746FF0" w:rsidRDefault="00746FF0" w:rsidP="00FE14EA">
            <w:pPr>
              <w:jc w:val="center"/>
              <w:rPr>
                <w:b/>
                <w:sz w:val="18"/>
              </w:rPr>
            </w:pPr>
            <w:r w:rsidRPr="00746FF0">
              <w:rPr>
                <w:b/>
                <w:sz w:val="18"/>
              </w:rPr>
              <w:t>(SX/</w:t>
            </w:r>
          </w:p>
          <w:p w:rsidR="00746FF0" w:rsidRPr="00746FF0" w:rsidRDefault="00746FF0" w:rsidP="00FE14EA">
            <w:pPr>
              <w:jc w:val="center"/>
              <w:rPr>
                <w:b/>
                <w:sz w:val="18"/>
              </w:rPr>
            </w:pPr>
            <w:r w:rsidRPr="00746FF0">
              <w:rPr>
                <w:b/>
                <w:sz w:val="18"/>
              </w:rPr>
              <w:t>KD/</w:t>
            </w:r>
          </w:p>
          <w:p w:rsidR="00746FF0" w:rsidRPr="00746FF0" w:rsidRDefault="00746FF0" w:rsidP="00FE14EA">
            <w:pPr>
              <w:jc w:val="center"/>
              <w:rPr>
                <w:b/>
                <w:sz w:val="18"/>
              </w:rPr>
            </w:pPr>
            <w:r w:rsidRPr="00746FF0">
              <w:rPr>
                <w:b/>
                <w:sz w:val="18"/>
              </w:rPr>
              <w:t>NK)</w:t>
            </w:r>
          </w:p>
        </w:tc>
        <w:tc>
          <w:tcPr>
            <w:tcW w:w="429" w:type="dxa"/>
            <w:vAlign w:val="center"/>
          </w:tcPr>
          <w:p w:rsidR="00746FF0" w:rsidRPr="00746FF0" w:rsidRDefault="00746FF0" w:rsidP="00FE14EA">
            <w:pPr>
              <w:jc w:val="center"/>
              <w:rPr>
                <w:b/>
                <w:sz w:val="18"/>
              </w:rPr>
            </w:pPr>
            <w:r w:rsidRPr="00746FF0">
              <w:rPr>
                <w:b/>
                <w:sz w:val="18"/>
              </w:rPr>
              <w:t>TC 1</w:t>
            </w:r>
          </w:p>
        </w:tc>
        <w:tc>
          <w:tcPr>
            <w:tcW w:w="425" w:type="dxa"/>
            <w:vAlign w:val="center"/>
          </w:tcPr>
          <w:p w:rsidR="00746FF0" w:rsidRPr="00746FF0" w:rsidRDefault="00746FF0" w:rsidP="00FE14EA">
            <w:pPr>
              <w:jc w:val="center"/>
              <w:rPr>
                <w:b/>
                <w:sz w:val="18"/>
              </w:rPr>
            </w:pPr>
            <w:r w:rsidRPr="00746FF0">
              <w:rPr>
                <w:b/>
                <w:sz w:val="18"/>
              </w:rPr>
              <w:t>TC 2</w:t>
            </w:r>
          </w:p>
        </w:tc>
        <w:tc>
          <w:tcPr>
            <w:tcW w:w="425" w:type="dxa"/>
            <w:vAlign w:val="center"/>
          </w:tcPr>
          <w:p w:rsidR="00746FF0" w:rsidRPr="00746FF0" w:rsidRDefault="00746FF0" w:rsidP="00FE14EA">
            <w:pPr>
              <w:jc w:val="center"/>
              <w:rPr>
                <w:b/>
                <w:sz w:val="18"/>
              </w:rPr>
            </w:pPr>
            <w:r w:rsidRPr="00746FF0">
              <w:rPr>
                <w:b/>
                <w:sz w:val="18"/>
              </w:rPr>
              <w:t>TC 3</w:t>
            </w:r>
          </w:p>
        </w:tc>
        <w:tc>
          <w:tcPr>
            <w:tcW w:w="425" w:type="dxa"/>
            <w:vAlign w:val="center"/>
          </w:tcPr>
          <w:p w:rsidR="00746FF0" w:rsidRPr="00746FF0" w:rsidRDefault="00746FF0" w:rsidP="00FE14EA">
            <w:pPr>
              <w:jc w:val="center"/>
              <w:rPr>
                <w:b/>
                <w:sz w:val="18"/>
              </w:rPr>
            </w:pPr>
            <w:r w:rsidRPr="00746FF0">
              <w:rPr>
                <w:b/>
                <w:sz w:val="18"/>
              </w:rPr>
              <w:t>TC 4</w:t>
            </w:r>
          </w:p>
        </w:tc>
        <w:tc>
          <w:tcPr>
            <w:tcW w:w="426" w:type="dxa"/>
            <w:vAlign w:val="center"/>
          </w:tcPr>
          <w:p w:rsidR="00746FF0" w:rsidRPr="00746FF0" w:rsidRDefault="00746FF0" w:rsidP="00FE14EA">
            <w:pPr>
              <w:jc w:val="center"/>
              <w:rPr>
                <w:b/>
                <w:sz w:val="18"/>
              </w:rPr>
            </w:pPr>
            <w:r w:rsidRPr="00746FF0">
              <w:rPr>
                <w:b/>
                <w:sz w:val="18"/>
              </w:rPr>
              <w:t>TC 5</w:t>
            </w:r>
          </w:p>
        </w:tc>
        <w:tc>
          <w:tcPr>
            <w:tcW w:w="425" w:type="dxa"/>
            <w:vAlign w:val="center"/>
          </w:tcPr>
          <w:p w:rsidR="00746FF0" w:rsidRPr="00746FF0" w:rsidRDefault="00746FF0" w:rsidP="00FE14EA">
            <w:pPr>
              <w:jc w:val="center"/>
              <w:rPr>
                <w:b/>
                <w:sz w:val="18"/>
              </w:rPr>
            </w:pPr>
            <w:r w:rsidRPr="00746FF0">
              <w:rPr>
                <w:b/>
                <w:sz w:val="18"/>
              </w:rPr>
              <w:t>TC 6</w:t>
            </w:r>
          </w:p>
        </w:tc>
        <w:tc>
          <w:tcPr>
            <w:tcW w:w="425" w:type="dxa"/>
            <w:vAlign w:val="center"/>
          </w:tcPr>
          <w:p w:rsidR="00746FF0" w:rsidRPr="00746FF0" w:rsidRDefault="00746FF0" w:rsidP="00FE14EA">
            <w:pPr>
              <w:jc w:val="center"/>
              <w:rPr>
                <w:b/>
                <w:sz w:val="18"/>
              </w:rPr>
            </w:pPr>
            <w:r w:rsidRPr="00746FF0">
              <w:rPr>
                <w:b/>
                <w:sz w:val="18"/>
              </w:rPr>
              <w:t>TC 7</w:t>
            </w:r>
          </w:p>
        </w:tc>
        <w:tc>
          <w:tcPr>
            <w:tcW w:w="425" w:type="dxa"/>
            <w:vAlign w:val="center"/>
          </w:tcPr>
          <w:p w:rsidR="00746FF0" w:rsidRPr="00746FF0" w:rsidRDefault="00746FF0" w:rsidP="00FE14EA">
            <w:pPr>
              <w:jc w:val="center"/>
              <w:rPr>
                <w:b/>
                <w:sz w:val="18"/>
              </w:rPr>
            </w:pPr>
            <w:r w:rsidRPr="00746FF0">
              <w:rPr>
                <w:b/>
                <w:sz w:val="18"/>
              </w:rPr>
              <w:t>TC 8</w:t>
            </w:r>
          </w:p>
        </w:tc>
        <w:tc>
          <w:tcPr>
            <w:tcW w:w="709" w:type="dxa"/>
            <w:vAlign w:val="center"/>
          </w:tcPr>
          <w:p w:rsidR="00746FF0" w:rsidRPr="00746FF0" w:rsidRDefault="00746FF0" w:rsidP="00746FF0">
            <w:pPr>
              <w:jc w:val="center"/>
              <w:rPr>
                <w:b/>
                <w:sz w:val="18"/>
              </w:rPr>
            </w:pPr>
            <w:r w:rsidRPr="00746FF0">
              <w:rPr>
                <w:b/>
                <w:sz w:val="18"/>
              </w:rPr>
              <w:t>Tổng</w:t>
            </w:r>
          </w:p>
          <w:p w:rsidR="00746FF0" w:rsidRPr="00746FF0" w:rsidRDefault="00746FF0" w:rsidP="00746FF0">
            <w:pPr>
              <w:jc w:val="center"/>
              <w:rPr>
                <w:b/>
                <w:sz w:val="18"/>
              </w:rPr>
            </w:pPr>
            <w:r w:rsidRPr="00746FF0">
              <w:rPr>
                <w:b/>
                <w:sz w:val="18"/>
              </w:rPr>
              <w:t>điểm</w:t>
            </w:r>
          </w:p>
        </w:tc>
      </w:tr>
      <w:tr w:rsidR="00B8754A" w:rsidRPr="00746FF0" w:rsidTr="004404E0">
        <w:trPr>
          <w:trHeight w:val="393"/>
        </w:trPr>
        <w:tc>
          <w:tcPr>
            <w:tcW w:w="425" w:type="dxa"/>
            <w:vAlign w:val="center"/>
          </w:tcPr>
          <w:p w:rsidR="00B8754A" w:rsidRPr="00746FF0" w:rsidRDefault="004404E0" w:rsidP="00FE14EA">
            <w:pPr>
              <w:jc w:val="center"/>
              <w:rPr>
                <w:b/>
                <w:sz w:val="18"/>
              </w:rPr>
            </w:pPr>
            <w:r>
              <w:rPr>
                <w:b/>
                <w:sz w:val="18"/>
              </w:rPr>
              <w:t>1</w:t>
            </w:r>
          </w:p>
        </w:tc>
        <w:tc>
          <w:tcPr>
            <w:tcW w:w="71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567" w:type="dxa"/>
            <w:vAlign w:val="center"/>
          </w:tcPr>
          <w:p w:rsidR="00B8754A" w:rsidRPr="00746FF0" w:rsidRDefault="00B8754A" w:rsidP="00FE14EA">
            <w:pPr>
              <w:jc w:val="center"/>
              <w:rPr>
                <w:b/>
                <w:sz w:val="18"/>
              </w:rPr>
            </w:pPr>
          </w:p>
        </w:tc>
        <w:tc>
          <w:tcPr>
            <w:tcW w:w="85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844" w:type="dxa"/>
            <w:vAlign w:val="center"/>
          </w:tcPr>
          <w:p w:rsidR="00B8754A" w:rsidRPr="00746FF0" w:rsidRDefault="00B8754A" w:rsidP="00FE14EA">
            <w:pPr>
              <w:jc w:val="center"/>
              <w:rPr>
                <w:b/>
                <w:sz w:val="18"/>
              </w:rPr>
            </w:pPr>
          </w:p>
        </w:tc>
        <w:tc>
          <w:tcPr>
            <w:tcW w:w="829" w:type="dxa"/>
            <w:vAlign w:val="center"/>
          </w:tcPr>
          <w:p w:rsidR="00B8754A" w:rsidRPr="00746FF0" w:rsidRDefault="00B8754A" w:rsidP="00FE14EA">
            <w:pPr>
              <w:jc w:val="center"/>
              <w:rPr>
                <w:b/>
                <w:sz w:val="18"/>
              </w:rPr>
            </w:pPr>
          </w:p>
        </w:tc>
        <w:tc>
          <w:tcPr>
            <w:tcW w:w="878" w:type="dxa"/>
            <w:vAlign w:val="center"/>
          </w:tcPr>
          <w:p w:rsidR="00B8754A" w:rsidRPr="00746FF0" w:rsidRDefault="00B8754A" w:rsidP="00FE14EA">
            <w:pPr>
              <w:jc w:val="center"/>
              <w:rPr>
                <w:b/>
                <w:sz w:val="18"/>
              </w:rPr>
            </w:pPr>
          </w:p>
        </w:tc>
        <w:tc>
          <w:tcPr>
            <w:tcW w:w="903" w:type="dxa"/>
            <w:vAlign w:val="center"/>
          </w:tcPr>
          <w:p w:rsidR="00B8754A" w:rsidRPr="00746FF0" w:rsidRDefault="00B8754A" w:rsidP="00FE14EA">
            <w:pPr>
              <w:jc w:val="center"/>
              <w:rPr>
                <w:b/>
                <w:sz w:val="18"/>
              </w:rPr>
            </w:pPr>
          </w:p>
        </w:tc>
        <w:tc>
          <w:tcPr>
            <w:tcW w:w="692" w:type="dxa"/>
            <w:vAlign w:val="center"/>
          </w:tcPr>
          <w:p w:rsidR="00B8754A" w:rsidRPr="00746FF0" w:rsidRDefault="00B8754A" w:rsidP="00FE14EA">
            <w:pPr>
              <w:jc w:val="center"/>
              <w:rPr>
                <w:b/>
                <w:sz w:val="18"/>
              </w:rPr>
            </w:pPr>
          </w:p>
        </w:tc>
        <w:tc>
          <w:tcPr>
            <w:tcW w:w="753" w:type="dxa"/>
            <w:vAlign w:val="center"/>
          </w:tcPr>
          <w:p w:rsidR="00B8754A" w:rsidRPr="00746FF0" w:rsidRDefault="00B8754A" w:rsidP="00FE14EA">
            <w:pPr>
              <w:jc w:val="center"/>
              <w:rPr>
                <w:b/>
                <w:sz w:val="18"/>
              </w:rPr>
            </w:pPr>
          </w:p>
        </w:tc>
        <w:tc>
          <w:tcPr>
            <w:tcW w:w="767" w:type="dxa"/>
            <w:vAlign w:val="center"/>
          </w:tcPr>
          <w:p w:rsidR="00B8754A" w:rsidRPr="00746FF0" w:rsidRDefault="00B8754A" w:rsidP="00FE14EA">
            <w:pPr>
              <w:jc w:val="center"/>
              <w:rPr>
                <w:b/>
                <w:sz w:val="18"/>
              </w:rPr>
            </w:pPr>
          </w:p>
        </w:tc>
        <w:tc>
          <w:tcPr>
            <w:tcW w:w="429"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6"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746FF0">
            <w:pPr>
              <w:jc w:val="center"/>
              <w:rPr>
                <w:b/>
                <w:sz w:val="18"/>
              </w:rPr>
            </w:pPr>
          </w:p>
        </w:tc>
      </w:tr>
      <w:tr w:rsidR="00B8754A" w:rsidRPr="00746FF0" w:rsidTr="004404E0">
        <w:trPr>
          <w:trHeight w:val="412"/>
        </w:trPr>
        <w:tc>
          <w:tcPr>
            <w:tcW w:w="425" w:type="dxa"/>
            <w:vAlign w:val="center"/>
          </w:tcPr>
          <w:p w:rsidR="00B8754A" w:rsidRPr="00746FF0" w:rsidRDefault="004404E0" w:rsidP="00FE14EA">
            <w:pPr>
              <w:jc w:val="center"/>
              <w:rPr>
                <w:b/>
                <w:sz w:val="18"/>
              </w:rPr>
            </w:pPr>
            <w:r>
              <w:rPr>
                <w:b/>
                <w:sz w:val="18"/>
              </w:rPr>
              <w:t>2</w:t>
            </w:r>
          </w:p>
        </w:tc>
        <w:tc>
          <w:tcPr>
            <w:tcW w:w="71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567" w:type="dxa"/>
            <w:vAlign w:val="center"/>
          </w:tcPr>
          <w:p w:rsidR="00B8754A" w:rsidRPr="00746FF0" w:rsidRDefault="00B8754A" w:rsidP="00FE14EA">
            <w:pPr>
              <w:jc w:val="center"/>
              <w:rPr>
                <w:b/>
                <w:sz w:val="18"/>
              </w:rPr>
            </w:pPr>
          </w:p>
        </w:tc>
        <w:tc>
          <w:tcPr>
            <w:tcW w:w="85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844" w:type="dxa"/>
            <w:vAlign w:val="center"/>
          </w:tcPr>
          <w:p w:rsidR="00B8754A" w:rsidRPr="00746FF0" w:rsidRDefault="00B8754A" w:rsidP="00FE14EA">
            <w:pPr>
              <w:jc w:val="center"/>
              <w:rPr>
                <w:b/>
                <w:sz w:val="18"/>
              </w:rPr>
            </w:pPr>
          </w:p>
        </w:tc>
        <w:tc>
          <w:tcPr>
            <w:tcW w:w="829" w:type="dxa"/>
            <w:vAlign w:val="center"/>
          </w:tcPr>
          <w:p w:rsidR="00B8754A" w:rsidRPr="00746FF0" w:rsidRDefault="00B8754A" w:rsidP="00FE14EA">
            <w:pPr>
              <w:jc w:val="center"/>
              <w:rPr>
                <w:b/>
                <w:sz w:val="18"/>
              </w:rPr>
            </w:pPr>
          </w:p>
        </w:tc>
        <w:tc>
          <w:tcPr>
            <w:tcW w:w="878" w:type="dxa"/>
            <w:vAlign w:val="center"/>
          </w:tcPr>
          <w:p w:rsidR="00B8754A" w:rsidRPr="00746FF0" w:rsidRDefault="00B8754A" w:rsidP="00FE14EA">
            <w:pPr>
              <w:jc w:val="center"/>
              <w:rPr>
                <w:b/>
                <w:sz w:val="18"/>
              </w:rPr>
            </w:pPr>
          </w:p>
        </w:tc>
        <w:tc>
          <w:tcPr>
            <w:tcW w:w="903" w:type="dxa"/>
            <w:vAlign w:val="center"/>
          </w:tcPr>
          <w:p w:rsidR="00B8754A" w:rsidRPr="00746FF0" w:rsidRDefault="00B8754A" w:rsidP="00FE14EA">
            <w:pPr>
              <w:jc w:val="center"/>
              <w:rPr>
                <w:b/>
                <w:sz w:val="18"/>
              </w:rPr>
            </w:pPr>
          </w:p>
        </w:tc>
        <w:tc>
          <w:tcPr>
            <w:tcW w:w="692" w:type="dxa"/>
            <w:vAlign w:val="center"/>
          </w:tcPr>
          <w:p w:rsidR="00B8754A" w:rsidRPr="00746FF0" w:rsidRDefault="00B8754A" w:rsidP="00FE14EA">
            <w:pPr>
              <w:jc w:val="center"/>
              <w:rPr>
                <w:b/>
                <w:sz w:val="18"/>
              </w:rPr>
            </w:pPr>
          </w:p>
        </w:tc>
        <w:tc>
          <w:tcPr>
            <w:tcW w:w="753" w:type="dxa"/>
            <w:vAlign w:val="center"/>
          </w:tcPr>
          <w:p w:rsidR="00B8754A" w:rsidRPr="00746FF0" w:rsidRDefault="00B8754A" w:rsidP="00FE14EA">
            <w:pPr>
              <w:jc w:val="center"/>
              <w:rPr>
                <w:b/>
                <w:sz w:val="18"/>
              </w:rPr>
            </w:pPr>
          </w:p>
        </w:tc>
        <w:tc>
          <w:tcPr>
            <w:tcW w:w="767" w:type="dxa"/>
            <w:vAlign w:val="center"/>
          </w:tcPr>
          <w:p w:rsidR="00B8754A" w:rsidRPr="00746FF0" w:rsidRDefault="00B8754A" w:rsidP="00FE14EA">
            <w:pPr>
              <w:jc w:val="center"/>
              <w:rPr>
                <w:b/>
                <w:sz w:val="18"/>
              </w:rPr>
            </w:pPr>
          </w:p>
        </w:tc>
        <w:tc>
          <w:tcPr>
            <w:tcW w:w="429"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6"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746FF0">
            <w:pPr>
              <w:jc w:val="center"/>
              <w:rPr>
                <w:b/>
                <w:sz w:val="18"/>
              </w:rPr>
            </w:pPr>
          </w:p>
        </w:tc>
      </w:tr>
      <w:tr w:rsidR="00B8754A" w:rsidRPr="00746FF0" w:rsidTr="004404E0">
        <w:trPr>
          <w:trHeight w:val="418"/>
        </w:trPr>
        <w:tc>
          <w:tcPr>
            <w:tcW w:w="425" w:type="dxa"/>
            <w:vAlign w:val="center"/>
          </w:tcPr>
          <w:p w:rsidR="00B8754A" w:rsidRPr="00746FF0" w:rsidRDefault="004404E0" w:rsidP="00FE14EA">
            <w:pPr>
              <w:jc w:val="center"/>
              <w:rPr>
                <w:b/>
                <w:sz w:val="18"/>
              </w:rPr>
            </w:pPr>
            <w:r>
              <w:rPr>
                <w:b/>
                <w:sz w:val="18"/>
              </w:rPr>
              <w:t>…</w:t>
            </w:r>
          </w:p>
        </w:tc>
        <w:tc>
          <w:tcPr>
            <w:tcW w:w="71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567" w:type="dxa"/>
            <w:vAlign w:val="center"/>
          </w:tcPr>
          <w:p w:rsidR="00B8754A" w:rsidRPr="00746FF0" w:rsidRDefault="00B8754A" w:rsidP="00FE14EA">
            <w:pPr>
              <w:jc w:val="center"/>
              <w:rPr>
                <w:b/>
                <w:sz w:val="18"/>
              </w:rPr>
            </w:pPr>
          </w:p>
        </w:tc>
        <w:tc>
          <w:tcPr>
            <w:tcW w:w="850"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FE14EA">
            <w:pPr>
              <w:jc w:val="center"/>
              <w:rPr>
                <w:b/>
                <w:sz w:val="18"/>
              </w:rPr>
            </w:pPr>
          </w:p>
        </w:tc>
        <w:tc>
          <w:tcPr>
            <w:tcW w:w="844" w:type="dxa"/>
            <w:vAlign w:val="center"/>
          </w:tcPr>
          <w:p w:rsidR="00B8754A" w:rsidRPr="00746FF0" w:rsidRDefault="00B8754A" w:rsidP="00FE14EA">
            <w:pPr>
              <w:jc w:val="center"/>
              <w:rPr>
                <w:b/>
                <w:sz w:val="18"/>
              </w:rPr>
            </w:pPr>
          </w:p>
        </w:tc>
        <w:tc>
          <w:tcPr>
            <w:tcW w:w="829" w:type="dxa"/>
            <w:vAlign w:val="center"/>
          </w:tcPr>
          <w:p w:rsidR="00B8754A" w:rsidRPr="00746FF0" w:rsidRDefault="00B8754A" w:rsidP="00FE14EA">
            <w:pPr>
              <w:jc w:val="center"/>
              <w:rPr>
                <w:b/>
                <w:sz w:val="18"/>
              </w:rPr>
            </w:pPr>
          </w:p>
        </w:tc>
        <w:tc>
          <w:tcPr>
            <w:tcW w:w="878" w:type="dxa"/>
            <w:vAlign w:val="center"/>
          </w:tcPr>
          <w:p w:rsidR="00B8754A" w:rsidRPr="00746FF0" w:rsidRDefault="00B8754A" w:rsidP="00FE14EA">
            <w:pPr>
              <w:jc w:val="center"/>
              <w:rPr>
                <w:b/>
                <w:sz w:val="18"/>
              </w:rPr>
            </w:pPr>
          </w:p>
        </w:tc>
        <w:tc>
          <w:tcPr>
            <w:tcW w:w="903" w:type="dxa"/>
            <w:vAlign w:val="center"/>
          </w:tcPr>
          <w:p w:rsidR="00B8754A" w:rsidRPr="00746FF0" w:rsidRDefault="00B8754A" w:rsidP="00FE14EA">
            <w:pPr>
              <w:jc w:val="center"/>
              <w:rPr>
                <w:b/>
                <w:sz w:val="18"/>
              </w:rPr>
            </w:pPr>
          </w:p>
        </w:tc>
        <w:tc>
          <w:tcPr>
            <w:tcW w:w="692" w:type="dxa"/>
            <w:vAlign w:val="center"/>
          </w:tcPr>
          <w:p w:rsidR="00B8754A" w:rsidRPr="00746FF0" w:rsidRDefault="00B8754A" w:rsidP="00FE14EA">
            <w:pPr>
              <w:jc w:val="center"/>
              <w:rPr>
                <w:b/>
                <w:sz w:val="18"/>
              </w:rPr>
            </w:pPr>
          </w:p>
        </w:tc>
        <w:tc>
          <w:tcPr>
            <w:tcW w:w="753" w:type="dxa"/>
            <w:vAlign w:val="center"/>
          </w:tcPr>
          <w:p w:rsidR="00B8754A" w:rsidRPr="00746FF0" w:rsidRDefault="00B8754A" w:rsidP="00FE14EA">
            <w:pPr>
              <w:jc w:val="center"/>
              <w:rPr>
                <w:b/>
                <w:sz w:val="18"/>
              </w:rPr>
            </w:pPr>
          </w:p>
        </w:tc>
        <w:tc>
          <w:tcPr>
            <w:tcW w:w="767" w:type="dxa"/>
            <w:vAlign w:val="center"/>
          </w:tcPr>
          <w:p w:rsidR="00B8754A" w:rsidRPr="00746FF0" w:rsidRDefault="00B8754A" w:rsidP="00FE14EA">
            <w:pPr>
              <w:jc w:val="center"/>
              <w:rPr>
                <w:b/>
                <w:sz w:val="18"/>
              </w:rPr>
            </w:pPr>
          </w:p>
        </w:tc>
        <w:tc>
          <w:tcPr>
            <w:tcW w:w="429"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6"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425" w:type="dxa"/>
            <w:vAlign w:val="center"/>
          </w:tcPr>
          <w:p w:rsidR="00B8754A" w:rsidRPr="00746FF0" w:rsidRDefault="00B8754A" w:rsidP="00FE14EA">
            <w:pPr>
              <w:jc w:val="center"/>
              <w:rPr>
                <w:b/>
                <w:sz w:val="18"/>
              </w:rPr>
            </w:pPr>
          </w:p>
        </w:tc>
        <w:tc>
          <w:tcPr>
            <w:tcW w:w="709" w:type="dxa"/>
            <w:vAlign w:val="center"/>
          </w:tcPr>
          <w:p w:rsidR="00B8754A" w:rsidRPr="00746FF0" w:rsidRDefault="00B8754A" w:rsidP="00746FF0">
            <w:pPr>
              <w:jc w:val="center"/>
              <w:rPr>
                <w:b/>
                <w:sz w:val="18"/>
              </w:rPr>
            </w:pPr>
          </w:p>
        </w:tc>
      </w:tr>
    </w:tbl>
    <w:p w:rsidR="001127B9" w:rsidRDefault="001127B9" w:rsidP="00F94D01"/>
    <w:p w:rsidR="004404E0" w:rsidRDefault="004404E0" w:rsidP="00DF49B0">
      <w:pPr>
        <w:jc w:val="both"/>
      </w:pPr>
    </w:p>
    <w:p w:rsidR="00620197" w:rsidRDefault="00620197" w:rsidP="00DF49B0">
      <w:pPr>
        <w:jc w:val="both"/>
        <w:sectPr w:rsidR="00620197" w:rsidSect="001127B9">
          <w:pgSz w:w="16834" w:h="11909" w:orient="landscape" w:code="9"/>
          <w:pgMar w:top="1440" w:right="1440" w:bottom="1440" w:left="1440" w:header="720" w:footer="720" w:gutter="0"/>
          <w:cols w:space="720"/>
          <w:docGrid w:linePitch="381"/>
        </w:sectPr>
      </w:pPr>
    </w:p>
    <w:p w:rsidR="00620197" w:rsidRDefault="00620197" w:rsidP="00620197">
      <w:pPr>
        <w:spacing w:before="120"/>
        <w:jc w:val="center"/>
        <w:rPr>
          <w:rFonts w:eastAsia="Calibri"/>
          <w:b/>
          <w:szCs w:val="28"/>
        </w:rPr>
      </w:pPr>
      <w:r>
        <w:rPr>
          <w:rFonts w:eastAsia="Calibri"/>
          <w:b/>
          <w:szCs w:val="28"/>
        </w:rPr>
        <w:lastRenderedPageBreak/>
        <w:tab/>
      </w:r>
      <w:r>
        <w:rPr>
          <w:rFonts w:eastAsia="Calibri"/>
          <w:b/>
          <w:szCs w:val="28"/>
        </w:rPr>
        <w:tab/>
      </w:r>
      <w:r>
        <w:rPr>
          <w:rFonts w:eastAsia="Calibri"/>
          <w:b/>
          <w:szCs w:val="28"/>
        </w:rPr>
        <w:tab/>
      </w:r>
      <w:r>
        <w:rPr>
          <w:rFonts w:eastAsia="Calibri"/>
          <w:b/>
          <w:szCs w:val="28"/>
        </w:rPr>
        <w:tab/>
      </w:r>
      <w:r>
        <w:rPr>
          <w:rFonts w:eastAsia="Calibri"/>
          <w:b/>
          <w:szCs w:val="28"/>
        </w:rPr>
        <w:tab/>
      </w:r>
      <w:r>
        <w:rPr>
          <w:rFonts w:eastAsia="Calibri"/>
          <w:b/>
          <w:szCs w:val="28"/>
        </w:rPr>
        <w:tab/>
      </w:r>
      <w:r>
        <w:rPr>
          <w:rFonts w:eastAsia="Calibri"/>
          <w:b/>
          <w:szCs w:val="28"/>
        </w:rPr>
        <w:tab/>
        <w:t>Mẫu 16</w:t>
      </w:r>
    </w:p>
    <w:p w:rsidR="00620197" w:rsidRPr="00F37024" w:rsidRDefault="00620197" w:rsidP="00620197">
      <w:pPr>
        <w:spacing w:before="120"/>
        <w:jc w:val="center"/>
        <w:rPr>
          <w:rFonts w:eastAsia="Calibri"/>
          <w:b/>
          <w:szCs w:val="28"/>
        </w:rPr>
      </w:pPr>
      <w:r w:rsidRPr="00F37024">
        <w:rPr>
          <w:rFonts w:eastAsia="Calibri"/>
          <w:b/>
          <w:szCs w:val="28"/>
        </w:rPr>
        <w:t>CAM KẾT VỀ ĐIỀU KIỆN GIAO HÀNG CỦA NHÀ THẦU</w:t>
      </w:r>
    </w:p>
    <w:p w:rsidR="00620197" w:rsidRPr="00F37024" w:rsidRDefault="00620197" w:rsidP="00620197">
      <w:pPr>
        <w:spacing w:before="120"/>
        <w:jc w:val="right"/>
        <w:rPr>
          <w:rFonts w:eastAsia="Calibri"/>
          <w:szCs w:val="28"/>
        </w:rPr>
      </w:pPr>
      <w:r w:rsidRPr="00F37024">
        <w:rPr>
          <w:rFonts w:eastAsia="Calibri"/>
          <w:szCs w:val="28"/>
        </w:rPr>
        <w:t>____, ngày ___ tháng ___ năm ___</w:t>
      </w:r>
    </w:p>
    <w:p w:rsidR="00620197" w:rsidRPr="00F37024" w:rsidRDefault="00620197" w:rsidP="00620197">
      <w:pPr>
        <w:spacing w:before="120"/>
        <w:rPr>
          <w:rFonts w:eastAsia="Calibri"/>
          <w:i/>
          <w:szCs w:val="28"/>
        </w:rPr>
      </w:pPr>
      <w:r w:rsidRPr="00F37024">
        <w:rPr>
          <w:rFonts w:eastAsia="Calibri"/>
          <w:szCs w:val="28"/>
        </w:rPr>
        <w:t>Tên nhà thầu: _______________</w:t>
      </w:r>
      <w:r w:rsidRPr="00F37024">
        <w:rPr>
          <w:rFonts w:eastAsia="Calibri"/>
          <w:i/>
          <w:szCs w:val="28"/>
        </w:rPr>
        <w:t>[Ghi tên đầy đủ của nhà thầu]</w:t>
      </w:r>
    </w:p>
    <w:p w:rsidR="00620197" w:rsidRPr="00F37024" w:rsidRDefault="00620197" w:rsidP="00620197">
      <w:pPr>
        <w:spacing w:before="120"/>
        <w:ind w:left="720" w:firstLine="720"/>
        <w:rPr>
          <w:rFonts w:eastAsia="Calibri"/>
          <w:szCs w:val="28"/>
        </w:rPr>
      </w:pPr>
      <w:r w:rsidRPr="00F37024">
        <w:rPr>
          <w:rFonts w:eastAsia="Calibri"/>
          <w:szCs w:val="28"/>
        </w:rPr>
        <w:t>Kính gửi: Trung tâm Y tế Phú Lộc</w:t>
      </w:r>
    </w:p>
    <w:p w:rsidR="00620197" w:rsidRPr="00F37024" w:rsidRDefault="00620197" w:rsidP="00620197">
      <w:pPr>
        <w:spacing w:before="120"/>
        <w:rPr>
          <w:rFonts w:eastAsia="Calibri"/>
          <w:szCs w:val="28"/>
        </w:rPr>
      </w:pPr>
      <w:r w:rsidRPr="00F37024">
        <w:rPr>
          <w:rFonts w:eastAsia="Calibri"/>
          <w:szCs w:val="28"/>
        </w:rPr>
        <w:t xml:space="preserve">Sau khi nghiên cứu E-HSMT </w:t>
      </w:r>
      <w:r w:rsidRPr="00F37024">
        <w:rPr>
          <w:rFonts w:eastAsia="Calibri"/>
          <w:b/>
          <w:i/>
          <w:szCs w:val="28"/>
        </w:rPr>
        <w:t>gói thầu</w:t>
      </w:r>
      <w:r w:rsidRPr="00F37024">
        <w:rPr>
          <w:rFonts w:eastAsia="Calibri"/>
          <w:szCs w:val="28"/>
        </w:rPr>
        <w:t xml:space="preserve"> ....chúng tôi xin cam kết và thực hiện đầy đủ những nội dung theo yêu cầu của E-HSMT như sau:</w:t>
      </w:r>
    </w:p>
    <w:p w:rsidR="00620197" w:rsidRPr="00F37024" w:rsidRDefault="00620197" w:rsidP="00620197">
      <w:pPr>
        <w:spacing w:line="276" w:lineRule="auto"/>
        <w:jc w:val="both"/>
        <w:rPr>
          <w:rFonts w:eastAsia="Calibri"/>
          <w:szCs w:val="28"/>
        </w:rPr>
      </w:pPr>
      <w:r w:rsidRPr="00F37024">
        <w:rPr>
          <w:rFonts w:eastAsia="Calibri"/>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620197" w:rsidRPr="00F37024" w:rsidRDefault="00620197" w:rsidP="00620197">
      <w:pPr>
        <w:spacing w:line="276" w:lineRule="auto"/>
        <w:jc w:val="both"/>
        <w:rPr>
          <w:rFonts w:eastAsia="Calibri"/>
          <w:szCs w:val="28"/>
        </w:rPr>
      </w:pPr>
      <w:r w:rsidRPr="00F37024">
        <w:rPr>
          <w:rFonts w:eastAsia="Calibri"/>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620197" w:rsidRPr="00F37024" w:rsidRDefault="00620197" w:rsidP="00620197">
      <w:pPr>
        <w:spacing w:line="276" w:lineRule="auto"/>
        <w:jc w:val="both"/>
        <w:rPr>
          <w:rFonts w:eastAsia="Calibri"/>
          <w:szCs w:val="28"/>
        </w:rPr>
      </w:pPr>
      <w:r w:rsidRPr="00F37024">
        <w:rPr>
          <w:rFonts w:eastAsia="Calibri"/>
          <w:szCs w:val="28"/>
        </w:rPr>
        <w:t>3. Bảo quản và phân phối thuốc đảm bảo đúng yêu cầu quy định về GSP, GDP trong suốt quá trình vận chuyển tới kho của các cơ sở y tế trên địa bàn cả nước.</w:t>
      </w:r>
    </w:p>
    <w:p w:rsidR="00620197" w:rsidRPr="00F37024" w:rsidRDefault="00620197" w:rsidP="00620197">
      <w:pPr>
        <w:spacing w:line="276" w:lineRule="auto"/>
        <w:jc w:val="both"/>
        <w:rPr>
          <w:rFonts w:eastAsia="Calibri"/>
          <w:szCs w:val="28"/>
        </w:rPr>
      </w:pPr>
      <w:r w:rsidRPr="00F37024">
        <w:rPr>
          <w:rFonts w:eastAsia="Calibri"/>
          <w:szCs w:val="28"/>
        </w:rPr>
        <w:t>4. Về hạn sử dụng của thuốc tại thời điểm giao hàng:</w:t>
      </w:r>
    </w:p>
    <w:p w:rsidR="00620197" w:rsidRPr="00F37024" w:rsidRDefault="00620197" w:rsidP="00620197">
      <w:pPr>
        <w:spacing w:line="276" w:lineRule="auto"/>
        <w:jc w:val="both"/>
        <w:rPr>
          <w:rFonts w:eastAsia="Calibri"/>
          <w:i/>
          <w:szCs w:val="28"/>
        </w:rPr>
      </w:pPr>
      <w:r w:rsidRPr="00F37024">
        <w:rPr>
          <w:rFonts w:eastAsia="Calibri"/>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37024">
        <w:rPr>
          <w:rFonts w:eastAsia="Calibri"/>
          <w:i/>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620197" w:rsidRPr="00F37024" w:rsidRDefault="00620197" w:rsidP="00620197">
      <w:pPr>
        <w:spacing w:line="276" w:lineRule="auto"/>
        <w:jc w:val="both"/>
        <w:rPr>
          <w:rFonts w:eastAsia="Calibri"/>
          <w:szCs w:val="28"/>
        </w:rPr>
      </w:pPr>
      <w:r w:rsidRPr="00F37024">
        <w:rPr>
          <w:rFonts w:eastAsia="Calibri"/>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620197" w:rsidRPr="00F37024" w:rsidRDefault="00620197" w:rsidP="00620197">
      <w:pPr>
        <w:spacing w:before="120"/>
        <w:rPr>
          <w:rFonts w:eastAsia="Calibri"/>
          <w:szCs w:val="28"/>
        </w:rPr>
      </w:pPr>
    </w:p>
    <w:tbl>
      <w:tblPr>
        <w:tblW w:w="0" w:type="auto"/>
        <w:tblInd w:w="108" w:type="dxa"/>
        <w:tblLook w:val="01E0" w:firstRow="1" w:lastRow="1" w:firstColumn="1" w:lastColumn="1" w:noHBand="0" w:noVBand="0"/>
      </w:tblPr>
      <w:tblGrid>
        <w:gridCol w:w="3828"/>
        <w:gridCol w:w="5028"/>
      </w:tblGrid>
      <w:tr w:rsidR="00620197" w:rsidRPr="00F37024" w:rsidTr="00695FD1">
        <w:tc>
          <w:tcPr>
            <w:tcW w:w="3828" w:type="dxa"/>
            <w:shd w:val="clear" w:color="auto" w:fill="auto"/>
          </w:tcPr>
          <w:p w:rsidR="00620197" w:rsidRPr="00F37024" w:rsidRDefault="00620197" w:rsidP="00695FD1">
            <w:pPr>
              <w:spacing w:before="120"/>
              <w:rPr>
                <w:rFonts w:eastAsia="Times New Roman"/>
                <w:szCs w:val="28"/>
              </w:rPr>
            </w:pPr>
          </w:p>
        </w:tc>
        <w:tc>
          <w:tcPr>
            <w:tcW w:w="5028" w:type="dxa"/>
            <w:shd w:val="clear" w:color="auto" w:fill="auto"/>
          </w:tcPr>
          <w:p w:rsidR="00620197" w:rsidRPr="00F37024" w:rsidRDefault="00620197" w:rsidP="00695FD1">
            <w:pPr>
              <w:spacing w:before="120"/>
              <w:jc w:val="center"/>
              <w:rPr>
                <w:rFonts w:eastAsia="Times New Roman"/>
                <w:b/>
                <w:szCs w:val="28"/>
              </w:rPr>
            </w:pPr>
            <w:r w:rsidRPr="00F37024">
              <w:rPr>
                <w:rFonts w:eastAsia="Times New Roman"/>
                <w:b/>
                <w:szCs w:val="28"/>
              </w:rPr>
              <w:t>Đại diện hợp pháp của nhà thầu</w:t>
            </w:r>
            <w:r w:rsidRPr="00F37024">
              <w:rPr>
                <w:rFonts w:eastAsia="Times New Roman"/>
                <w:b/>
                <w:szCs w:val="28"/>
              </w:rPr>
              <w:br/>
            </w:r>
            <w:r w:rsidRPr="00F37024">
              <w:rPr>
                <w:rFonts w:eastAsia="Times New Roman"/>
                <w:i/>
                <w:szCs w:val="28"/>
              </w:rPr>
              <w:t>[Ghi tên, chức danh, ký tên và đóng dấu]</w:t>
            </w:r>
          </w:p>
        </w:tc>
      </w:tr>
    </w:tbl>
    <w:p w:rsidR="00620197" w:rsidRDefault="00620197" w:rsidP="009E7580">
      <w:pPr>
        <w:jc w:val="both"/>
        <w:rPr>
          <w:b/>
        </w:rPr>
      </w:pPr>
    </w:p>
    <w:p w:rsidR="00DF49B0" w:rsidRPr="004404E0" w:rsidRDefault="00DF49B0" w:rsidP="009E7580">
      <w:pPr>
        <w:jc w:val="both"/>
        <w:rPr>
          <w:b/>
        </w:rPr>
      </w:pPr>
      <w:r w:rsidRPr="004404E0">
        <w:rPr>
          <w:b/>
        </w:rPr>
        <w:t>Mục 3. Kiểm tra và kiểm nghiệm</w:t>
      </w:r>
    </w:p>
    <w:p w:rsidR="00DF49B0" w:rsidRDefault="00DF49B0" w:rsidP="009E7580">
      <w:pPr>
        <w:jc w:val="both"/>
      </w:pPr>
      <w:r>
        <w:t>Các kiểm tra và thử nghiệm cần tiến hành gồm có:</w:t>
      </w:r>
    </w:p>
    <w:p w:rsidR="00DF49B0" w:rsidRDefault="00DF49B0" w:rsidP="009E7580">
      <w:pPr>
        <w:jc w:val="both"/>
      </w:pPr>
      <w:r>
        <w:t>- Khi nhập hàng cần tiến hành đối chiếu giữa hóa đơn với thực tế và kết quả lự</w:t>
      </w:r>
      <w:r w:rsidR="004404E0">
        <w:t xml:space="preserve">a </w:t>
      </w:r>
      <w:r>
        <w:t>chọn nhà thầu về các chi tiết của từng vị thuốc cổ truyền như: Tên vị thuốc cổ</w:t>
      </w:r>
      <w:r w:rsidR="004404E0">
        <w:t xml:space="preserve"> </w:t>
      </w:r>
      <w:r>
        <w:t>truyền, tên khoa học, nguồn gốc, dạng sơ chế, phương pháp chế biến, đơn vị</w:t>
      </w:r>
      <w:r w:rsidR="004404E0">
        <w:t xml:space="preserve"> </w:t>
      </w:r>
      <w:r>
        <w:t>tính, đóng gói, số lượng, số lô, đơn giá, hạn dùng, hãng sản xuất, nước sản xuất;</w:t>
      </w:r>
    </w:p>
    <w:p w:rsidR="00DF49B0" w:rsidRDefault="00DF49B0" w:rsidP="009E7580">
      <w:pPr>
        <w:jc w:val="both"/>
      </w:pPr>
      <w:r>
        <w:t>- Lập biên bản khi hàng bị hư hao, thừa, thiếu và thông báo cho cơ sở cung cấ</w:t>
      </w:r>
      <w:r w:rsidR="004404E0">
        <w:t xml:space="preserve">p </w:t>
      </w:r>
      <w:r>
        <w:t>để bổ sung, giải quyết;</w:t>
      </w:r>
    </w:p>
    <w:p w:rsidR="00F94D01" w:rsidRDefault="00F94D01" w:rsidP="009E7580">
      <w:pPr>
        <w:jc w:val="both"/>
      </w:pPr>
      <w:r>
        <w:t>- Khi nhận hàng kiểm tra điều kiện bảo quản đối với các vị thuốc cổ truyề</w:t>
      </w:r>
      <w:r w:rsidR="004404E0">
        <w:t xml:space="preserve">n có </w:t>
      </w:r>
      <w:r>
        <w:t>yêu cầu bảo quản đặc biệt hoặc theo yêu cầu trên nhãn của nhà sản xuất;</w:t>
      </w:r>
    </w:p>
    <w:p w:rsidR="00F94D01" w:rsidRDefault="00F94D01" w:rsidP="009E7580">
      <w:pPr>
        <w:jc w:val="both"/>
      </w:pPr>
      <w:r>
        <w:t>- Kiểm soát 100% chất lượng cảm quan vị thuốc cổ truyền nhập vào cơ sở y tế;</w:t>
      </w:r>
    </w:p>
    <w:p w:rsidR="00F94D01" w:rsidRDefault="00F94D01" w:rsidP="009E7580">
      <w:pPr>
        <w:jc w:val="both"/>
      </w:pPr>
      <w:r>
        <w:t>- Trong quá trình sử dụng vị thuốc cổ truyền nếu có nghi ngờ bên mua đượ</w:t>
      </w:r>
      <w:r w:rsidR="004404E0">
        <w:t xml:space="preserve">c </w:t>
      </w:r>
      <w:r>
        <w:t>quyền lấy mẫu để kiểm nghiệm, nếu vị thuốc cổ truyền đó không đạt chấ</w:t>
      </w:r>
      <w:r w:rsidR="004404E0">
        <w:t xml:space="preserve">t </w:t>
      </w:r>
      <w:r>
        <w:t>lượng thì nhà thầu phải thu hồi toàn bộ số lượng vị thuốc cổ truyền không đạ</w:t>
      </w:r>
      <w:r w:rsidR="004404E0">
        <w:t xml:space="preserve">t </w:t>
      </w:r>
      <w:r>
        <w:t>chất lượng đã cung cấp cho bên mua. Trong vòng 10 ngày làm việc nhà thầ</w:t>
      </w:r>
      <w:r w:rsidR="009E7580">
        <w:t xml:space="preserve">u </w:t>
      </w:r>
      <w:r>
        <w:t>phải có trách nhiệm cung cấp đủ số lượng vị thuốc cổ truyền đạt chất lượ</w:t>
      </w:r>
      <w:r w:rsidR="009E7580">
        <w:t xml:space="preserve">ng mà </w:t>
      </w:r>
      <w:r>
        <w:t>nhà thầu đã thu hồi do không đạt chất lượng.</w:t>
      </w:r>
    </w:p>
    <w:p w:rsidR="0057345B" w:rsidRDefault="00F94D01" w:rsidP="009E7580">
      <w:pPr>
        <w:jc w:val="both"/>
      </w:pPr>
      <w:r>
        <w:t>- Toàn bộ chi phí cho việc kiểm nghiệm những vị thuốc cổ truyề</w:t>
      </w:r>
      <w:r w:rsidR="009E7580">
        <w:t xml:space="preserve">n mà bên mua </w:t>
      </w:r>
      <w:r>
        <w:t>nghi ngờ không đảm bảo chất lượng thì nhà thầu phải chi trả hoàn toàn.</w:t>
      </w: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p w:rsidR="00620197" w:rsidRDefault="00620197" w:rsidP="009E7580">
      <w:pPr>
        <w:jc w:val="both"/>
      </w:pPr>
    </w:p>
    <w:sectPr w:rsidR="00620197" w:rsidSect="00620197">
      <w:pgSz w:w="11909" w:h="16834" w:code="9"/>
      <w:pgMar w:top="720" w:right="1277"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47" w:rsidRDefault="001D7847" w:rsidP="00620197">
      <w:pPr>
        <w:spacing w:after="0" w:line="240" w:lineRule="auto"/>
      </w:pPr>
      <w:r>
        <w:separator/>
      </w:r>
    </w:p>
  </w:endnote>
  <w:endnote w:type="continuationSeparator" w:id="0">
    <w:p w:rsidR="001D7847" w:rsidRDefault="001D7847" w:rsidP="0062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47" w:rsidRDefault="001D7847" w:rsidP="00620197">
      <w:pPr>
        <w:spacing w:after="0" w:line="240" w:lineRule="auto"/>
      </w:pPr>
      <w:r>
        <w:separator/>
      </w:r>
    </w:p>
  </w:footnote>
  <w:footnote w:type="continuationSeparator" w:id="0">
    <w:p w:rsidR="001D7847" w:rsidRDefault="001D7847" w:rsidP="00620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CA"/>
    <w:rsid w:val="000873CC"/>
    <w:rsid w:val="000B3C8F"/>
    <w:rsid w:val="000E73B0"/>
    <w:rsid w:val="001127B9"/>
    <w:rsid w:val="001D7847"/>
    <w:rsid w:val="002D7914"/>
    <w:rsid w:val="00311660"/>
    <w:rsid w:val="0032266F"/>
    <w:rsid w:val="00387073"/>
    <w:rsid w:val="003D6FCA"/>
    <w:rsid w:val="00421466"/>
    <w:rsid w:val="004404E0"/>
    <w:rsid w:val="00526109"/>
    <w:rsid w:val="0057345B"/>
    <w:rsid w:val="005D6674"/>
    <w:rsid w:val="00620197"/>
    <w:rsid w:val="007034B1"/>
    <w:rsid w:val="00723FCA"/>
    <w:rsid w:val="00746FF0"/>
    <w:rsid w:val="007F1374"/>
    <w:rsid w:val="009E38EC"/>
    <w:rsid w:val="009E7580"/>
    <w:rsid w:val="00B8754A"/>
    <w:rsid w:val="00DB2B40"/>
    <w:rsid w:val="00DF324C"/>
    <w:rsid w:val="00DF49B0"/>
    <w:rsid w:val="00F442D5"/>
    <w:rsid w:val="00F6748E"/>
    <w:rsid w:val="00F94D01"/>
    <w:rsid w:val="00FE14EA"/>
    <w:rsid w:val="00FE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0467"/>
  <w15:chartTrackingRefBased/>
  <w15:docId w15:val="{2203EB0C-8833-4CE3-B1E3-D0477135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197"/>
  </w:style>
  <w:style w:type="paragraph" w:styleId="Footer">
    <w:name w:val="footer"/>
    <w:basedOn w:val="Normal"/>
    <w:link w:val="FooterChar"/>
    <w:uiPriority w:val="99"/>
    <w:unhideWhenUsed/>
    <w:rsid w:val="00620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2025-10-29T04:31:00Z</dcterms:created>
  <dcterms:modified xsi:type="dcterms:W3CDTF">2025-11-18T08:44:00Z</dcterms:modified>
</cp:coreProperties>
</file>