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5559" w:rsidRPr="006D5559" w:rsidRDefault="006D5559" w:rsidP="006D5559">
      <w:pPr>
        <w:spacing w:before="120" w:after="120"/>
        <w:ind w:firstLine="709"/>
        <w:outlineLvl w:val="1"/>
        <w:rPr>
          <w:rFonts w:eastAsia="MS Mincho"/>
          <w:b/>
          <w:szCs w:val="24"/>
          <w:lang w:val="vi-VN" w:eastAsia="vi-VN"/>
        </w:rPr>
      </w:pPr>
      <w:bookmarkStart w:id="0" w:name="_GoBack"/>
      <w:r w:rsidRPr="006D5559">
        <w:rPr>
          <w:b/>
          <w:bCs/>
          <w:sz w:val="28"/>
          <w:szCs w:val="28"/>
          <w:lang w:val="vi-VN"/>
        </w:rPr>
        <w:t xml:space="preserve">Mục </w:t>
      </w:r>
      <w:r w:rsidRPr="006D5559">
        <w:rPr>
          <w:b/>
          <w:bCs/>
          <w:sz w:val="28"/>
          <w:szCs w:val="28"/>
          <w:lang w:val="pl-PL"/>
        </w:rPr>
        <w:t>3</w:t>
      </w:r>
      <w:r w:rsidRPr="006D5559">
        <w:rPr>
          <w:b/>
          <w:bCs/>
          <w:sz w:val="28"/>
          <w:szCs w:val="28"/>
          <w:lang w:val="vi-VN"/>
        </w:rPr>
        <w:t>. Tiêu chuẩn đánh giá về kỹ thuật</w:t>
      </w:r>
    </w:p>
    <w:p w:rsidR="006D5559" w:rsidRPr="006D5559" w:rsidRDefault="006D5559" w:rsidP="006D5559">
      <w:pPr>
        <w:spacing w:before="120" w:after="120"/>
        <w:ind w:firstLine="709"/>
        <w:rPr>
          <w:spacing w:val="2"/>
          <w:sz w:val="28"/>
          <w:szCs w:val="28"/>
          <w:lang w:val="vi-VN"/>
        </w:rPr>
      </w:pPr>
      <w:bookmarkStart w:id="1" w:name="_Hlk99723051"/>
      <w:r w:rsidRPr="006D5559">
        <w:rPr>
          <w:spacing w:val="2"/>
          <w:sz w:val="28"/>
          <w:szCs w:val="28"/>
          <w:lang w:val="vi-VN"/>
        </w:rPr>
        <w:t xml:space="preserve">Sử dụng tiêu chí đạt/không đạt để xây dựng tiêu chuẩn đánh giá về kỹ thuật. </w:t>
      </w:r>
    </w:p>
    <w:p w:rsidR="006D5559" w:rsidRPr="006D5559" w:rsidRDefault="006D5559" w:rsidP="006D5559">
      <w:pPr>
        <w:spacing w:before="120" w:after="120"/>
        <w:ind w:firstLine="709"/>
        <w:rPr>
          <w:spacing w:val="2"/>
          <w:sz w:val="28"/>
          <w:szCs w:val="28"/>
          <w:lang w:val="vi-VN"/>
        </w:rPr>
      </w:pPr>
      <w:r w:rsidRPr="006D5559">
        <w:rPr>
          <w:spacing w:val="2"/>
          <w:sz w:val="28"/>
          <w:szCs w:val="28"/>
          <w:lang w:val="vi-VN"/>
        </w:rPr>
        <w:t xml:space="preserve">Việc xây dựng tiêu chuẩn đánh giá về kỹ thuật dựa trên yêu cầu về các sản phẩm đầu ra được nêu tại Chương V, thông tin về kết quả thực hiện hợp đồng của nhà thầu theo quy định tại Điều 19 và Điều 20 của Nghị định số 214/2025/NĐ-CP và các yêu cầu khác nêu trong </w:t>
      </w:r>
      <w:bookmarkStart w:id="2" w:name="_Hlk161851530"/>
      <w:r w:rsidRPr="006D5559">
        <w:rPr>
          <w:spacing w:val="2"/>
          <w:sz w:val="28"/>
          <w:szCs w:val="28"/>
          <w:lang w:val="vi-VN"/>
        </w:rPr>
        <w:t>E-HSMT</w:t>
      </w:r>
      <w:bookmarkEnd w:id="2"/>
      <w:r w:rsidRPr="006D5559">
        <w:rPr>
          <w:spacing w:val="2"/>
          <w:sz w:val="28"/>
          <w:szCs w:val="28"/>
          <w:lang w:val="vi-VN"/>
        </w:rPr>
        <w:t xml:space="preserve">. Căn cứ vào từng gói thầu cụ thể, khi lập E-HSMT, Chủ đầu tư phải cụ thể hóa các tiêu chí làm cơ sở đánh giá về kỹ thuật bao gồm: </w:t>
      </w:r>
    </w:p>
    <w:p w:rsidR="006D5559" w:rsidRPr="006D5559" w:rsidRDefault="006D5559" w:rsidP="006D5559">
      <w:pPr>
        <w:spacing w:before="120" w:after="120"/>
        <w:ind w:firstLine="709"/>
        <w:rPr>
          <w:spacing w:val="2"/>
          <w:sz w:val="28"/>
          <w:szCs w:val="28"/>
          <w:lang w:val="vi-VN"/>
        </w:rPr>
      </w:pPr>
      <w:r w:rsidRPr="006D5559">
        <w:rPr>
          <w:spacing w:val="2"/>
          <w:sz w:val="28"/>
          <w:szCs w:val="28"/>
          <w:lang w:val="vi-VN"/>
        </w:rPr>
        <w:t>- Tính hiệu quả của việc cung cấp dịch vụ;</w:t>
      </w:r>
    </w:p>
    <w:p w:rsidR="006D5559" w:rsidRPr="006D5559" w:rsidRDefault="006D5559" w:rsidP="006D5559">
      <w:pPr>
        <w:spacing w:before="120" w:after="120"/>
        <w:ind w:firstLine="709"/>
        <w:rPr>
          <w:spacing w:val="2"/>
          <w:sz w:val="28"/>
          <w:szCs w:val="28"/>
          <w:lang w:val="vi-VN"/>
        </w:rPr>
      </w:pPr>
      <w:r w:rsidRPr="006D5559">
        <w:rPr>
          <w:spacing w:val="2"/>
          <w:sz w:val="28"/>
          <w:szCs w:val="28"/>
          <w:lang w:val="vi-VN"/>
        </w:rPr>
        <w:t>- Mức độ hiểu biết về tính chất và mục đích công việc;</w:t>
      </w:r>
    </w:p>
    <w:p w:rsidR="006D5559" w:rsidRPr="006D5559" w:rsidRDefault="006D5559" w:rsidP="006D5559">
      <w:pPr>
        <w:spacing w:before="120" w:after="120"/>
        <w:ind w:firstLine="709"/>
        <w:rPr>
          <w:spacing w:val="2"/>
          <w:sz w:val="28"/>
          <w:szCs w:val="28"/>
          <w:lang w:val="vi-VN"/>
        </w:rPr>
      </w:pPr>
      <w:r w:rsidRPr="006D5559">
        <w:rPr>
          <w:spacing w:val="2"/>
          <w:sz w:val="28"/>
          <w:szCs w:val="28"/>
          <w:lang w:val="vi-VN"/>
        </w:rPr>
        <w:t>- Tính hợp lý và khả thi của kế hoạch, các giải pháp kỹ thuật, biện pháp tổ chức cung cấp dịch vụ;</w:t>
      </w:r>
    </w:p>
    <w:p w:rsidR="006D5559" w:rsidRPr="006D5559" w:rsidRDefault="006D5559" w:rsidP="006D5559">
      <w:pPr>
        <w:spacing w:before="120" w:after="120"/>
        <w:ind w:firstLine="709"/>
        <w:rPr>
          <w:spacing w:val="2"/>
          <w:sz w:val="28"/>
          <w:szCs w:val="28"/>
          <w:lang w:val="pl-PL"/>
        </w:rPr>
      </w:pPr>
      <w:r w:rsidRPr="006D5559">
        <w:rPr>
          <w:spacing w:val="2"/>
          <w:sz w:val="28"/>
          <w:szCs w:val="28"/>
          <w:lang w:val="pl-PL"/>
        </w:rPr>
        <w:t xml:space="preserve">- Mức độ đáp ứng </w:t>
      </w:r>
      <w:r w:rsidRPr="006D5559">
        <w:rPr>
          <w:spacing w:val="2"/>
          <w:sz w:val="28"/>
          <w:szCs w:val="28"/>
          <w:lang w:val="vi-VN"/>
        </w:rPr>
        <w:t xml:space="preserve">hệ thống </w:t>
      </w:r>
      <w:r w:rsidRPr="006D5559">
        <w:rPr>
          <w:spacing w:val="2"/>
          <w:sz w:val="28"/>
          <w:szCs w:val="28"/>
          <w:lang w:val="pl-PL"/>
        </w:rPr>
        <w:t>đảm bảo</w:t>
      </w:r>
      <w:r w:rsidRPr="006D5559">
        <w:rPr>
          <w:spacing w:val="2"/>
          <w:sz w:val="28"/>
          <w:szCs w:val="28"/>
          <w:lang w:val="vi-VN"/>
        </w:rPr>
        <w:t xml:space="preserve"> chất lượng và phương pháp </w:t>
      </w:r>
      <w:r w:rsidRPr="006D5559">
        <w:rPr>
          <w:spacing w:val="2"/>
          <w:sz w:val="28"/>
          <w:szCs w:val="28"/>
          <w:lang w:val="pl-PL"/>
        </w:rPr>
        <w:t>thực hiện;</w:t>
      </w:r>
    </w:p>
    <w:p w:rsidR="006D5559" w:rsidRPr="006D5559" w:rsidRDefault="006D5559" w:rsidP="006D5559">
      <w:pPr>
        <w:spacing w:before="120" w:after="120"/>
        <w:ind w:firstLine="709"/>
        <w:rPr>
          <w:spacing w:val="2"/>
          <w:sz w:val="28"/>
          <w:szCs w:val="28"/>
          <w:lang w:val="pl-PL"/>
        </w:rPr>
      </w:pPr>
      <w:r w:rsidRPr="006D5559">
        <w:rPr>
          <w:spacing w:val="2"/>
          <w:sz w:val="28"/>
          <w:szCs w:val="28"/>
          <w:lang w:val="pl-PL"/>
        </w:rPr>
        <w:t>- Mức độ đáp ứng các yêu cầu về tiêu chuẩn thực hiện dịch vụ;</w:t>
      </w:r>
    </w:p>
    <w:p w:rsidR="006D5559" w:rsidRPr="006D5559" w:rsidRDefault="006D5559" w:rsidP="006D5559">
      <w:pPr>
        <w:spacing w:before="120" w:after="120"/>
        <w:ind w:firstLine="709"/>
        <w:rPr>
          <w:spacing w:val="2"/>
          <w:sz w:val="28"/>
          <w:szCs w:val="28"/>
          <w:lang w:val="pl-PL"/>
        </w:rPr>
      </w:pPr>
      <w:r w:rsidRPr="006D5559">
        <w:rPr>
          <w:spacing w:val="2"/>
          <w:sz w:val="28"/>
          <w:szCs w:val="28"/>
          <w:lang w:val="pl-PL"/>
        </w:rPr>
        <w:t>- Tiến độ thực hiện gói thầu đáp ứng yêu cầu của E-HSMT;</w:t>
      </w:r>
    </w:p>
    <w:p w:rsidR="006D5559" w:rsidRPr="006D5559" w:rsidRDefault="006D5559" w:rsidP="006D5559">
      <w:pPr>
        <w:spacing w:before="120" w:after="120"/>
        <w:ind w:firstLine="709"/>
        <w:rPr>
          <w:spacing w:val="2"/>
          <w:sz w:val="28"/>
          <w:szCs w:val="28"/>
          <w:lang w:val="pl-PL"/>
        </w:rPr>
      </w:pPr>
      <w:r w:rsidRPr="006D5559">
        <w:rPr>
          <w:spacing w:val="2"/>
          <w:sz w:val="28"/>
          <w:szCs w:val="28"/>
          <w:lang w:val="pl-PL"/>
        </w:rPr>
        <w:t>- Bảo đảm điều kiện vệ sinh môi trường và các điều kiện khác như phòng cháy, chữa cháy, an toàn lao động (nếu có);</w:t>
      </w:r>
    </w:p>
    <w:p w:rsidR="006D5559" w:rsidRPr="006D5559" w:rsidRDefault="006D5559" w:rsidP="006D5559">
      <w:pPr>
        <w:spacing w:before="120" w:after="120"/>
        <w:ind w:firstLine="709"/>
        <w:rPr>
          <w:spacing w:val="2"/>
          <w:sz w:val="28"/>
          <w:szCs w:val="28"/>
          <w:lang w:val="pl-PL"/>
        </w:rPr>
      </w:pPr>
      <w:r w:rsidRPr="006D5559">
        <w:rPr>
          <w:spacing w:val="2"/>
          <w:sz w:val="28"/>
          <w:szCs w:val="28"/>
          <w:lang w:val="pl-PL"/>
        </w:rPr>
        <w:t>- Mức độ đáp ứng các yêu cầu về bảo hành, bảo trì (nếu có);</w:t>
      </w:r>
    </w:p>
    <w:p w:rsidR="006D5559" w:rsidRPr="006D5559" w:rsidRDefault="006D5559" w:rsidP="006D5559">
      <w:pPr>
        <w:widowControl w:val="0"/>
        <w:tabs>
          <w:tab w:val="left" w:pos="851"/>
        </w:tabs>
        <w:spacing w:before="120" w:after="120" w:line="264" w:lineRule="auto"/>
        <w:ind w:firstLine="709"/>
        <w:rPr>
          <w:sz w:val="28"/>
          <w:szCs w:val="28"/>
          <w:lang w:val="pl-PL"/>
        </w:rPr>
      </w:pPr>
      <w:r w:rsidRPr="006D5559">
        <w:rPr>
          <w:sz w:val="28"/>
          <w:szCs w:val="28"/>
          <w:lang w:val="vi-VN"/>
        </w:rPr>
        <w:t>- Tiêu chí đấu thầu bền vững (nếu có)</w:t>
      </w:r>
      <w:r w:rsidRPr="006D5559">
        <w:rPr>
          <w:sz w:val="28"/>
          <w:szCs w:val="28"/>
          <w:lang w:val="pl-PL"/>
        </w:rPr>
        <w:t>: các yếu tố thân thiện môi trường (nếu có) như: việc sử dụng các vật tư, vật tư; biện pháp tổ chức thi công; dây chuyền, công nghệ thi công và các yếu tố khác (nếu có);</w:t>
      </w:r>
    </w:p>
    <w:p w:rsidR="006D5559" w:rsidRPr="006D5559" w:rsidRDefault="006D5559" w:rsidP="006D5559">
      <w:pPr>
        <w:spacing w:before="120" w:after="120"/>
        <w:ind w:firstLine="709"/>
        <w:rPr>
          <w:spacing w:val="2"/>
          <w:sz w:val="28"/>
          <w:szCs w:val="28"/>
          <w:lang w:val="pl-PL"/>
        </w:rPr>
      </w:pPr>
      <w:bookmarkStart w:id="3" w:name="_Hlk154351167"/>
      <w:r w:rsidRPr="006D5559">
        <w:rPr>
          <w:spacing w:val="2"/>
          <w:sz w:val="28"/>
          <w:szCs w:val="28"/>
          <w:lang w:val="pl-PL"/>
        </w:rPr>
        <w:t>- Thông tin về kết quả thực hiện hợp đồng của nhà thầu theo quy định tại Điều 19 và Điều 20 của Nghị định số 214/2025/NĐ-CP</w:t>
      </w:r>
      <w:r w:rsidRPr="006D5559">
        <w:rPr>
          <w:sz w:val="28"/>
          <w:szCs w:val="28"/>
          <w:lang w:val="pl-PL"/>
        </w:rPr>
        <w:t>;</w:t>
      </w:r>
    </w:p>
    <w:p w:rsidR="006D5559" w:rsidRPr="006D5559" w:rsidRDefault="006D5559" w:rsidP="006D5559">
      <w:pPr>
        <w:spacing w:before="120" w:after="120"/>
        <w:ind w:firstLine="709"/>
        <w:rPr>
          <w:spacing w:val="2"/>
          <w:sz w:val="28"/>
          <w:szCs w:val="28"/>
          <w:lang w:val="pl-PL"/>
        </w:rPr>
      </w:pPr>
      <w:r w:rsidRPr="006D5559">
        <w:rPr>
          <w:sz w:val="28"/>
          <w:szCs w:val="28"/>
          <w:lang w:val="pl-PL"/>
        </w:rPr>
        <w:t>- Trường hợp cần yêu cầu về xuất xứ vật tư, vật tư, nguyên liệu phục vụ cho gói thầu dịch vụ phi tư vấn thì Chủ đầu tư quy định xuất xứ của vật tư, vật tư, nguyên liệu theo nhóm nước, vùng lãnh thổ quy định tại khoản 2 Điều 44 của Luật Đấu thầu. Nhà thầu phải chào vật tư, vật tư, nguyên liệu theo đúng yêu cầu về xuất xứ hoặc xuất xứ Việt Nam, kể cả trong trường hợp xuất xứ theo nhóm nước, vùng lãnh thổ mà Chủ đầu tư yêu cầu không có Việt Nam; nhà thầu chào vật tư, vật tư, nguyên liệu không có xuất xứ theo yêu cầu của E-HSMT hoặc không phải xuất xứ Việt Nam thì sẽ bị loại. Trường hợp Chủ đầu tư yêu cầu nhà thầu chào vật tư, vật tư, nguyên liệu xuất xứ Việt Nam theo quy định tại điểm e khoản 3 Điều 10 của Luật Đấu thầu thì nhà thầu chào vật tư, vật tư, nguyên liệu không phải là xuất xứ Việt Nam sẽ bị loại;</w:t>
      </w:r>
    </w:p>
    <w:bookmarkEnd w:id="3"/>
    <w:p w:rsidR="006D5559" w:rsidRPr="006D5559" w:rsidRDefault="006D5559" w:rsidP="006D5559">
      <w:pPr>
        <w:spacing w:before="120" w:after="120"/>
        <w:ind w:firstLine="709"/>
        <w:rPr>
          <w:spacing w:val="2"/>
          <w:sz w:val="28"/>
          <w:szCs w:val="28"/>
          <w:lang w:val="pl-PL"/>
        </w:rPr>
      </w:pPr>
      <w:r w:rsidRPr="006D5559">
        <w:rPr>
          <w:spacing w:val="2"/>
          <w:sz w:val="28"/>
          <w:szCs w:val="28"/>
          <w:lang w:val="pl-PL"/>
        </w:rPr>
        <w:t>- Các yếu tố cần thiết khác.</w:t>
      </w:r>
    </w:p>
    <w:p w:rsidR="006D5559" w:rsidRPr="006D5559" w:rsidRDefault="006D5559" w:rsidP="006D5559">
      <w:pPr>
        <w:spacing w:before="120" w:after="120"/>
        <w:rPr>
          <w:sz w:val="28"/>
          <w:szCs w:val="28"/>
          <w:lang w:val="pl-PL"/>
        </w:rPr>
      </w:pPr>
      <w:r w:rsidRPr="006D5559">
        <w:rPr>
          <w:b/>
          <w:sz w:val="28"/>
          <w:szCs w:val="28"/>
          <w:lang w:val="pl-PL"/>
        </w:rPr>
        <w:tab/>
      </w:r>
      <w:bookmarkEnd w:id="1"/>
      <w:r w:rsidRPr="006D5559">
        <w:rPr>
          <w:b/>
          <w:iCs/>
          <w:sz w:val="28"/>
          <w:szCs w:val="28"/>
          <w:lang w:val="pl-PL"/>
        </w:rPr>
        <w:t>. Đánh giá theo phương pháp</w:t>
      </w:r>
      <w:r w:rsidRPr="006D5559">
        <w:rPr>
          <w:b/>
          <w:iCs/>
          <w:sz w:val="28"/>
          <w:szCs w:val="28"/>
          <w:lang w:val="vi-VN"/>
        </w:rPr>
        <w:t xml:space="preserve"> </w:t>
      </w:r>
      <w:r w:rsidRPr="006D5559">
        <w:rPr>
          <w:b/>
          <w:iCs/>
          <w:sz w:val="28"/>
          <w:szCs w:val="28"/>
          <w:lang w:val="pl-PL"/>
        </w:rPr>
        <w:t>đạt/không đạt</w:t>
      </w:r>
      <w:r w:rsidRPr="006D5559">
        <w:rPr>
          <w:b/>
          <w:sz w:val="28"/>
          <w:szCs w:val="28"/>
          <w:lang w:val="pl-PL"/>
        </w:rPr>
        <w:t>:</w:t>
      </w:r>
    </w:p>
    <w:p w:rsidR="006D5559" w:rsidRPr="006D5559" w:rsidRDefault="006D5559" w:rsidP="006D5559">
      <w:pPr>
        <w:spacing w:before="120" w:after="120"/>
        <w:ind w:firstLine="709"/>
        <w:rPr>
          <w:sz w:val="28"/>
          <w:szCs w:val="28"/>
          <w:lang w:val="vi-VN"/>
        </w:rPr>
      </w:pPr>
      <w:r w:rsidRPr="006D5559">
        <w:rPr>
          <w:sz w:val="28"/>
          <w:szCs w:val="28"/>
          <w:lang w:val="pl-PL"/>
        </w:rPr>
        <w:t>Căn cứ quy mô, tính chất của gói thầu mà xác định mức độ yêu cầu đối với từng nội dung. Đối với các tiêu chí đánh giá tổng quát, chỉ sử dụng tiêu chí đạt, không đạt</w:t>
      </w:r>
      <w:r w:rsidRPr="006D5559">
        <w:rPr>
          <w:sz w:val="28"/>
          <w:szCs w:val="28"/>
          <w:lang w:val="vi-VN"/>
        </w:rPr>
        <w:t xml:space="preserve">.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rsidR="006D5559" w:rsidRPr="006D5559" w:rsidRDefault="006D5559" w:rsidP="006D5559">
      <w:pPr>
        <w:spacing w:before="120" w:after="120"/>
        <w:ind w:firstLine="709"/>
        <w:rPr>
          <w:sz w:val="28"/>
          <w:szCs w:val="28"/>
          <w:lang w:val="vi-VN"/>
        </w:rPr>
      </w:pPr>
      <w:r w:rsidRPr="006D5559">
        <w:rPr>
          <w:sz w:val="28"/>
          <w:szCs w:val="28"/>
          <w:lang w:val="vi-VN"/>
        </w:rPr>
        <w:lastRenderedPageBreak/>
        <w:t>Tiêu chí tổng quát được đánh giá là đạt khi tất cả các tiêu chí chi tiết cơ bản được đánh giá là đạt và các tiêu chí chi tiết không cơ bản được đánh giá là đạt hoặc chấp nhận được.</w:t>
      </w:r>
    </w:p>
    <w:p w:rsidR="006D5559" w:rsidRPr="006D5559" w:rsidRDefault="006D5559" w:rsidP="006D5559">
      <w:pPr>
        <w:spacing w:before="120" w:after="120"/>
        <w:ind w:firstLine="709"/>
        <w:rPr>
          <w:sz w:val="28"/>
          <w:szCs w:val="28"/>
          <w:lang w:val="vi-VN"/>
        </w:rPr>
      </w:pPr>
      <w:r w:rsidRPr="006D5559">
        <w:rPr>
          <w:sz w:val="28"/>
          <w:szCs w:val="28"/>
          <w:lang w:val="vi-VN"/>
        </w:rPr>
        <w:t>E-HSDT được đánh giá là đáp ứng yêu cầu về kỹ thuật khi có tất cả các tiêu chí tổng quát đều được đánh giá là đạt.</w:t>
      </w:r>
    </w:p>
    <w:tbl>
      <w:tblPr>
        <w:tblW w:w="980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1E0" w:firstRow="1" w:lastRow="1" w:firstColumn="1" w:lastColumn="1" w:noHBand="0" w:noVBand="0"/>
      </w:tblPr>
      <w:tblGrid>
        <w:gridCol w:w="588"/>
        <w:gridCol w:w="2559"/>
        <w:gridCol w:w="4394"/>
        <w:gridCol w:w="2268"/>
      </w:tblGrid>
      <w:tr w:rsidR="006D5559" w:rsidRPr="006D5559" w:rsidTr="004F3CD2">
        <w:trPr>
          <w:trHeight w:val="392"/>
          <w:tblHeader/>
        </w:trPr>
        <w:tc>
          <w:tcPr>
            <w:tcW w:w="588" w:type="dxa"/>
            <w:vMerge w:val="restart"/>
            <w:vAlign w:val="center"/>
          </w:tcPr>
          <w:p w:rsidR="006D5559" w:rsidRPr="006D5559" w:rsidRDefault="006D5559" w:rsidP="004F3CD2">
            <w:pPr>
              <w:spacing w:before="20" w:after="20"/>
              <w:jc w:val="center"/>
              <w:rPr>
                <w:b/>
                <w:sz w:val="26"/>
                <w:szCs w:val="26"/>
              </w:rPr>
            </w:pPr>
            <w:r w:rsidRPr="006D5559">
              <w:rPr>
                <w:b/>
                <w:sz w:val="26"/>
                <w:szCs w:val="26"/>
              </w:rPr>
              <w:t>TT</w:t>
            </w:r>
          </w:p>
        </w:tc>
        <w:tc>
          <w:tcPr>
            <w:tcW w:w="2559" w:type="dxa"/>
            <w:vMerge w:val="restart"/>
            <w:vAlign w:val="center"/>
          </w:tcPr>
          <w:p w:rsidR="006D5559" w:rsidRPr="006D5559" w:rsidRDefault="006D5559" w:rsidP="004F3CD2">
            <w:pPr>
              <w:spacing w:before="20" w:after="20"/>
              <w:jc w:val="center"/>
              <w:rPr>
                <w:b/>
                <w:sz w:val="26"/>
                <w:szCs w:val="26"/>
              </w:rPr>
            </w:pPr>
            <w:r w:rsidRPr="006D5559">
              <w:rPr>
                <w:b/>
                <w:sz w:val="26"/>
                <w:szCs w:val="26"/>
              </w:rPr>
              <w:t>Nội dung yêu cầu</w:t>
            </w:r>
          </w:p>
        </w:tc>
        <w:tc>
          <w:tcPr>
            <w:tcW w:w="6662" w:type="dxa"/>
            <w:gridSpan w:val="2"/>
            <w:vAlign w:val="center"/>
          </w:tcPr>
          <w:p w:rsidR="006D5559" w:rsidRPr="006D5559" w:rsidRDefault="006D5559" w:rsidP="004F3CD2">
            <w:pPr>
              <w:spacing w:before="20" w:after="20"/>
              <w:jc w:val="center"/>
              <w:rPr>
                <w:b/>
                <w:sz w:val="26"/>
                <w:szCs w:val="26"/>
              </w:rPr>
            </w:pPr>
            <w:r w:rsidRPr="006D5559">
              <w:rPr>
                <w:b/>
                <w:sz w:val="26"/>
                <w:szCs w:val="26"/>
              </w:rPr>
              <w:t>Mức độ đáp ứng</w:t>
            </w:r>
          </w:p>
        </w:tc>
      </w:tr>
      <w:tr w:rsidR="006D5559" w:rsidRPr="006D5559" w:rsidTr="004F3CD2">
        <w:trPr>
          <w:trHeight w:val="392"/>
          <w:tblHeader/>
        </w:trPr>
        <w:tc>
          <w:tcPr>
            <w:tcW w:w="588" w:type="dxa"/>
            <w:vMerge/>
          </w:tcPr>
          <w:p w:rsidR="006D5559" w:rsidRPr="006D5559" w:rsidRDefault="006D5559" w:rsidP="004F3CD2">
            <w:pPr>
              <w:suppressAutoHyphens/>
              <w:spacing w:before="20" w:after="20"/>
              <w:jc w:val="center"/>
              <w:outlineLvl w:val="0"/>
              <w:rPr>
                <w:sz w:val="26"/>
                <w:szCs w:val="26"/>
              </w:rPr>
            </w:pPr>
          </w:p>
        </w:tc>
        <w:tc>
          <w:tcPr>
            <w:tcW w:w="2559" w:type="dxa"/>
            <w:vMerge/>
          </w:tcPr>
          <w:p w:rsidR="006D5559" w:rsidRPr="006D5559" w:rsidRDefault="006D5559" w:rsidP="004F3CD2">
            <w:pPr>
              <w:suppressAutoHyphens/>
              <w:spacing w:before="20" w:after="20"/>
              <w:jc w:val="center"/>
              <w:outlineLvl w:val="0"/>
              <w:rPr>
                <w:sz w:val="26"/>
                <w:szCs w:val="26"/>
              </w:rPr>
            </w:pPr>
          </w:p>
        </w:tc>
        <w:tc>
          <w:tcPr>
            <w:tcW w:w="4394" w:type="dxa"/>
          </w:tcPr>
          <w:p w:rsidR="006D5559" w:rsidRPr="006D5559" w:rsidRDefault="006D5559" w:rsidP="004F3CD2">
            <w:pPr>
              <w:spacing w:before="20" w:after="20"/>
              <w:jc w:val="center"/>
              <w:rPr>
                <w:b/>
                <w:sz w:val="26"/>
                <w:szCs w:val="26"/>
              </w:rPr>
            </w:pPr>
            <w:r w:rsidRPr="006D5559">
              <w:rPr>
                <w:b/>
                <w:sz w:val="26"/>
                <w:szCs w:val="26"/>
              </w:rPr>
              <w:t>Đạt</w:t>
            </w:r>
          </w:p>
        </w:tc>
        <w:tc>
          <w:tcPr>
            <w:tcW w:w="2268" w:type="dxa"/>
          </w:tcPr>
          <w:p w:rsidR="006D5559" w:rsidRPr="006D5559" w:rsidRDefault="006D5559" w:rsidP="004F3CD2">
            <w:pPr>
              <w:spacing w:before="20" w:after="20"/>
              <w:jc w:val="center"/>
              <w:rPr>
                <w:b/>
                <w:sz w:val="26"/>
                <w:szCs w:val="26"/>
              </w:rPr>
            </w:pPr>
            <w:r w:rsidRPr="006D5559">
              <w:rPr>
                <w:b/>
                <w:sz w:val="26"/>
                <w:szCs w:val="26"/>
              </w:rPr>
              <w:t>Không đạt</w:t>
            </w:r>
          </w:p>
        </w:tc>
      </w:tr>
      <w:tr w:rsidR="006D5559" w:rsidRPr="006D5559" w:rsidTr="004F3CD2">
        <w:trPr>
          <w:trHeight w:val="392"/>
        </w:trPr>
        <w:tc>
          <w:tcPr>
            <w:tcW w:w="588" w:type="dxa"/>
          </w:tcPr>
          <w:p w:rsidR="006D5559" w:rsidRPr="006D5559" w:rsidRDefault="006D5559" w:rsidP="004F3CD2">
            <w:pPr>
              <w:spacing w:before="20" w:after="20"/>
              <w:jc w:val="center"/>
              <w:rPr>
                <w:sz w:val="26"/>
                <w:szCs w:val="26"/>
              </w:rPr>
            </w:pPr>
            <w:r w:rsidRPr="006D5559">
              <w:rPr>
                <w:sz w:val="26"/>
                <w:szCs w:val="26"/>
              </w:rPr>
              <w:t>(1)</w:t>
            </w:r>
          </w:p>
        </w:tc>
        <w:tc>
          <w:tcPr>
            <w:tcW w:w="2559" w:type="dxa"/>
          </w:tcPr>
          <w:p w:rsidR="006D5559" w:rsidRPr="006D5559" w:rsidRDefault="006D5559" w:rsidP="004F3CD2">
            <w:pPr>
              <w:spacing w:before="20" w:after="20"/>
              <w:jc w:val="center"/>
              <w:rPr>
                <w:sz w:val="26"/>
                <w:szCs w:val="26"/>
              </w:rPr>
            </w:pPr>
            <w:r w:rsidRPr="006D5559">
              <w:rPr>
                <w:sz w:val="26"/>
                <w:szCs w:val="26"/>
              </w:rPr>
              <w:t>(2)</w:t>
            </w:r>
          </w:p>
        </w:tc>
        <w:tc>
          <w:tcPr>
            <w:tcW w:w="4394" w:type="dxa"/>
          </w:tcPr>
          <w:p w:rsidR="006D5559" w:rsidRPr="006D5559" w:rsidRDefault="006D5559" w:rsidP="004F3CD2">
            <w:pPr>
              <w:spacing w:before="20" w:after="20"/>
              <w:jc w:val="center"/>
              <w:rPr>
                <w:sz w:val="26"/>
                <w:szCs w:val="26"/>
              </w:rPr>
            </w:pPr>
            <w:r w:rsidRPr="006D5559">
              <w:rPr>
                <w:sz w:val="26"/>
                <w:szCs w:val="26"/>
              </w:rPr>
              <w:t>(3)</w:t>
            </w:r>
          </w:p>
        </w:tc>
        <w:tc>
          <w:tcPr>
            <w:tcW w:w="2268" w:type="dxa"/>
          </w:tcPr>
          <w:p w:rsidR="006D5559" w:rsidRPr="006D5559" w:rsidRDefault="006D5559" w:rsidP="004F3CD2">
            <w:pPr>
              <w:spacing w:before="20" w:after="20"/>
              <w:jc w:val="center"/>
              <w:rPr>
                <w:sz w:val="26"/>
                <w:szCs w:val="26"/>
              </w:rPr>
            </w:pPr>
            <w:r w:rsidRPr="006D5559">
              <w:rPr>
                <w:sz w:val="26"/>
                <w:szCs w:val="26"/>
              </w:rPr>
              <w:t>(4)</w:t>
            </w:r>
          </w:p>
        </w:tc>
      </w:tr>
      <w:tr w:rsidR="006D5559" w:rsidRPr="006D5559" w:rsidTr="004F3CD2">
        <w:tblPrEx>
          <w:tblBorders>
            <w:insideH w:val="single" w:sz="4" w:space="0" w:color="auto"/>
            <w:insideV w:val="single" w:sz="4" w:space="0" w:color="auto"/>
          </w:tblBorders>
          <w:tblCellMar>
            <w:left w:w="108" w:type="dxa"/>
            <w:right w:w="108" w:type="dxa"/>
          </w:tblCellMar>
        </w:tblPrEx>
        <w:trPr>
          <w:trHeight w:val="392"/>
        </w:trPr>
        <w:tc>
          <w:tcPr>
            <w:tcW w:w="588" w:type="dxa"/>
            <w:shd w:val="clear" w:color="auto" w:fill="auto"/>
          </w:tcPr>
          <w:p w:rsidR="006D5559" w:rsidRPr="006D5559" w:rsidRDefault="006D5559" w:rsidP="004F3CD2">
            <w:pPr>
              <w:spacing w:before="20" w:after="20"/>
              <w:rPr>
                <w:b/>
                <w:sz w:val="26"/>
                <w:szCs w:val="26"/>
              </w:rPr>
            </w:pPr>
            <w:r w:rsidRPr="006D5559">
              <w:rPr>
                <w:b/>
                <w:sz w:val="26"/>
                <w:szCs w:val="26"/>
              </w:rPr>
              <w:t>I</w:t>
            </w:r>
          </w:p>
        </w:tc>
        <w:tc>
          <w:tcPr>
            <w:tcW w:w="9221" w:type="dxa"/>
            <w:gridSpan w:val="3"/>
            <w:shd w:val="clear" w:color="auto" w:fill="auto"/>
          </w:tcPr>
          <w:p w:rsidR="006D5559" w:rsidRPr="006D5559" w:rsidRDefault="006D5559" w:rsidP="004F3CD2">
            <w:pPr>
              <w:spacing w:before="20" w:after="20"/>
              <w:rPr>
                <w:b/>
                <w:sz w:val="26"/>
                <w:szCs w:val="26"/>
              </w:rPr>
            </w:pPr>
            <w:r w:rsidRPr="006D5559">
              <w:rPr>
                <w:b/>
                <w:sz w:val="26"/>
                <w:szCs w:val="26"/>
              </w:rPr>
              <w:t>Giải pháp và phương pháp luận:</w:t>
            </w:r>
          </w:p>
        </w:tc>
      </w:tr>
      <w:tr w:rsidR="006D5559" w:rsidRPr="006D5559" w:rsidTr="004F3CD2">
        <w:tblPrEx>
          <w:tblBorders>
            <w:insideH w:val="single" w:sz="4" w:space="0" w:color="auto"/>
            <w:insideV w:val="single" w:sz="4" w:space="0" w:color="auto"/>
          </w:tblBorders>
          <w:tblCellMar>
            <w:left w:w="108" w:type="dxa"/>
            <w:right w:w="108" w:type="dxa"/>
          </w:tblCellMar>
        </w:tblPrEx>
        <w:trPr>
          <w:trHeight w:val="392"/>
        </w:trPr>
        <w:tc>
          <w:tcPr>
            <w:tcW w:w="588" w:type="dxa"/>
            <w:shd w:val="clear" w:color="auto" w:fill="auto"/>
          </w:tcPr>
          <w:p w:rsidR="006D5559" w:rsidRPr="006D5559" w:rsidRDefault="006D5559" w:rsidP="004F3CD2">
            <w:pPr>
              <w:spacing w:before="20" w:after="20"/>
              <w:rPr>
                <w:sz w:val="26"/>
                <w:szCs w:val="26"/>
              </w:rPr>
            </w:pPr>
            <w:r w:rsidRPr="006D5559">
              <w:rPr>
                <w:sz w:val="26"/>
                <w:szCs w:val="26"/>
              </w:rPr>
              <w:t>1</w:t>
            </w:r>
          </w:p>
        </w:tc>
        <w:tc>
          <w:tcPr>
            <w:tcW w:w="2559" w:type="dxa"/>
            <w:shd w:val="clear" w:color="auto" w:fill="auto"/>
          </w:tcPr>
          <w:p w:rsidR="006D5559" w:rsidRPr="006D5559" w:rsidRDefault="006D5559" w:rsidP="004F3CD2">
            <w:pPr>
              <w:spacing w:before="20" w:after="20"/>
              <w:ind w:left="32"/>
              <w:rPr>
                <w:iCs/>
                <w:sz w:val="26"/>
                <w:szCs w:val="26"/>
                <w:lang w:val="it-IT"/>
              </w:rPr>
            </w:pPr>
            <w:r w:rsidRPr="006D5559">
              <w:rPr>
                <w:iCs/>
                <w:sz w:val="26"/>
                <w:szCs w:val="26"/>
                <w:lang w:val="it-IT"/>
              </w:rPr>
              <w:t>Hiểu rõ mục đích gói thầu, Cách tiếp cận và phương pháp luận</w:t>
            </w:r>
          </w:p>
        </w:tc>
        <w:tc>
          <w:tcPr>
            <w:tcW w:w="4394" w:type="dxa"/>
            <w:shd w:val="clear" w:color="auto" w:fill="auto"/>
          </w:tcPr>
          <w:p w:rsidR="006D5559" w:rsidRPr="006D5559" w:rsidRDefault="006D5559" w:rsidP="004F3CD2">
            <w:pPr>
              <w:spacing w:before="20" w:after="20"/>
              <w:rPr>
                <w:sz w:val="26"/>
                <w:szCs w:val="26"/>
                <w:lang w:val="it-IT"/>
              </w:rPr>
            </w:pPr>
            <w:r w:rsidRPr="006D5559">
              <w:rPr>
                <w:sz w:val="26"/>
                <w:szCs w:val="26"/>
                <w:lang w:val="it-IT"/>
              </w:rPr>
              <w:t xml:space="preserve">- Hiểu rõ về gói thầu </w:t>
            </w:r>
          </w:p>
          <w:p w:rsidR="006D5559" w:rsidRPr="006D5559" w:rsidRDefault="006D5559" w:rsidP="004F3CD2">
            <w:pPr>
              <w:spacing w:before="20" w:after="20"/>
              <w:rPr>
                <w:b/>
                <w:sz w:val="26"/>
                <w:szCs w:val="26"/>
                <w:lang w:val="it-IT"/>
              </w:rPr>
            </w:pPr>
            <w:r w:rsidRPr="006D5559">
              <w:rPr>
                <w:sz w:val="26"/>
                <w:szCs w:val="26"/>
                <w:lang w:val="it-IT"/>
              </w:rPr>
              <w:t>- Trình bày một cách rõ ràng chi tiết, phù hợp với phạm vi cung cấp dịch vụ</w:t>
            </w:r>
          </w:p>
        </w:tc>
        <w:tc>
          <w:tcPr>
            <w:tcW w:w="2268" w:type="dxa"/>
          </w:tcPr>
          <w:p w:rsidR="006D5559" w:rsidRPr="006D5559" w:rsidRDefault="006D5559" w:rsidP="004F3CD2">
            <w:pPr>
              <w:spacing w:before="20" w:after="20"/>
              <w:rPr>
                <w:b/>
                <w:sz w:val="26"/>
                <w:szCs w:val="26"/>
                <w:lang w:val="it-IT"/>
              </w:rPr>
            </w:pPr>
            <w:r w:rsidRPr="006D5559">
              <w:rPr>
                <w:sz w:val="26"/>
                <w:szCs w:val="26"/>
                <w:lang w:val="it-IT"/>
              </w:rPr>
              <w:t>Không trình bày hiểu biết về gói thầu hoặc có trình bày nhưng sơ sài hoặc thiếu nội dung cơ bản</w:t>
            </w:r>
          </w:p>
        </w:tc>
      </w:tr>
      <w:tr w:rsidR="006D5559" w:rsidRPr="006D5559" w:rsidTr="004F3CD2">
        <w:tblPrEx>
          <w:tblBorders>
            <w:insideH w:val="single" w:sz="4" w:space="0" w:color="auto"/>
            <w:insideV w:val="single" w:sz="4" w:space="0" w:color="auto"/>
          </w:tblBorders>
          <w:tblCellMar>
            <w:left w:w="108" w:type="dxa"/>
            <w:right w:w="108" w:type="dxa"/>
          </w:tblCellMar>
        </w:tblPrEx>
        <w:trPr>
          <w:trHeight w:val="397"/>
        </w:trPr>
        <w:tc>
          <w:tcPr>
            <w:tcW w:w="588" w:type="dxa"/>
            <w:shd w:val="clear" w:color="auto" w:fill="auto"/>
          </w:tcPr>
          <w:p w:rsidR="006D5559" w:rsidRPr="006D5559" w:rsidRDefault="006D5559" w:rsidP="004F3CD2">
            <w:pPr>
              <w:spacing w:before="20" w:after="20"/>
              <w:rPr>
                <w:sz w:val="26"/>
                <w:szCs w:val="26"/>
              </w:rPr>
            </w:pPr>
            <w:r w:rsidRPr="006D5559">
              <w:rPr>
                <w:sz w:val="26"/>
                <w:szCs w:val="26"/>
              </w:rPr>
              <w:t>2</w:t>
            </w:r>
          </w:p>
        </w:tc>
        <w:tc>
          <w:tcPr>
            <w:tcW w:w="2559" w:type="dxa"/>
            <w:shd w:val="clear" w:color="auto" w:fill="auto"/>
          </w:tcPr>
          <w:p w:rsidR="006D5559" w:rsidRPr="006D5559" w:rsidRDefault="006D5559" w:rsidP="004F3CD2">
            <w:pPr>
              <w:tabs>
                <w:tab w:val="num" w:pos="980"/>
              </w:tabs>
              <w:spacing w:before="20" w:after="20"/>
              <w:rPr>
                <w:iCs/>
                <w:sz w:val="26"/>
                <w:szCs w:val="26"/>
                <w:lang w:val="it-IT"/>
              </w:rPr>
            </w:pPr>
            <w:r w:rsidRPr="006D5559">
              <w:rPr>
                <w:iCs/>
                <w:sz w:val="26"/>
                <w:szCs w:val="26"/>
                <w:lang w:val="it-IT"/>
              </w:rPr>
              <w:t>Kế hoạch triển khai,</w:t>
            </w:r>
            <w:r w:rsidRPr="006D5559">
              <w:rPr>
                <w:sz w:val="26"/>
                <w:szCs w:val="26"/>
              </w:rPr>
              <w:t xml:space="preserve"> Giải pháp kỹ thuật phù hợp với Chương V Yêu cầu kỹ thuật của HSMT</w:t>
            </w:r>
          </w:p>
        </w:tc>
        <w:tc>
          <w:tcPr>
            <w:tcW w:w="4394" w:type="dxa"/>
            <w:shd w:val="clear" w:color="auto" w:fill="auto"/>
          </w:tcPr>
          <w:p w:rsidR="006D5559" w:rsidRPr="006D5559" w:rsidRDefault="006D5559" w:rsidP="004F3CD2">
            <w:pPr>
              <w:spacing w:before="20" w:after="20"/>
              <w:ind w:left="33"/>
              <w:rPr>
                <w:sz w:val="26"/>
                <w:szCs w:val="26"/>
                <w:lang w:val="it-IT"/>
              </w:rPr>
            </w:pPr>
            <w:r w:rsidRPr="006D5559">
              <w:rPr>
                <w:sz w:val="26"/>
                <w:szCs w:val="26"/>
                <w:lang w:val="it-IT"/>
              </w:rPr>
              <w:t>- Có đưa ra kế hoạch triển khai các nhiệm vụ một cách khoa học, hợp lý, trình bày một cách rõ ràng chi tiết về từng mốc thời gian cho từng nhiệm vụ</w:t>
            </w:r>
          </w:p>
          <w:p w:rsidR="006D5559" w:rsidRPr="006D5559" w:rsidRDefault="006D5559" w:rsidP="004F3CD2">
            <w:pPr>
              <w:spacing w:before="20" w:after="20"/>
              <w:ind w:left="33"/>
              <w:rPr>
                <w:sz w:val="26"/>
                <w:szCs w:val="26"/>
              </w:rPr>
            </w:pPr>
            <w:r w:rsidRPr="006D5559">
              <w:rPr>
                <w:sz w:val="26"/>
                <w:szCs w:val="26"/>
              </w:rPr>
              <w:t>- Nhà thầu có thuyết minh, đề xuất các giải pháp kỹ thuật, biện pháp tổ chức thực hiện để thực hiện các yêu cầu của dịch vụ tại Chương V của E-HSMT một cách đầy đủ, rõ ràng, hợp lý, chi tiết.</w:t>
            </w:r>
          </w:p>
          <w:p w:rsidR="006D5559" w:rsidRPr="006D5559" w:rsidRDefault="006D5559" w:rsidP="004F3CD2">
            <w:pPr>
              <w:spacing w:before="20" w:after="20"/>
              <w:ind w:left="33"/>
              <w:rPr>
                <w:sz w:val="26"/>
                <w:szCs w:val="26"/>
              </w:rPr>
            </w:pPr>
            <w:r w:rsidRPr="006D5559">
              <w:rPr>
                <w:sz w:val="26"/>
                <w:szCs w:val="26"/>
              </w:rPr>
              <w:t>- Nhà thầu đề xuất phối hợp giữa nhà thầu và chủ đầu tư trong quá trình triển khai gói thầu</w:t>
            </w:r>
          </w:p>
          <w:p w:rsidR="006D5559" w:rsidRPr="006D5559" w:rsidRDefault="006D5559" w:rsidP="004F3CD2">
            <w:pPr>
              <w:spacing w:before="20" w:after="20"/>
              <w:ind w:left="33"/>
              <w:rPr>
                <w:sz w:val="26"/>
                <w:szCs w:val="26"/>
              </w:rPr>
            </w:pPr>
            <w:r w:rsidRPr="006D5559">
              <w:rPr>
                <w:sz w:val="26"/>
                <w:szCs w:val="26"/>
              </w:rPr>
              <w:t xml:space="preserve">- Có </w:t>
            </w:r>
            <w:r w:rsidRPr="006D5559">
              <w:rPr>
                <w:bCs/>
                <w:sz w:val="26"/>
                <w:szCs w:val="26"/>
              </w:rPr>
              <w:t>phương án dự phòng trong quá trình tổ chức thực hiện in vé theo kế hoạch tăng hoặc giảm đột xuất của Chủ đầu tư.</w:t>
            </w:r>
          </w:p>
          <w:p w:rsidR="006D5559" w:rsidRPr="006D5559" w:rsidRDefault="006D5559" w:rsidP="004F3CD2">
            <w:pPr>
              <w:spacing w:before="20" w:after="20"/>
              <w:rPr>
                <w:b/>
                <w:sz w:val="26"/>
                <w:szCs w:val="26"/>
                <w:lang w:val="it-IT"/>
              </w:rPr>
            </w:pPr>
            <w:r w:rsidRPr="006D5559">
              <w:rPr>
                <w:sz w:val="26"/>
                <w:szCs w:val="26"/>
              </w:rPr>
              <w:t>- Có thuyết minh đầy đủ, rõ ràng: biện pháp quản lý chất lượng dịch vụ; biện</w:t>
            </w:r>
            <w:r w:rsidRPr="006D5559">
              <w:rPr>
                <w:position w:val="1"/>
                <w:sz w:val="26"/>
                <w:szCs w:val="26"/>
              </w:rPr>
              <w:t xml:space="preserve"> pháp bảo đảm an toàn,</w:t>
            </w:r>
            <w:r w:rsidRPr="006D5559">
              <w:rPr>
                <w:sz w:val="26"/>
                <w:szCs w:val="26"/>
              </w:rPr>
              <w:t xml:space="preserve"> vệ sinh lao  động, phòng cháy chữa cháy; biện</w:t>
            </w:r>
            <w:r w:rsidRPr="006D5559">
              <w:rPr>
                <w:position w:val="1"/>
                <w:sz w:val="26"/>
                <w:szCs w:val="26"/>
              </w:rPr>
              <w:t xml:space="preserve"> pháp</w:t>
            </w:r>
            <w:r w:rsidRPr="006D5559">
              <w:rPr>
                <w:sz w:val="26"/>
                <w:szCs w:val="26"/>
              </w:rPr>
              <w:t xml:space="preserve"> an toàn, bảo mật tài liệu trong  quá  trình  in vé xổ số.</w:t>
            </w:r>
          </w:p>
        </w:tc>
        <w:tc>
          <w:tcPr>
            <w:tcW w:w="2268" w:type="dxa"/>
          </w:tcPr>
          <w:p w:rsidR="006D5559" w:rsidRPr="006D5559" w:rsidRDefault="006D5559" w:rsidP="004F3CD2">
            <w:pPr>
              <w:spacing w:before="20" w:after="20"/>
              <w:rPr>
                <w:b/>
                <w:sz w:val="26"/>
                <w:szCs w:val="26"/>
                <w:lang w:val="it-IT"/>
              </w:rPr>
            </w:pPr>
            <w:r w:rsidRPr="006D5559">
              <w:rPr>
                <w:sz w:val="26"/>
                <w:szCs w:val="26"/>
                <w:lang w:val="it-IT"/>
              </w:rPr>
              <w:t>Không trình bày hoặc có trình bày nhưng sơ sài hoặc thiếu nội dung cơ bản, kế hoạch triển khai không hợp lý</w:t>
            </w:r>
          </w:p>
        </w:tc>
      </w:tr>
      <w:tr w:rsidR="006D5559" w:rsidRPr="006D5559" w:rsidTr="004F3CD2">
        <w:tblPrEx>
          <w:tblBorders>
            <w:insideH w:val="single" w:sz="4" w:space="0" w:color="auto"/>
            <w:insideV w:val="single" w:sz="4" w:space="0" w:color="auto"/>
          </w:tblBorders>
          <w:tblCellMar>
            <w:left w:w="108" w:type="dxa"/>
            <w:right w:w="108" w:type="dxa"/>
          </w:tblCellMar>
        </w:tblPrEx>
        <w:trPr>
          <w:trHeight w:val="397"/>
        </w:trPr>
        <w:tc>
          <w:tcPr>
            <w:tcW w:w="588" w:type="dxa"/>
            <w:shd w:val="clear" w:color="auto" w:fill="auto"/>
          </w:tcPr>
          <w:p w:rsidR="006D5559" w:rsidRPr="006D5559" w:rsidRDefault="006D5559" w:rsidP="004F3CD2">
            <w:pPr>
              <w:spacing w:before="20" w:after="20"/>
              <w:rPr>
                <w:sz w:val="26"/>
                <w:szCs w:val="26"/>
              </w:rPr>
            </w:pPr>
            <w:r w:rsidRPr="006D5559">
              <w:rPr>
                <w:sz w:val="26"/>
                <w:szCs w:val="26"/>
              </w:rPr>
              <w:t>3</w:t>
            </w:r>
          </w:p>
        </w:tc>
        <w:tc>
          <w:tcPr>
            <w:tcW w:w="2559" w:type="dxa"/>
            <w:shd w:val="clear" w:color="auto" w:fill="auto"/>
          </w:tcPr>
          <w:p w:rsidR="006D5559" w:rsidRPr="006D5559" w:rsidRDefault="006D5559" w:rsidP="004F3CD2">
            <w:pPr>
              <w:spacing w:before="20" w:after="20"/>
              <w:rPr>
                <w:sz w:val="26"/>
                <w:szCs w:val="26"/>
              </w:rPr>
            </w:pPr>
            <w:r w:rsidRPr="006D5559">
              <w:rPr>
                <w:sz w:val="26"/>
                <w:szCs w:val="26"/>
              </w:rPr>
              <w:t>Bảo  mật thông tin và giám định</w:t>
            </w:r>
          </w:p>
        </w:tc>
        <w:tc>
          <w:tcPr>
            <w:tcW w:w="4394" w:type="dxa"/>
            <w:shd w:val="clear" w:color="auto" w:fill="auto"/>
          </w:tcPr>
          <w:p w:rsidR="006D5559" w:rsidRPr="006D5559" w:rsidRDefault="006D5559" w:rsidP="004F3CD2">
            <w:pPr>
              <w:spacing w:before="20" w:after="20"/>
              <w:ind w:left="33"/>
              <w:rPr>
                <w:sz w:val="26"/>
                <w:szCs w:val="26"/>
              </w:rPr>
            </w:pPr>
            <w:r w:rsidRPr="006D5559">
              <w:rPr>
                <w:sz w:val="26"/>
                <w:szCs w:val="26"/>
              </w:rPr>
              <w:t>- Có bản cam kết về bảo mật trong quá trình thực hiện</w:t>
            </w:r>
          </w:p>
          <w:p w:rsidR="006D5559" w:rsidRPr="006D5559" w:rsidRDefault="006D5559" w:rsidP="004F3CD2">
            <w:pPr>
              <w:spacing w:before="20" w:after="20"/>
              <w:ind w:left="33"/>
              <w:rPr>
                <w:sz w:val="26"/>
                <w:szCs w:val="26"/>
              </w:rPr>
            </w:pPr>
            <w:r w:rsidRPr="006D5559">
              <w:rPr>
                <w:sz w:val="26"/>
                <w:szCs w:val="26"/>
              </w:rPr>
              <w:t xml:space="preserve">- </w:t>
            </w:r>
            <w:r w:rsidRPr="006D5559">
              <w:rPr>
                <w:sz w:val="26"/>
                <w:szCs w:val="26"/>
                <w:lang w:val="es-ES"/>
              </w:rPr>
              <w:t>Nhà thầu cam kết có trách nhiệm giám định về vé số thật, giả khi có yêu cầu của Chủ đầu tư.</w:t>
            </w:r>
          </w:p>
        </w:tc>
        <w:tc>
          <w:tcPr>
            <w:tcW w:w="2268" w:type="dxa"/>
          </w:tcPr>
          <w:p w:rsidR="006D5559" w:rsidRPr="006D5559" w:rsidRDefault="006D5559" w:rsidP="004F3CD2">
            <w:pPr>
              <w:spacing w:before="20" w:after="20"/>
              <w:ind w:left="34"/>
              <w:rPr>
                <w:sz w:val="26"/>
                <w:szCs w:val="26"/>
              </w:rPr>
            </w:pPr>
            <w:r w:rsidRPr="006D5559">
              <w:rPr>
                <w:sz w:val="26"/>
                <w:szCs w:val="26"/>
              </w:rPr>
              <w:t>Không có bản cam kết</w:t>
            </w:r>
          </w:p>
        </w:tc>
      </w:tr>
      <w:tr w:rsidR="006D5559" w:rsidRPr="006D5559" w:rsidTr="004F3CD2">
        <w:tblPrEx>
          <w:tblBorders>
            <w:insideH w:val="single" w:sz="4" w:space="0" w:color="auto"/>
            <w:insideV w:val="single" w:sz="4" w:space="0" w:color="auto"/>
          </w:tblBorders>
          <w:tblCellMar>
            <w:left w:w="108" w:type="dxa"/>
            <w:right w:w="108" w:type="dxa"/>
          </w:tblCellMar>
        </w:tblPrEx>
        <w:trPr>
          <w:trHeight w:val="397"/>
        </w:trPr>
        <w:tc>
          <w:tcPr>
            <w:tcW w:w="588" w:type="dxa"/>
            <w:shd w:val="clear" w:color="auto" w:fill="auto"/>
          </w:tcPr>
          <w:p w:rsidR="006D5559" w:rsidRPr="006D5559" w:rsidRDefault="006D5559" w:rsidP="004F3CD2">
            <w:pPr>
              <w:spacing w:before="20" w:after="20"/>
              <w:rPr>
                <w:sz w:val="26"/>
                <w:szCs w:val="26"/>
              </w:rPr>
            </w:pPr>
            <w:r w:rsidRPr="006D5559">
              <w:rPr>
                <w:sz w:val="26"/>
                <w:szCs w:val="26"/>
              </w:rPr>
              <w:t>4</w:t>
            </w:r>
          </w:p>
        </w:tc>
        <w:tc>
          <w:tcPr>
            <w:tcW w:w="2559" w:type="dxa"/>
            <w:shd w:val="clear" w:color="auto" w:fill="auto"/>
          </w:tcPr>
          <w:p w:rsidR="006D5559" w:rsidRPr="006D5559" w:rsidRDefault="006D5559" w:rsidP="004F3CD2">
            <w:pPr>
              <w:spacing w:before="20" w:after="20"/>
              <w:rPr>
                <w:sz w:val="26"/>
                <w:szCs w:val="26"/>
              </w:rPr>
            </w:pPr>
            <w:r w:rsidRPr="006D5559">
              <w:rPr>
                <w:sz w:val="26"/>
                <w:szCs w:val="26"/>
                <w:lang w:val="it-IT"/>
              </w:rPr>
              <w:t>Tiến độ thực hiện gói thầu</w:t>
            </w:r>
          </w:p>
        </w:tc>
        <w:tc>
          <w:tcPr>
            <w:tcW w:w="4394" w:type="dxa"/>
            <w:shd w:val="clear" w:color="auto" w:fill="auto"/>
          </w:tcPr>
          <w:p w:rsidR="006D5559" w:rsidRPr="006D5559" w:rsidRDefault="006D5559" w:rsidP="004F3CD2">
            <w:pPr>
              <w:spacing w:before="20" w:after="20"/>
              <w:ind w:left="33"/>
              <w:rPr>
                <w:sz w:val="26"/>
                <w:szCs w:val="26"/>
              </w:rPr>
            </w:pPr>
          </w:p>
        </w:tc>
        <w:tc>
          <w:tcPr>
            <w:tcW w:w="2268" w:type="dxa"/>
          </w:tcPr>
          <w:p w:rsidR="006D5559" w:rsidRPr="006D5559" w:rsidRDefault="006D5559" w:rsidP="004F3CD2">
            <w:pPr>
              <w:spacing w:before="20" w:after="20"/>
              <w:ind w:left="34"/>
              <w:rPr>
                <w:sz w:val="26"/>
                <w:szCs w:val="26"/>
              </w:rPr>
            </w:pPr>
          </w:p>
        </w:tc>
      </w:tr>
      <w:tr w:rsidR="006D5559" w:rsidRPr="006D5559" w:rsidTr="004F3CD2">
        <w:tblPrEx>
          <w:tblBorders>
            <w:insideH w:val="single" w:sz="4" w:space="0" w:color="auto"/>
            <w:insideV w:val="single" w:sz="4" w:space="0" w:color="auto"/>
          </w:tblBorders>
          <w:tblCellMar>
            <w:left w:w="108" w:type="dxa"/>
            <w:right w:w="108" w:type="dxa"/>
          </w:tblCellMar>
        </w:tblPrEx>
        <w:trPr>
          <w:trHeight w:val="397"/>
        </w:trPr>
        <w:tc>
          <w:tcPr>
            <w:tcW w:w="588" w:type="dxa"/>
            <w:shd w:val="clear" w:color="auto" w:fill="auto"/>
          </w:tcPr>
          <w:p w:rsidR="006D5559" w:rsidRPr="006D5559" w:rsidRDefault="006D5559" w:rsidP="004F3CD2">
            <w:pPr>
              <w:spacing w:before="20" w:after="20"/>
              <w:rPr>
                <w:sz w:val="26"/>
                <w:szCs w:val="26"/>
              </w:rPr>
            </w:pPr>
            <w:r w:rsidRPr="006D5559">
              <w:rPr>
                <w:sz w:val="26"/>
                <w:szCs w:val="26"/>
              </w:rPr>
              <w:t>4.1</w:t>
            </w:r>
          </w:p>
        </w:tc>
        <w:tc>
          <w:tcPr>
            <w:tcW w:w="2559" w:type="dxa"/>
            <w:shd w:val="clear" w:color="auto" w:fill="auto"/>
          </w:tcPr>
          <w:p w:rsidR="006D5559" w:rsidRPr="006D5559" w:rsidRDefault="006D5559" w:rsidP="004F3CD2">
            <w:pPr>
              <w:spacing w:before="20" w:after="20"/>
              <w:rPr>
                <w:sz w:val="26"/>
                <w:szCs w:val="26"/>
                <w:lang w:val="it-IT"/>
              </w:rPr>
            </w:pPr>
            <w:r w:rsidRPr="006D5559">
              <w:rPr>
                <w:sz w:val="26"/>
                <w:szCs w:val="26"/>
                <w:lang w:val="it-IT"/>
              </w:rPr>
              <w:t xml:space="preserve">Bảng tiến độ thực </w:t>
            </w:r>
            <w:r w:rsidRPr="006D5559">
              <w:rPr>
                <w:sz w:val="26"/>
                <w:szCs w:val="26"/>
                <w:lang w:val="it-IT"/>
              </w:rPr>
              <w:lastRenderedPageBreak/>
              <w:t>hiện gói thầu</w:t>
            </w:r>
          </w:p>
        </w:tc>
        <w:tc>
          <w:tcPr>
            <w:tcW w:w="4394" w:type="dxa"/>
            <w:shd w:val="clear" w:color="auto" w:fill="auto"/>
          </w:tcPr>
          <w:p w:rsidR="006D5559" w:rsidRPr="006D5559" w:rsidRDefault="006D5559" w:rsidP="004F3CD2">
            <w:pPr>
              <w:spacing w:before="20" w:after="20"/>
              <w:ind w:left="33"/>
              <w:rPr>
                <w:sz w:val="26"/>
                <w:szCs w:val="26"/>
              </w:rPr>
            </w:pPr>
            <w:r w:rsidRPr="006D5559">
              <w:rPr>
                <w:sz w:val="26"/>
                <w:szCs w:val="26"/>
                <w:lang w:val="it-IT"/>
              </w:rPr>
              <w:lastRenderedPageBreak/>
              <w:t xml:space="preserve">Bảng tiến độ chi tiết thực hiện gói thầu: </w:t>
            </w:r>
            <w:r w:rsidRPr="006D5559">
              <w:rPr>
                <w:sz w:val="26"/>
                <w:szCs w:val="26"/>
                <w:lang w:val="it-IT"/>
              </w:rPr>
              <w:lastRenderedPageBreak/>
              <w:t>mô tả thời gian in ấn, giao hàng</w:t>
            </w:r>
            <w:r w:rsidRPr="006D5559">
              <w:rPr>
                <w:sz w:val="26"/>
                <w:szCs w:val="26"/>
                <w:lang w:val="nl-NL"/>
              </w:rPr>
              <w:t xml:space="preserve"> phù hợp với tiến độ và kế hoạch triển khai đã đề xuất</w:t>
            </w:r>
          </w:p>
        </w:tc>
        <w:tc>
          <w:tcPr>
            <w:tcW w:w="2268" w:type="dxa"/>
          </w:tcPr>
          <w:p w:rsidR="006D5559" w:rsidRPr="006D5559" w:rsidRDefault="006D5559" w:rsidP="004F3CD2">
            <w:pPr>
              <w:spacing w:before="20" w:after="20"/>
              <w:ind w:left="34"/>
              <w:rPr>
                <w:sz w:val="26"/>
                <w:szCs w:val="26"/>
              </w:rPr>
            </w:pPr>
            <w:r w:rsidRPr="006D5559">
              <w:rPr>
                <w:sz w:val="26"/>
                <w:szCs w:val="26"/>
                <w:lang w:val="it-IT"/>
              </w:rPr>
              <w:lastRenderedPageBreak/>
              <w:t xml:space="preserve">Không có hoặc có </w:t>
            </w:r>
            <w:r w:rsidRPr="006D5559">
              <w:rPr>
                <w:sz w:val="26"/>
                <w:szCs w:val="26"/>
                <w:lang w:val="it-IT"/>
              </w:rPr>
              <w:lastRenderedPageBreak/>
              <w:t>nhưng không phù hợp tiến độ</w:t>
            </w:r>
          </w:p>
        </w:tc>
      </w:tr>
      <w:tr w:rsidR="006D5559" w:rsidRPr="006D5559" w:rsidTr="004F3CD2">
        <w:tblPrEx>
          <w:tblBorders>
            <w:insideH w:val="single" w:sz="4" w:space="0" w:color="auto"/>
            <w:insideV w:val="single" w:sz="4" w:space="0" w:color="auto"/>
          </w:tblBorders>
          <w:tblCellMar>
            <w:left w:w="108" w:type="dxa"/>
            <w:right w:w="108" w:type="dxa"/>
          </w:tblCellMar>
        </w:tblPrEx>
        <w:trPr>
          <w:trHeight w:val="397"/>
        </w:trPr>
        <w:tc>
          <w:tcPr>
            <w:tcW w:w="588" w:type="dxa"/>
            <w:shd w:val="clear" w:color="auto" w:fill="auto"/>
          </w:tcPr>
          <w:p w:rsidR="006D5559" w:rsidRPr="006D5559" w:rsidRDefault="006D5559" w:rsidP="004F3CD2">
            <w:pPr>
              <w:spacing w:before="20" w:after="20"/>
              <w:rPr>
                <w:sz w:val="26"/>
                <w:szCs w:val="26"/>
              </w:rPr>
            </w:pPr>
            <w:r w:rsidRPr="006D5559">
              <w:rPr>
                <w:sz w:val="26"/>
                <w:szCs w:val="26"/>
              </w:rPr>
              <w:lastRenderedPageBreak/>
              <w:t>4.2</w:t>
            </w:r>
          </w:p>
        </w:tc>
        <w:tc>
          <w:tcPr>
            <w:tcW w:w="2559" w:type="dxa"/>
            <w:shd w:val="clear" w:color="auto" w:fill="auto"/>
          </w:tcPr>
          <w:p w:rsidR="006D5559" w:rsidRPr="006D5559" w:rsidRDefault="006D5559" w:rsidP="004F3CD2">
            <w:pPr>
              <w:tabs>
                <w:tab w:val="num" w:pos="980"/>
              </w:tabs>
              <w:spacing w:before="20" w:after="20"/>
              <w:rPr>
                <w:sz w:val="26"/>
                <w:szCs w:val="26"/>
                <w:lang w:val="it-IT"/>
              </w:rPr>
            </w:pPr>
            <w:r w:rsidRPr="006D5559">
              <w:rPr>
                <w:sz w:val="26"/>
                <w:szCs w:val="26"/>
                <w:lang w:val="it-IT"/>
              </w:rPr>
              <w:t>Thời gian thực hiện dịch vụ</w:t>
            </w:r>
          </w:p>
        </w:tc>
        <w:tc>
          <w:tcPr>
            <w:tcW w:w="4394" w:type="dxa"/>
            <w:shd w:val="clear" w:color="auto" w:fill="auto"/>
          </w:tcPr>
          <w:p w:rsidR="006D5559" w:rsidRPr="006D5559" w:rsidRDefault="006D5559" w:rsidP="004F3CD2">
            <w:pPr>
              <w:spacing w:before="20" w:after="20"/>
              <w:rPr>
                <w:sz w:val="26"/>
                <w:szCs w:val="26"/>
                <w:lang w:val="it-IT"/>
              </w:rPr>
            </w:pPr>
            <w:r w:rsidRPr="006D5559">
              <w:rPr>
                <w:sz w:val="26"/>
                <w:szCs w:val="26"/>
                <w:lang w:val="it-IT"/>
              </w:rPr>
              <w:t xml:space="preserve">Có cam kết tổ chức thực hiện và hoàn thành các kỳ vé xổ số trong 06 tháng được tính từ ngày bắt đầu giao kỳ vé đầu tiên của năm 2026 đến ngày giao kỳ vé cuối cùng của 06 tháng đầu năm 2026 </w:t>
            </w:r>
          </w:p>
          <w:p w:rsidR="006D5559" w:rsidRPr="006D5559" w:rsidRDefault="006D5559" w:rsidP="004F3CD2">
            <w:pPr>
              <w:spacing w:before="20" w:after="20"/>
              <w:rPr>
                <w:sz w:val="26"/>
                <w:szCs w:val="26"/>
                <w:lang w:val="it-IT"/>
              </w:rPr>
            </w:pPr>
            <w:r w:rsidRPr="006D5559">
              <w:rPr>
                <w:i/>
                <w:sz w:val="26"/>
                <w:szCs w:val="26"/>
                <w:lang w:val="it-IT"/>
              </w:rPr>
              <w:t>(*) Ngày bắt đầu thực hiện d</w:t>
            </w:r>
            <w:r w:rsidRPr="006D5559">
              <w:rPr>
                <w:bCs/>
                <w:i/>
                <w:sz w:val="26"/>
                <w:szCs w:val="26"/>
                <w:lang w:val="it-IT"/>
              </w:rPr>
              <w:t>ịch vụ do nhà thầu đề xuất phải đúng khoảng thời gian yêu cầu.</w:t>
            </w:r>
          </w:p>
        </w:tc>
        <w:tc>
          <w:tcPr>
            <w:tcW w:w="2268" w:type="dxa"/>
          </w:tcPr>
          <w:p w:rsidR="006D5559" w:rsidRPr="006D5559" w:rsidRDefault="006D5559" w:rsidP="004F3CD2">
            <w:pPr>
              <w:tabs>
                <w:tab w:val="num" w:pos="980"/>
              </w:tabs>
              <w:spacing w:before="20" w:after="20"/>
              <w:rPr>
                <w:sz w:val="26"/>
                <w:szCs w:val="26"/>
                <w:lang w:val="it-IT"/>
              </w:rPr>
            </w:pPr>
            <w:r w:rsidRPr="006D5559">
              <w:rPr>
                <w:sz w:val="26"/>
                <w:szCs w:val="26"/>
                <w:lang w:val="it-IT"/>
              </w:rPr>
              <w:t>Không có cam kết tổ chức thực hiện và không hoàn thành theo yêu cầu</w:t>
            </w:r>
          </w:p>
        </w:tc>
      </w:tr>
      <w:tr w:rsidR="006D5559" w:rsidRPr="006D5559" w:rsidTr="004F3CD2">
        <w:tblPrEx>
          <w:tblBorders>
            <w:insideH w:val="single" w:sz="4" w:space="0" w:color="auto"/>
            <w:insideV w:val="single" w:sz="4" w:space="0" w:color="auto"/>
          </w:tblBorders>
          <w:tblCellMar>
            <w:left w:w="108" w:type="dxa"/>
            <w:right w:w="108" w:type="dxa"/>
          </w:tblCellMar>
        </w:tblPrEx>
        <w:trPr>
          <w:trHeight w:val="397"/>
        </w:trPr>
        <w:tc>
          <w:tcPr>
            <w:tcW w:w="588" w:type="dxa"/>
            <w:shd w:val="clear" w:color="auto" w:fill="auto"/>
          </w:tcPr>
          <w:p w:rsidR="006D5559" w:rsidRPr="006D5559" w:rsidRDefault="006D5559" w:rsidP="004F3CD2">
            <w:pPr>
              <w:spacing w:before="20" w:after="20"/>
              <w:rPr>
                <w:sz w:val="26"/>
                <w:szCs w:val="26"/>
              </w:rPr>
            </w:pPr>
            <w:r w:rsidRPr="006D5559">
              <w:rPr>
                <w:sz w:val="26"/>
                <w:szCs w:val="26"/>
              </w:rPr>
              <w:t>4.3</w:t>
            </w:r>
          </w:p>
        </w:tc>
        <w:tc>
          <w:tcPr>
            <w:tcW w:w="2559" w:type="dxa"/>
            <w:shd w:val="clear" w:color="auto" w:fill="auto"/>
          </w:tcPr>
          <w:p w:rsidR="006D5559" w:rsidRPr="006D5559" w:rsidRDefault="006D5559" w:rsidP="004F3CD2">
            <w:pPr>
              <w:tabs>
                <w:tab w:val="num" w:pos="980"/>
              </w:tabs>
              <w:spacing w:before="20" w:after="20"/>
              <w:rPr>
                <w:sz w:val="26"/>
                <w:szCs w:val="26"/>
                <w:lang w:val="it-IT"/>
              </w:rPr>
            </w:pPr>
            <w:r w:rsidRPr="006D5559">
              <w:rPr>
                <w:sz w:val="26"/>
                <w:szCs w:val="26"/>
                <w:lang w:val="it-IT"/>
              </w:rPr>
              <w:t>Biện pháp đảm bảo Tiến độ cung cấp theo yêu cầu của bên mời thầu</w:t>
            </w:r>
          </w:p>
        </w:tc>
        <w:tc>
          <w:tcPr>
            <w:tcW w:w="4394" w:type="dxa"/>
            <w:shd w:val="clear" w:color="auto" w:fill="auto"/>
          </w:tcPr>
          <w:p w:rsidR="006D5559" w:rsidRPr="006D5559" w:rsidRDefault="006D5559" w:rsidP="004F3CD2">
            <w:pPr>
              <w:spacing w:before="20" w:after="20"/>
              <w:rPr>
                <w:sz w:val="26"/>
                <w:szCs w:val="26"/>
              </w:rPr>
            </w:pPr>
            <w:r w:rsidRPr="006D5559">
              <w:rPr>
                <w:sz w:val="26"/>
                <w:szCs w:val="26"/>
              </w:rPr>
              <w:t>Có thuyết minh biện pháp các nội dung sau:</w:t>
            </w:r>
          </w:p>
          <w:p w:rsidR="006D5559" w:rsidRPr="006D5559" w:rsidRDefault="006D5559" w:rsidP="004F3CD2">
            <w:pPr>
              <w:spacing w:before="20" w:after="20"/>
              <w:rPr>
                <w:sz w:val="26"/>
                <w:szCs w:val="26"/>
                <w:lang w:val="it-IT"/>
              </w:rPr>
            </w:pPr>
            <w:r w:rsidRPr="006D5559">
              <w:rPr>
                <w:sz w:val="26"/>
                <w:szCs w:val="26"/>
                <w:lang w:val="it-IT"/>
              </w:rPr>
              <w:t xml:space="preserve">- Cung cấp đủ tất cả các kỳ vé trong 06 tháng đầu năm 2026. </w:t>
            </w:r>
          </w:p>
          <w:p w:rsidR="006D5559" w:rsidRPr="006D5559" w:rsidRDefault="006D5559" w:rsidP="004F3CD2">
            <w:pPr>
              <w:spacing w:before="20" w:after="20"/>
              <w:rPr>
                <w:sz w:val="26"/>
                <w:szCs w:val="26"/>
                <w:lang w:val="it-IT"/>
              </w:rPr>
            </w:pPr>
            <w:r w:rsidRPr="006D5559">
              <w:rPr>
                <w:sz w:val="26"/>
                <w:szCs w:val="26"/>
                <w:lang w:val="it-IT"/>
              </w:rPr>
              <w:t xml:space="preserve">- Các kỳ vé phải được giao trước thời điểm quay số mở thưởng của kỳ vé đó: </w:t>
            </w:r>
          </w:p>
          <w:p w:rsidR="006D5559" w:rsidRPr="006D5559" w:rsidRDefault="006D5559" w:rsidP="004F3CD2">
            <w:pPr>
              <w:spacing w:before="20" w:after="20"/>
              <w:rPr>
                <w:sz w:val="26"/>
                <w:szCs w:val="26"/>
                <w:lang w:val="it-IT"/>
              </w:rPr>
            </w:pPr>
            <w:r w:rsidRPr="006D5559">
              <w:rPr>
                <w:sz w:val="26"/>
                <w:szCs w:val="26"/>
                <w:lang w:val="it-IT"/>
              </w:rPr>
              <w:t xml:space="preserve">+ Tối thiểu 10 ngày đối với các kỳ vé ngày tháng 01 năm 2026; </w:t>
            </w:r>
          </w:p>
          <w:p w:rsidR="006D5559" w:rsidRPr="006D5559" w:rsidRDefault="006D5559" w:rsidP="004F3CD2">
            <w:pPr>
              <w:spacing w:before="20" w:after="20"/>
              <w:rPr>
                <w:sz w:val="26"/>
                <w:szCs w:val="26"/>
                <w:lang w:val="it-IT"/>
              </w:rPr>
            </w:pPr>
            <w:r w:rsidRPr="006D5559">
              <w:rPr>
                <w:sz w:val="26"/>
                <w:szCs w:val="26"/>
                <w:lang w:val="it-IT"/>
              </w:rPr>
              <w:t xml:space="preserve">+ Tối thiểu 20 ngày đối với các kỳ vé ngày tháng 02 năm 2026; </w:t>
            </w:r>
          </w:p>
          <w:p w:rsidR="006D5559" w:rsidRPr="006D5559" w:rsidRDefault="006D5559" w:rsidP="004F3CD2">
            <w:pPr>
              <w:spacing w:before="20" w:after="20"/>
              <w:rPr>
                <w:sz w:val="26"/>
                <w:szCs w:val="26"/>
                <w:lang w:val="it-IT"/>
              </w:rPr>
            </w:pPr>
            <w:r w:rsidRPr="006D5559">
              <w:rPr>
                <w:sz w:val="26"/>
                <w:szCs w:val="26"/>
                <w:lang w:val="it-IT"/>
              </w:rPr>
              <w:t>+ Tối thiểu 30 ngày đối với các kỳ vé còn lại.</w:t>
            </w:r>
          </w:p>
        </w:tc>
        <w:tc>
          <w:tcPr>
            <w:tcW w:w="2268" w:type="dxa"/>
          </w:tcPr>
          <w:p w:rsidR="006D5559" w:rsidRPr="006D5559" w:rsidRDefault="006D5559" w:rsidP="004F3CD2">
            <w:pPr>
              <w:tabs>
                <w:tab w:val="num" w:pos="980"/>
              </w:tabs>
              <w:spacing w:before="20" w:after="20"/>
              <w:rPr>
                <w:sz w:val="26"/>
                <w:szCs w:val="26"/>
              </w:rPr>
            </w:pPr>
            <w:r w:rsidRPr="006D5559">
              <w:rPr>
                <w:sz w:val="26"/>
                <w:szCs w:val="26"/>
              </w:rPr>
              <w:t>Không có thuyết minh biện pháp và cam kết hoặc không đầy đủ các nội dung.</w:t>
            </w:r>
          </w:p>
        </w:tc>
      </w:tr>
      <w:tr w:rsidR="006D5559" w:rsidRPr="006D5559" w:rsidTr="004F3CD2">
        <w:tblPrEx>
          <w:tblBorders>
            <w:insideH w:val="single" w:sz="4" w:space="0" w:color="auto"/>
            <w:insideV w:val="single" w:sz="4" w:space="0" w:color="auto"/>
          </w:tblBorders>
          <w:tblCellMar>
            <w:left w:w="108" w:type="dxa"/>
            <w:right w:w="108" w:type="dxa"/>
          </w:tblCellMar>
        </w:tblPrEx>
        <w:trPr>
          <w:trHeight w:val="393"/>
        </w:trPr>
        <w:tc>
          <w:tcPr>
            <w:tcW w:w="588" w:type="dxa"/>
            <w:tcBorders>
              <w:top w:val="single" w:sz="4" w:space="0" w:color="auto"/>
              <w:left w:val="single" w:sz="4" w:space="0" w:color="auto"/>
              <w:bottom w:val="single" w:sz="4" w:space="0" w:color="auto"/>
              <w:right w:val="single" w:sz="4" w:space="0" w:color="auto"/>
            </w:tcBorders>
            <w:shd w:val="clear" w:color="auto" w:fill="auto"/>
          </w:tcPr>
          <w:p w:rsidR="006D5559" w:rsidRPr="006D5559" w:rsidRDefault="006D5559" w:rsidP="004F3CD2">
            <w:pPr>
              <w:spacing w:before="20" w:after="20"/>
              <w:rPr>
                <w:b/>
                <w:sz w:val="26"/>
                <w:szCs w:val="26"/>
              </w:rPr>
            </w:pPr>
            <w:r w:rsidRPr="006D5559">
              <w:rPr>
                <w:b/>
                <w:sz w:val="26"/>
                <w:szCs w:val="26"/>
              </w:rPr>
              <w:t>II</w:t>
            </w:r>
          </w:p>
        </w:tc>
        <w:tc>
          <w:tcPr>
            <w:tcW w:w="9221" w:type="dxa"/>
            <w:gridSpan w:val="3"/>
            <w:tcBorders>
              <w:top w:val="single" w:sz="4" w:space="0" w:color="auto"/>
              <w:left w:val="single" w:sz="4" w:space="0" w:color="auto"/>
              <w:bottom w:val="single" w:sz="4" w:space="0" w:color="auto"/>
              <w:right w:val="single" w:sz="4" w:space="0" w:color="auto"/>
            </w:tcBorders>
            <w:shd w:val="clear" w:color="auto" w:fill="auto"/>
          </w:tcPr>
          <w:p w:rsidR="006D5559" w:rsidRPr="006D5559" w:rsidRDefault="006D5559" w:rsidP="004F3CD2">
            <w:pPr>
              <w:spacing w:before="20" w:after="20"/>
              <w:rPr>
                <w:sz w:val="26"/>
                <w:szCs w:val="26"/>
              </w:rPr>
            </w:pPr>
            <w:r w:rsidRPr="006D5559">
              <w:rPr>
                <w:b/>
                <w:sz w:val="26"/>
                <w:szCs w:val="26"/>
              </w:rPr>
              <w:t>Mức độ đáp ứng về vật tư phục vụ sản xuất và đóng gói vận chuyển</w:t>
            </w:r>
          </w:p>
        </w:tc>
      </w:tr>
      <w:tr w:rsidR="006D5559" w:rsidRPr="006D5559" w:rsidTr="004F3CD2">
        <w:tblPrEx>
          <w:tblBorders>
            <w:insideH w:val="single" w:sz="4" w:space="0" w:color="auto"/>
            <w:insideV w:val="single" w:sz="4" w:space="0" w:color="auto"/>
          </w:tblBorders>
          <w:tblCellMar>
            <w:left w:w="108" w:type="dxa"/>
            <w:right w:w="108" w:type="dxa"/>
          </w:tblCellMar>
        </w:tblPrEx>
        <w:trPr>
          <w:trHeight w:val="314"/>
        </w:trPr>
        <w:tc>
          <w:tcPr>
            <w:tcW w:w="588" w:type="dxa"/>
            <w:tcBorders>
              <w:top w:val="single" w:sz="4" w:space="0" w:color="auto"/>
              <w:left w:val="single" w:sz="4" w:space="0" w:color="auto"/>
              <w:bottom w:val="single" w:sz="4" w:space="0" w:color="auto"/>
              <w:right w:val="single" w:sz="4" w:space="0" w:color="auto"/>
            </w:tcBorders>
            <w:shd w:val="clear" w:color="auto" w:fill="auto"/>
          </w:tcPr>
          <w:p w:rsidR="006D5559" w:rsidRPr="006D5559" w:rsidRDefault="006D5559" w:rsidP="004F3CD2">
            <w:pPr>
              <w:spacing w:before="20" w:after="20"/>
              <w:rPr>
                <w:sz w:val="26"/>
                <w:szCs w:val="26"/>
              </w:rPr>
            </w:pPr>
            <w:r w:rsidRPr="006D5559">
              <w:rPr>
                <w:sz w:val="26"/>
                <w:szCs w:val="26"/>
              </w:rPr>
              <w:t>1</w:t>
            </w:r>
          </w:p>
        </w:tc>
        <w:tc>
          <w:tcPr>
            <w:tcW w:w="2559" w:type="dxa"/>
            <w:tcBorders>
              <w:top w:val="single" w:sz="4" w:space="0" w:color="auto"/>
              <w:left w:val="single" w:sz="4" w:space="0" w:color="auto"/>
              <w:bottom w:val="single" w:sz="4" w:space="0" w:color="auto"/>
              <w:right w:val="single" w:sz="4" w:space="0" w:color="auto"/>
            </w:tcBorders>
            <w:shd w:val="clear" w:color="auto" w:fill="auto"/>
          </w:tcPr>
          <w:p w:rsidR="006D5559" w:rsidRPr="006D5559" w:rsidRDefault="006D5559" w:rsidP="004F3CD2">
            <w:pPr>
              <w:spacing w:before="20" w:after="20"/>
              <w:rPr>
                <w:sz w:val="26"/>
                <w:szCs w:val="26"/>
              </w:rPr>
            </w:pPr>
            <w:r w:rsidRPr="006D5559">
              <w:rPr>
                <w:spacing w:val="-6"/>
                <w:sz w:val="26"/>
                <w:szCs w:val="26"/>
                <w:lang w:val="nl-NL"/>
              </w:rPr>
              <w:t xml:space="preserve">Cung cấp mẫu giấy in vé số truyền thống năm 2026 (ghi rõ thông số, nhãn hiệu, xuất xứ): Giấy </w:t>
            </w:r>
            <w:r w:rsidRPr="006D5559">
              <w:rPr>
                <w:sz w:val="26"/>
                <w:szCs w:val="26"/>
              </w:rPr>
              <w:t>Fort Thailand, định lượng (70±2) gr/m</w:t>
            </w:r>
            <w:r w:rsidRPr="006D5559">
              <w:rPr>
                <w:sz w:val="26"/>
                <w:szCs w:val="26"/>
                <w:vertAlign w:val="superscript"/>
              </w:rPr>
              <w:t>2</w:t>
            </w:r>
            <w:r w:rsidRPr="006D5559">
              <w:rPr>
                <w:spacing w:val="-6"/>
                <w:sz w:val="26"/>
                <w:szCs w:val="26"/>
                <w:lang w:val="nl-NL"/>
              </w:rPr>
              <w:t xml:space="preserve"> cho vé xổ số truyền thống các kỳ thường xuyên; Giấy </w:t>
            </w:r>
            <w:r w:rsidRPr="006D5559">
              <w:rPr>
                <w:sz w:val="26"/>
                <w:szCs w:val="26"/>
              </w:rPr>
              <w:t>Fort Thailand, định lượng (80±2) gr/m</w:t>
            </w:r>
            <w:r w:rsidRPr="006D5559">
              <w:rPr>
                <w:sz w:val="26"/>
                <w:szCs w:val="26"/>
                <w:vertAlign w:val="superscript"/>
              </w:rPr>
              <w:t>2</w:t>
            </w:r>
            <w:r w:rsidRPr="006D5559">
              <w:rPr>
                <w:spacing w:val="-6"/>
                <w:sz w:val="26"/>
                <w:szCs w:val="26"/>
                <w:lang w:val="nl-NL"/>
              </w:rPr>
              <w:t xml:space="preserve"> cho vé xổ số truyền thống Xuân Bính Ngọ</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6D5559" w:rsidRPr="006D5559" w:rsidRDefault="006D5559" w:rsidP="004F3CD2">
            <w:pPr>
              <w:spacing w:before="20" w:after="20"/>
              <w:rPr>
                <w:spacing w:val="-6"/>
                <w:sz w:val="26"/>
                <w:szCs w:val="26"/>
                <w:lang w:val="nl-NL"/>
              </w:rPr>
            </w:pPr>
            <w:r w:rsidRPr="006D5559">
              <w:rPr>
                <w:spacing w:val="-6"/>
                <w:sz w:val="26"/>
                <w:szCs w:val="26"/>
                <w:lang w:val="nl-NL"/>
              </w:rPr>
              <w:t>- Nhà thầu cam kết thiết kế và cung cấp mẫu vé theo yêu cầu.</w:t>
            </w:r>
          </w:p>
          <w:p w:rsidR="006D5559" w:rsidRPr="006D5559" w:rsidRDefault="006D5559" w:rsidP="004F3CD2">
            <w:pPr>
              <w:spacing w:before="20" w:after="20"/>
              <w:rPr>
                <w:spacing w:val="-6"/>
                <w:sz w:val="26"/>
                <w:szCs w:val="26"/>
                <w:lang w:val="nl-NL"/>
              </w:rPr>
            </w:pPr>
            <w:r w:rsidRPr="006D5559">
              <w:rPr>
                <w:spacing w:val="-6"/>
                <w:sz w:val="26"/>
                <w:szCs w:val="26"/>
                <w:lang w:val="nl-NL"/>
              </w:rPr>
              <w:t>- Có mẫu giấy in vé số kiến thiết các loại theo yêu cầu.</w:t>
            </w:r>
          </w:p>
          <w:p w:rsidR="006D5559" w:rsidRPr="006D5559" w:rsidRDefault="006D5559" w:rsidP="004F3CD2">
            <w:pPr>
              <w:spacing w:before="20" w:after="20"/>
              <w:rPr>
                <w:sz w:val="26"/>
                <w:szCs w:val="26"/>
              </w:rPr>
            </w:pPr>
            <w:r w:rsidRPr="006D5559">
              <w:rPr>
                <w:spacing w:val="-6"/>
                <w:sz w:val="26"/>
                <w:szCs w:val="26"/>
                <w:lang w:val="nl-NL"/>
              </w:rPr>
              <w:t>- Nhà thầu nộp cùng E-HSDT mẫu in vé các loại, đảm bảo đúng kích thước, đáp ứng yêu cầu kỹ thuật trong hồ sơ mời thầu (Nhà thầu scan mẫu giấy và mẫu vé nộp cùng E-HSDT).</w:t>
            </w:r>
          </w:p>
        </w:tc>
        <w:tc>
          <w:tcPr>
            <w:tcW w:w="2268" w:type="dxa"/>
            <w:tcBorders>
              <w:top w:val="single" w:sz="4" w:space="0" w:color="auto"/>
              <w:left w:val="single" w:sz="4" w:space="0" w:color="auto"/>
              <w:bottom w:val="single" w:sz="4" w:space="0" w:color="auto"/>
              <w:right w:val="single" w:sz="4" w:space="0" w:color="auto"/>
            </w:tcBorders>
          </w:tcPr>
          <w:p w:rsidR="006D5559" w:rsidRPr="006D5559" w:rsidRDefault="006D5559" w:rsidP="004F3CD2">
            <w:pPr>
              <w:spacing w:before="20" w:after="20"/>
              <w:rPr>
                <w:sz w:val="26"/>
                <w:szCs w:val="26"/>
              </w:rPr>
            </w:pPr>
            <w:r w:rsidRPr="006D5559">
              <w:rPr>
                <w:sz w:val="26"/>
                <w:szCs w:val="26"/>
              </w:rPr>
              <w:t xml:space="preserve">Không có hoặc thiếu tài liệu hoặc không đáp ứng yêu cầu </w:t>
            </w:r>
          </w:p>
        </w:tc>
      </w:tr>
      <w:tr w:rsidR="006D5559" w:rsidRPr="006D5559" w:rsidTr="004F3CD2">
        <w:tblPrEx>
          <w:tblBorders>
            <w:insideH w:val="single" w:sz="4" w:space="0" w:color="auto"/>
            <w:insideV w:val="single" w:sz="4" w:space="0" w:color="auto"/>
          </w:tblBorders>
          <w:tblCellMar>
            <w:left w:w="108" w:type="dxa"/>
            <w:right w:w="108" w:type="dxa"/>
          </w:tblCellMar>
        </w:tblPrEx>
        <w:trPr>
          <w:trHeight w:val="938"/>
        </w:trPr>
        <w:tc>
          <w:tcPr>
            <w:tcW w:w="588" w:type="dxa"/>
            <w:tcBorders>
              <w:top w:val="single" w:sz="4" w:space="0" w:color="auto"/>
              <w:left w:val="single" w:sz="4" w:space="0" w:color="auto"/>
              <w:bottom w:val="single" w:sz="4" w:space="0" w:color="auto"/>
              <w:right w:val="single" w:sz="4" w:space="0" w:color="auto"/>
            </w:tcBorders>
            <w:shd w:val="clear" w:color="auto" w:fill="auto"/>
          </w:tcPr>
          <w:p w:rsidR="006D5559" w:rsidRPr="006D5559" w:rsidRDefault="006D5559" w:rsidP="004F3CD2">
            <w:pPr>
              <w:spacing w:before="20" w:after="20"/>
              <w:rPr>
                <w:sz w:val="26"/>
                <w:szCs w:val="26"/>
              </w:rPr>
            </w:pPr>
            <w:r w:rsidRPr="006D5559">
              <w:rPr>
                <w:sz w:val="26"/>
                <w:szCs w:val="26"/>
              </w:rPr>
              <w:t>2</w:t>
            </w:r>
          </w:p>
        </w:tc>
        <w:tc>
          <w:tcPr>
            <w:tcW w:w="2559" w:type="dxa"/>
            <w:tcBorders>
              <w:top w:val="single" w:sz="4" w:space="0" w:color="auto"/>
              <w:left w:val="single" w:sz="4" w:space="0" w:color="auto"/>
              <w:bottom w:val="single" w:sz="4" w:space="0" w:color="auto"/>
              <w:right w:val="single" w:sz="4" w:space="0" w:color="auto"/>
            </w:tcBorders>
            <w:shd w:val="clear" w:color="auto" w:fill="auto"/>
          </w:tcPr>
          <w:p w:rsidR="006D5559" w:rsidRPr="006D5559" w:rsidRDefault="006D5559" w:rsidP="004F3CD2">
            <w:pPr>
              <w:widowControl w:val="0"/>
              <w:tabs>
                <w:tab w:val="right" w:pos="7049"/>
              </w:tabs>
              <w:spacing w:before="40" w:after="40"/>
              <w:ind w:left="-101" w:right="196" w:firstLine="10"/>
              <w:rPr>
                <w:sz w:val="26"/>
                <w:szCs w:val="26"/>
              </w:rPr>
            </w:pPr>
            <w:r w:rsidRPr="006D5559">
              <w:rPr>
                <w:sz w:val="26"/>
                <w:szCs w:val="26"/>
              </w:rPr>
              <w:t xml:space="preserve">Đóng gói hàng hóa </w:t>
            </w:r>
          </w:p>
          <w:p w:rsidR="006D5559" w:rsidRPr="006D5559" w:rsidRDefault="006D5559" w:rsidP="004F3CD2">
            <w:pPr>
              <w:spacing w:before="20" w:after="20"/>
              <w:rPr>
                <w:sz w:val="26"/>
                <w:szCs w:val="26"/>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6D5559" w:rsidRPr="006D5559" w:rsidRDefault="006D5559" w:rsidP="004F3CD2">
            <w:pPr>
              <w:tabs>
                <w:tab w:val="left" w:pos="242"/>
              </w:tabs>
              <w:spacing w:before="20" w:after="20"/>
              <w:rPr>
                <w:iCs/>
                <w:sz w:val="26"/>
                <w:szCs w:val="26"/>
                <w:lang w:val="it-IT"/>
              </w:rPr>
            </w:pPr>
            <w:r w:rsidRPr="006D5559">
              <w:rPr>
                <w:iCs/>
                <w:sz w:val="26"/>
                <w:szCs w:val="26"/>
                <w:lang w:val="it-IT"/>
              </w:rPr>
              <w:t>- Nhà thầu cam kết xếp cặp vé theo yêu cầu của Chủ đầu tư và bảo đảm:</w:t>
            </w:r>
          </w:p>
          <w:p w:rsidR="006D5559" w:rsidRPr="006D5559" w:rsidRDefault="006D5559" w:rsidP="004F3CD2">
            <w:pPr>
              <w:tabs>
                <w:tab w:val="left" w:pos="242"/>
              </w:tabs>
              <w:spacing w:before="20" w:after="20"/>
              <w:rPr>
                <w:iCs/>
                <w:sz w:val="26"/>
                <w:szCs w:val="26"/>
                <w:lang w:val="it-IT"/>
              </w:rPr>
            </w:pPr>
            <w:r w:rsidRPr="006D5559">
              <w:rPr>
                <w:iCs/>
                <w:sz w:val="26"/>
                <w:szCs w:val="26"/>
                <w:lang w:val="it-IT"/>
              </w:rPr>
              <w:t xml:space="preserve">+ Cặp vé và cùi phải tương ứng, đủ số lượng; cùi cột theo thân vé. Đóng ghim chắc chắn cho từng cặp vé và cùi.  Không lẫn lộn vé và cùi của cặp này sang cặp khác. </w:t>
            </w:r>
          </w:p>
          <w:p w:rsidR="006D5559" w:rsidRPr="006D5559" w:rsidRDefault="006D5559" w:rsidP="004F3CD2">
            <w:pPr>
              <w:tabs>
                <w:tab w:val="left" w:pos="242"/>
              </w:tabs>
              <w:spacing w:before="20" w:after="20"/>
              <w:rPr>
                <w:iCs/>
                <w:sz w:val="26"/>
                <w:szCs w:val="26"/>
                <w:lang w:val="it-IT"/>
              </w:rPr>
            </w:pPr>
            <w:r w:rsidRPr="006D5559">
              <w:rPr>
                <w:iCs/>
                <w:sz w:val="26"/>
                <w:szCs w:val="26"/>
                <w:lang w:val="it-IT"/>
              </w:rPr>
              <w:t xml:space="preserve">+ Vé được đóng gói theo sêri và theo </w:t>
            </w:r>
            <w:r w:rsidRPr="006D5559">
              <w:rPr>
                <w:iCs/>
                <w:sz w:val="26"/>
                <w:szCs w:val="26"/>
                <w:lang w:val="it-IT"/>
              </w:rPr>
              <w:lastRenderedPageBreak/>
              <w:t>cặp vé, ngoài bao bì có phiếu đóng gói ghi rõ: Ký hiệu, ngày, tháng mở thưởng và số sêri (đúng với số sêri của vé gói bên trong), phân theo từng đơn vị và buộc thành từng cục chắc chắn.</w:t>
            </w:r>
          </w:p>
        </w:tc>
        <w:tc>
          <w:tcPr>
            <w:tcW w:w="2268" w:type="dxa"/>
            <w:tcBorders>
              <w:top w:val="single" w:sz="4" w:space="0" w:color="auto"/>
              <w:left w:val="single" w:sz="4" w:space="0" w:color="auto"/>
              <w:bottom w:val="single" w:sz="4" w:space="0" w:color="auto"/>
              <w:right w:val="single" w:sz="4" w:space="0" w:color="auto"/>
            </w:tcBorders>
          </w:tcPr>
          <w:p w:rsidR="006D5559" w:rsidRPr="006D5559" w:rsidRDefault="006D5559" w:rsidP="004F3CD2">
            <w:pPr>
              <w:spacing w:before="20" w:after="20"/>
              <w:rPr>
                <w:sz w:val="26"/>
                <w:szCs w:val="26"/>
                <w:lang w:val="es-ES"/>
              </w:rPr>
            </w:pPr>
            <w:r w:rsidRPr="006D5559">
              <w:rPr>
                <w:sz w:val="26"/>
                <w:szCs w:val="26"/>
                <w:lang w:val="es-ES"/>
              </w:rPr>
              <w:lastRenderedPageBreak/>
              <w:t xml:space="preserve">Nội dung cam kết không đáp ứng </w:t>
            </w:r>
          </w:p>
        </w:tc>
      </w:tr>
      <w:tr w:rsidR="006D5559" w:rsidRPr="006D5559" w:rsidTr="004F3CD2">
        <w:tblPrEx>
          <w:tblBorders>
            <w:insideH w:val="single" w:sz="4" w:space="0" w:color="auto"/>
            <w:insideV w:val="single" w:sz="4" w:space="0" w:color="auto"/>
          </w:tblBorders>
          <w:tblCellMar>
            <w:left w:w="108" w:type="dxa"/>
            <w:right w:w="108" w:type="dxa"/>
          </w:tblCellMar>
        </w:tblPrEx>
        <w:trPr>
          <w:trHeight w:val="938"/>
        </w:trPr>
        <w:tc>
          <w:tcPr>
            <w:tcW w:w="588" w:type="dxa"/>
            <w:tcBorders>
              <w:top w:val="single" w:sz="4" w:space="0" w:color="auto"/>
              <w:left w:val="single" w:sz="4" w:space="0" w:color="auto"/>
              <w:bottom w:val="single" w:sz="4" w:space="0" w:color="auto"/>
              <w:right w:val="single" w:sz="4" w:space="0" w:color="auto"/>
            </w:tcBorders>
            <w:shd w:val="clear" w:color="auto" w:fill="auto"/>
          </w:tcPr>
          <w:p w:rsidR="006D5559" w:rsidRPr="006D5559" w:rsidRDefault="006D5559" w:rsidP="004F3CD2">
            <w:pPr>
              <w:spacing w:before="20" w:after="20"/>
              <w:rPr>
                <w:sz w:val="26"/>
                <w:szCs w:val="26"/>
              </w:rPr>
            </w:pPr>
            <w:r w:rsidRPr="006D5559">
              <w:rPr>
                <w:sz w:val="26"/>
                <w:szCs w:val="26"/>
              </w:rPr>
              <w:lastRenderedPageBreak/>
              <w:t>3</w:t>
            </w:r>
          </w:p>
        </w:tc>
        <w:tc>
          <w:tcPr>
            <w:tcW w:w="2559" w:type="dxa"/>
            <w:tcBorders>
              <w:top w:val="single" w:sz="4" w:space="0" w:color="auto"/>
              <w:left w:val="single" w:sz="4" w:space="0" w:color="auto"/>
              <w:bottom w:val="single" w:sz="4" w:space="0" w:color="auto"/>
              <w:right w:val="single" w:sz="4" w:space="0" w:color="auto"/>
            </w:tcBorders>
            <w:shd w:val="clear" w:color="auto" w:fill="auto"/>
          </w:tcPr>
          <w:p w:rsidR="006D5559" w:rsidRPr="006D5559" w:rsidRDefault="006D5559" w:rsidP="004F3CD2">
            <w:pPr>
              <w:spacing w:before="20" w:after="20"/>
              <w:rPr>
                <w:sz w:val="26"/>
                <w:szCs w:val="26"/>
              </w:rPr>
            </w:pPr>
            <w:r w:rsidRPr="006D5559">
              <w:rPr>
                <w:sz w:val="26"/>
                <w:szCs w:val="26"/>
              </w:rPr>
              <w:t>Vận chuyển hàng hóa</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6D5559" w:rsidRPr="006D5559" w:rsidRDefault="006D5559" w:rsidP="004F3CD2">
            <w:pPr>
              <w:tabs>
                <w:tab w:val="left" w:pos="242"/>
              </w:tabs>
              <w:spacing w:before="20" w:after="20"/>
              <w:rPr>
                <w:sz w:val="26"/>
                <w:szCs w:val="26"/>
              </w:rPr>
            </w:pPr>
            <w:r w:rsidRPr="006D5559">
              <w:rPr>
                <w:sz w:val="26"/>
                <w:szCs w:val="26"/>
              </w:rPr>
              <w:t>Nhà thầu cam kết có trách nhiệm vận chuyển vé, bốc xếp vé đến kho của chủ đầu tư đảm bảo chất lượng và số lượng.</w:t>
            </w:r>
          </w:p>
        </w:tc>
        <w:tc>
          <w:tcPr>
            <w:tcW w:w="2268" w:type="dxa"/>
            <w:tcBorders>
              <w:top w:val="single" w:sz="4" w:space="0" w:color="auto"/>
              <w:left w:val="single" w:sz="4" w:space="0" w:color="auto"/>
              <w:bottom w:val="single" w:sz="4" w:space="0" w:color="auto"/>
              <w:right w:val="single" w:sz="4" w:space="0" w:color="auto"/>
            </w:tcBorders>
          </w:tcPr>
          <w:p w:rsidR="006D5559" w:rsidRPr="006D5559" w:rsidRDefault="006D5559" w:rsidP="004F3CD2">
            <w:pPr>
              <w:spacing w:before="20" w:after="20"/>
              <w:rPr>
                <w:sz w:val="26"/>
                <w:szCs w:val="26"/>
                <w:lang w:val="es-ES"/>
              </w:rPr>
            </w:pPr>
            <w:r w:rsidRPr="006D5559">
              <w:rPr>
                <w:sz w:val="26"/>
                <w:szCs w:val="26"/>
                <w:lang w:val="es-ES"/>
              </w:rPr>
              <w:t>Nội dung cam kết không đáp ứng</w:t>
            </w:r>
          </w:p>
        </w:tc>
      </w:tr>
      <w:tr w:rsidR="006D5559" w:rsidRPr="006D5559" w:rsidTr="004F3CD2">
        <w:tblPrEx>
          <w:tblBorders>
            <w:insideH w:val="single" w:sz="4" w:space="0" w:color="auto"/>
            <w:insideV w:val="single" w:sz="4" w:space="0" w:color="auto"/>
          </w:tblBorders>
          <w:tblCellMar>
            <w:left w:w="108" w:type="dxa"/>
            <w:right w:w="108" w:type="dxa"/>
          </w:tblCellMar>
        </w:tblPrEx>
        <w:trPr>
          <w:trHeight w:val="315"/>
        </w:trPr>
        <w:tc>
          <w:tcPr>
            <w:tcW w:w="588" w:type="dxa"/>
            <w:tcBorders>
              <w:top w:val="single" w:sz="4" w:space="0" w:color="auto"/>
              <w:left w:val="single" w:sz="4" w:space="0" w:color="auto"/>
              <w:bottom w:val="single" w:sz="4" w:space="0" w:color="auto"/>
              <w:right w:val="single" w:sz="4" w:space="0" w:color="auto"/>
            </w:tcBorders>
            <w:shd w:val="clear" w:color="auto" w:fill="auto"/>
          </w:tcPr>
          <w:p w:rsidR="006D5559" w:rsidRPr="006D5559" w:rsidRDefault="006D5559" w:rsidP="004F3CD2">
            <w:pPr>
              <w:spacing w:before="20" w:after="20"/>
              <w:rPr>
                <w:b/>
                <w:sz w:val="26"/>
                <w:szCs w:val="26"/>
              </w:rPr>
            </w:pPr>
            <w:r w:rsidRPr="006D5559">
              <w:rPr>
                <w:b/>
                <w:sz w:val="26"/>
                <w:szCs w:val="26"/>
              </w:rPr>
              <w:t>III</w:t>
            </w:r>
          </w:p>
        </w:tc>
        <w:tc>
          <w:tcPr>
            <w:tcW w:w="9221" w:type="dxa"/>
            <w:gridSpan w:val="3"/>
            <w:tcBorders>
              <w:top w:val="single" w:sz="4" w:space="0" w:color="auto"/>
              <w:left w:val="single" w:sz="4" w:space="0" w:color="auto"/>
              <w:bottom w:val="single" w:sz="4" w:space="0" w:color="auto"/>
              <w:right w:val="single" w:sz="4" w:space="0" w:color="auto"/>
            </w:tcBorders>
            <w:shd w:val="clear" w:color="auto" w:fill="auto"/>
          </w:tcPr>
          <w:p w:rsidR="006D5559" w:rsidRPr="006D5559" w:rsidRDefault="006D5559" w:rsidP="004F3CD2">
            <w:pPr>
              <w:spacing w:before="20" w:after="20"/>
              <w:rPr>
                <w:sz w:val="26"/>
                <w:szCs w:val="26"/>
              </w:rPr>
            </w:pPr>
            <w:r w:rsidRPr="006D5559">
              <w:rPr>
                <w:b/>
                <w:sz w:val="26"/>
                <w:szCs w:val="26"/>
              </w:rPr>
              <w:t xml:space="preserve">Mức độ đáp ứng về bảo hành, xử lý sự cố, cam kết của nhà thầu </w:t>
            </w:r>
          </w:p>
        </w:tc>
      </w:tr>
      <w:tr w:rsidR="006D5559" w:rsidRPr="006D5559" w:rsidTr="004F3CD2">
        <w:tblPrEx>
          <w:tblBorders>
            <w:insideH w:val="single" w:sz="4" w:space="0" w:color="auto"/>
            <w:insideV w:val="single" w:sz="4" w:space="0" w:color="auto"/>
          </w:tblBorders>
          <w:tblCellMar>
            <w:left w:w="108" w:type="dxa"/>
            <w:right w:w="108" w:type="dxa"/>
          </w:tblCellMar>
        </w:tblPrEx>
        <w:trPr>
          <w:trHeight w:val="596"/>
        </w:trPr>
        <w:tc>
          <w:tcPr>
            <w:tcW w:w="588" w:type="dxa"/>
            <w:tcBorders>
              <w:top w:val="single" w:sz="4" w:space="0" w:color="auto"/>
              <w:left w:val="single" w:sz="4" w:space="0" w:color="auto"/>
              <w:bottom w:val="single" w:sz="4" w:space="0" w:color="auto"/>
              <w:right w:val="single" w:sz="4" w:space="0" w:color="auto"/>
            </w:tcBorders>
            <w:shd w:val="clear" w:color="auto" w:fill="auto"/>
          </w:tcPr>
          <w:p w:rsidR="006D5559" w:rsidRPr="006D5559" w:rsidRDefault="006D5559" w:rsidP="004F3CD2">
            <w:pPr>
              <w:spacing w:before="20" w:after="20"/>
              <w:rPr>
                <w:sz w:val="26"/>
                <w:szCs w:val="26"/>
              </w:rPr>
            </w:pPr>
            <w:r w:rsidRPr="006D5559">
              <w:rPr>
                <w:sz w:val="26"/>
                <w:szCs w:val="26"/>
              </w:rPr>
              <w:t>1</w:t>
            </w:r>
          </w:p>
        </w:tc>
        <w:tc>
          <w:tcPr>
            <w:tcW w:w="2559" w:type="dxa"/>
            <w:tcBorders>
              <w:top w:val="single" w:sz="4" w:space="0" w:color="auto"/>
              <w:left w:val="single" w:sz="4" w:space="0" w:color="auto"/>
              <w:bottom w:val="single" w:sz="4" w:space="0" w:color="auto"/>
              <w:right w:val="single" w:sz="4" w:space="0" w:color="auto"/>
            </w:tcBorders>
            <w:shd w:val="clear" w:color="auto" w:fill="auto"/>
          </w:tcPr>
          <w:p w:rsidR="006D5559" w:rsidRPr="006D5559" w:rsidRDefault="006D5559" w:rsidP="004F3CD2">
            <w:pPr>
              <w:spacing w:before="20" w:after="20"/>
              <w:ind w:left="133"/>
              <w:rPr>
                <w:sz w:val="26"/>
                <w:szCs w:val="26"/>
              </w:rPr>
            </w:pPr>
            <w:r w:rsidRPr="006D5559">
              <w:rPr>
                <w:sz w:val="26"/>
                <w:szCs w:val="26"/>
              </w:rPr>
              <w:t>Bảo hành, xử lý sự cố</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6D5559" w:rsidRPr="006D5559" w:rsidRDefault="006D5559" w:rsidP="004F3CD2">
            <w:pPr>
              <w:spacing w:before="20" w:after="20"/>
              <w:rPr>
                <w:sz w:val="26"/>
                <w:szCs w:val="26"/>
              </w:rPr>
            </w:pPr>
            <w:r w:rsidRPr="006D5559">
              <w:rPr>
                <w:sz w:val="26"/>
                <w:szCs w:val="26"/>
              </w:rPr>
              <w:t>Có cam kết bảo hành tối thiểu 03 tháng kể từ ngày nghiệm thu  bàn giao hàng hóa đưa vào sử dụng (bảo hành cho từng lần giao hàng và có cam kết xử lý sự cố trong vòng 24 giờ kể từ khi nhận được thông báo của  Chủ  đầu  tư  trong suốt thời gian bảo hành</w:t>
            </w:r>
          </w:p>
        </w:tc>
        <w:tc>
          <w:tcPr>
            <w:tcW w:w="2268" w:type="dxa"/>
            <w:tcBorders>
              <w:top w:val="single" w:sz="4" w:space="0" w:color="auto"/>
              <w:left w:val="single" w:sz="4" w:space="0" w:color="auto"/>
              <w:bottom w:val="single" w:sz="4" w:space="0" w:color="auto"/>
              <w:right w:val="single" w:sz="4" w:space="0" w:color="auto"/>
            </w:tcBorders>
          </w:tcPr>
          <w:p w:rsidR="006D5559" w:rsidRPr="006D5559" w:rsidRDefault="006D5559" w:rsidP="004F3CD2">
            <w:pPr>
              <w:spacing w:before="20" w:after="20"/>
              <w:rPr>
                <w:sz w:val="26"/>
                <w:szCs w:val="26"/>
              </w:rPr>
            </w:pPr>
            <w:r w:rsidRPr="006D5559">
              <w:rPr>
                <w:sz w:val="26"/>
                <w:szCs w:val="26"/>
              </w:rPr>
              <w:t xml:space="preserve">Không có cam kết hoặc có  cam  kết   nhưng không đáp ứng đầy đủ các yêu cầu </w:t>
            </w:r>
          </w:p>
        </w:tc>
      </w:tr>
      <w:tr w:rsidR="006D5559" w:rsidRPr="006D5559" w:rsidTr="004F3CD2">
        <w:tblPrEx>
          <w:tblBorders>
            <w:insideH w:val="single" w:sz="4" w:space="0" w:color="auto"/>
            <w:insideV w:val="single" w:sz="4" w:space="0" w:color="auto"/>
          </w:tblBorders>
          <w:tblCellMar>
            <w:left w:w="108" w:type="dxa"/>
            <w:right w:w="108" w:type="dxa"/>
          </w:tblCellMar>
        </w:tblPrEx>
        <w:trPr>
          <w:trHeight w:val="313"/>
        </w:trPr>
        <w:tc>
          <w:tcPr>
            <w:tcW w:w="588" w:type="dxa"/>
            <w:tcBorders>
              <w:top w:val="single" w:sz="4" w:space="0" w:color="auto"/>
              <w:left w:val="single" w:sz="4" w:space="0" w:color="auto"/>
              <w:bottom w:val="single" w:sz="4" w:space="0" w:color="auto"/>
              <w:right w:val="single" w:sz="4" w:space="0" w:color="auto"/>
            </w:tcBorders>
            <w:shd w:val="clear" w:color="auto" w:fill="auto"/>
          </w:tcPr>
          <w:p w:rsidR="006D5559" w:rsidRPr="006D5559" w:rsidRDefault="006D5559" w:rsidP="004F3CD2">
            <w:pPr>
              <w:spacing w:before="20" w:after="20"/>
              <w:rPr>
                <w:sz w:val="26"/>
                <w:szCs w:val="26"/>
              </w:rPr>
            </w:pPr>
            <w:r w:rsidRPr="006D5559">
              <w:rPr>
                <w:sz w:val="26"/>
                <w:szCs w:val="26"/>
              </w:rPr>
              <w:t>2</w:t>
            </w:r>
          </w:p>
        </w:tc>
        <w:tc>
          <w:tcPr>
            <w:tcW w:w="2559" w:type="dxa"/>
            <w:tcBorders>
              <w:top w:val="single" w:sz="4" w:space="0" w:color="auto"/>
              <w:left w:val="single" w:sz="4" w:space="0" w:color="auto"/>
              <w:bottom w:val="single" w:sz="4" w:space="0" w:color="auto"/>
              <w:right w:val="single" w:sz="4" w:space="0" w:color="auto"/>
            </w:tcBorders>
            <w:shd w:val="clear" w:color="auto" w:fill="auto"/>
          </w:tcPr>
          <w:p w:rsidR="006D5559" w:rsidRPr="006D5559" w:rsidRDefault="006D5559" w:rsidP="004F3CD2">
            <w:pPr>
              <w:spacing w:before="20" w:after="20"/>
              <w:rPr>
                <w:sz w:val="26"/>
                <w:szCs w:val="26"/>
              </w:rPr>
            </w:pPr>
            <w:r w:rsidRPr="006D5559">
              <w:rPr>
                <w:sz w:val="26"/>
                <w:szCs w:val="26"/>
              </w:rPr>
              <w:t>Cam kết của nhà thầu trong quá trình thực hiện gói thầu và Năng lực cung cấp dịch vụ sau bán hàng</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6D5559" w:rsidRPr="006D5559" w:rsidRDefault="006D5559" w:rsidP="004F3CD2">
            <w:pPr>
              <w:tabs>
                <w:tab w:val="left" w:pos="242"/>
              </w:tabs>
              <w:spacing w:before="20" w:after="20"/>
              <w:rPr>
                <w:rFonts w:eastAsia="Calibri"/>
                <w:snapToGrid w:val="0"/>
                <w:spacing w:val="-6"/>
                <w:sz w:val="26"/>
                <w:szCs w:val="26"/>
                <w:lang w:val="it-IT"/>
              </w:rPr>
            </w:pPr>
            <w:r w:rsidRPr="006D5559">
              <w:rPr>
                <w:spacing w:val="-6"/>
                <w:sz w:val="26"/>
                <w:szCs w:val="26"/>
                <w:lang w:val="it-IT"/>
              </w:rPr>
              <w:t xml:space="preserve">- Cam kết </w:t>
            </w:r>
            <w:r w:rsidRPr="006D5559">
              <w:rPr>
                <w:spacing w:val="-6"/>
                <w:sz w:val="26"/>
                <w:szCs w:val="26"/>
              </w:rPr>
              <w:t xml:space="preserve">giao </w:t>
            </w:r>
            <w:r w:rsidRPr="006D5559">
              <w:rPr>
                <w:spacing w:val="-6"/>
                <w:sz w:val="26"/>
                <w:szCs w:val="26"/>
                <w:lang w:val="pl-PL"/>
              </w:rPr>
              <w:t>và</w:t>
            </w:r>
            <w:r w:rsidRPr="006D5559">
              <w:rPr>
                <w:spacing w:val="-6"/>
                <w:sz w:val="26"/>
                <w:szCs w:val="26"/>
              </w:rPr>
              <w:t xml:space="preserve"> </w:t>
            </w:r>
            <w:r w:rsidRPr="006D5559">
              <w:rPr>
                <w:spacing w:val="-6"/>
                <w:sz w:val="26"/>
                <w:szCs w:val="26"/>
                <w:lang w:val="it-IT"/>
              </w:rPr>
              <w:t xml:space="preserve">đổi khi </w:t>
            </w:r>
            <w:r w:rsidRPr="006D5559">
              <w:rPr>
                <w:spacing w:val="-6"/>
                <w:sz w:val="26"/>
                <w:szCs w:val="26"/>
                <w:lang w:val="pl-PL"/>
              </w:rPr>
              <w:t>những hàng hóa thuộc dịch vụ</w:t>
            </w:r>
            <w:r w:rsidRPr="006D5559">
              <w:rPr>
                <w:spacing w:val="-6"/>
                <w:sz w:val="26"/>
                <w:szCs w:val="26"/>
                <w:lang w:val="it-IT"/>
              </w:rPr>
              <w:t xml:space="preserve"> bị lỗi về kỹ thuật. </w:t>
            </w:r>
            <w:r w:rsidRPr="006D5559">
              <w:rPr>
                <w:rFonts w:eastAsia="Calibri"/>
                <w:snapToGrid w:val="0"/>
                <w:spacing w:val="-6"/>
                <w:sz w:val="26"/>
                <w:szCs w:val="26"/>
                <w:lang w:val="it-IT"/>
              </w:rPr>
              <w:t xml:space="preserve">Đối với </w:t>
            </w:r>
            <w:r w:rsidRPr="006D5559">
              <w:rPr>
                <w:spacing w:val="-6"/>
                <w:sz w:val="26"/>
                <w:szCs w:val="26"/>
                <w:lang w:val="it-IT"/>
              </w:rPr>
              <w:t>hàng hóa thuộc</w:t>
            </w:r>
            <w:r w:rsidRPr="006D5559">
              <w:rPr>
                <w:rFonts w:eastAsia="Calibri"/>
                <w:snapToGrid w:val="0"/>
                <w:spacing w:val="-6"/>
                <w:sz w:val="26"/>
                <w:szCs w:val="26"/>
                <w:lang w:val="it-IT"/>
              </w:rPr>
              <w:t xml:space="preserve"> dịch vụ bị lỗi cam kết 01 đổi 01.</w:t>
            </w:r>
          </w:p>
          <w:p w:rsidR="006D5559" w:rsidRPr="006D5559" w:rsidRDefault="006D5559" w:rsidP="004F3CD2">
            <w:pPr>
              <w:spacing w:before="20" w:after="20"/>
              <w:ind w:right="43"/>
              <w:rPr>
                <w:spacing w:val="-6"/>
                <w:sz w:val="26"/>
                <w:szCs w:val="26"/>
                <w:lang w:val="it-IT"/>
              </w:rPr>
            </w:pPr>
            <w:r w:rsidRPr="006D5559">
              <w:rPr>
                <w:spacing w:val="-6"/>
                <w:sz w:val="26"/>
                <w:szCs w:val="26"/>
                <w:lang w:val="it-IT"/>
              </w:rPr>
              <w:t>-</w:t>
            </w:r>
            <w:r w:rsidRPr="006D5559">
              <w:rPr>
                <w:iCs/>
                <w:spacing w:val="-6"/>
                <w:sz w:val="26"/>
                <w:szCs w:val="26"/>
                <w:lang w:val="it-IT"/>
              </w:rPr>
              <w:t xml:space="preserve"> </w:t>
            </w:r>
            <w:r w:rsidRPr="006D5559">
              <w:rPr>
                <w:spacing w:val="-6"/>
                <w:sz w:val="26"/>
                <w:szCs w:val="26"/>
                <w:lang w:val="it-IT"/>
              </w:rPr>
              <w:t>Nhà thầu cam kết sau khi Chủ đầu tư kiểm tra vật liệu, quy cách, nội dung in, số lượng không đúng yêu cầu về kỹ thuật và nội dung HSMT, hợp đồng thì nhà thầu phải thu hồi những hàng hóa thuộc dịch vụ và khắc phục hậu quả cho Chủ đầu tư và phải đảm bảo tiến độ cung cấp kịp thời phát hành vé của chủ đầu tư.</w:t>
            </w:r>
          </w:p>
          <w:p w:rsidR="006D5559" w:rsidRPr="006D5559" w:rsidRDefault="006D5559" w:rsidP="004F3CD2">
            <w:pPr>
              <w:tabs>
                <w:tab w:val="left" w:pos="242"/>
              </w:tabs>
              <w:spacing w:before="20" w:after="20"/>
              <w:rPr>
                <w:spacing w:val="-6"/>
                <w:sz w:val="26"/>
                <w:szCs w:val="26"/>
                <w:lang w:val="it-IT"/>
              </w:rPr>
            </w:pPr>
            <w:r w:rsidRPr="006D5559">
              <w:rPr>
                <w:spacing w:val="-6"/>
                <w:sz w:val="26"/>
                <w:szCs w:val="26"/>
                <w:lang w:val="it-IT"/>
              </w:rPr>
              <w:t>- Cam kết thu hồi hàng hóa thuộc dịch vụ của gói thầu trong trường hợp hàng hóa thuộc dịch vụ của gói thầu đã giao nhưng không bảo đảm chất lượng.</w:t>
            </w:r>
          </w:p>
          <w:p w:rsidR="006D5559" w:rsidRPr="006D5559" w:rsidRDefault="006D5559" w:rsidP="004F3CD2">
            <w:pPr>
              <w:tabs>
                <w:tab w:val="left" w:pos="242"/>
              </w:tabs>
              <w:spacing w:before="20" w:after="20"/>
              <w:rPr>
                <w:spacing w:val="-6"/>
                <w:sz w:val="26"/>
                <w:szCs w:val="26"/>
                <w:lang w:val="it-IT"/>
              </w:rPr>
            </w:pPr>
            <w:r w:rsidRPr="006D5559">
              <w:rPr>
                <w:spacing w:val="-6"/>
                <w:sz w:val="26"/>
                <w:szCs w:val="26"/>
                <w:lang w:val="it-IT"/>
              </w:rPr>
              <w:t>- Cam kết trong suốt quá trình thực hiện hợp đồng (đối với nhà thầu trúng thầu) thì nhà thầu phải thực hiện việc in ấn đúng như những mẫu biểu của bên mời thầu.</w:t>
            </w:r>
          </w:p>
          <w:p w:rsidR="006D5559" w:rsidRPr="006D5559" w:rsidRDefault="006D5559" w:rsidP="004F3CD2">
            <w:pPr>
              <w:spacing w:before="20" w:after="20"/>
              <w:rPr>
                <w:sz w:val="26"/>
                <w:szCs w:val="26"/>
                <w:lang w:val="it-IT"/>
              </w:rPr>
            </w:pPr>
            <w:r w:rsidRPr="006D5559">
              <w:rPr>
                <w:spacing w:val="-6"/>
                <w:sz w:val="26"/>
                <w:szCs w:val="26"/>
                <w:lang w:val="it-IT"/>
              </w:rPr>
              <w:t>- Cam kết sau khi nhận được kế hoạch in vé của chủ đầu tư, nhà thầu thiết kế tạo mẫu vé theo kế hoạch, in màu cho chủ đầu tư duyệt trong vòng 36 giờ. Nhà thầu in thử mẫu vé, bằng máy in offset cho chủ đầu tư ký duyệt trong vòng 24 giờ. Khi nào Chủ đầu tư ký duyệt trên bản in offset mới được in hàng loạt.</w:t>
            </w:r>
          </w:p>
          <w:p w:rsidR="006D5559" w:rsidRPr="006D5559" w:rsidRDefault="006D5559" w:rsidP="004F3CD2">
            <w:pPr>
              <w:tabs>
                <w:tab w:val="left" w:pos="242"/>
              </w:tabs>
              <w:spacing w:before="20" w:after="20"/>
              <w:rPr>
                <w:sz w:val="26"/>
                <w:szCs w:val="26"/>
                <w:lang w:val="it-IT"/>
              </w:rPr>
            </w:pPr>
            <w:r w:rsidRPr="006D5559">
              <w:rPr>
                <w:iCs/>
                <w:sz w:val="26"/>
                <w:szCs w:val="26"/>
                <w:lang w:val="it-IT"/>
              </w:rPr>
              <w:t xml:space="preserve">- </w:t>
            </w:r>
            <w:r w:rsidRPr="006D5559">
              <w:rPr>
                <w:sz w:val="26"/>
                <w:szCs w:val="26"/>
                <w:lang w:val="it-IT"/>
              </w:rPr>
              <w:t xml:space="preserve">Cam kết chất liệu của hàng hóa thuộc dịch vụ của gói thầu không ảnh hưởng </w:t>
            </w:r>
            <w:r w:rsidRPr="006D5559">
              <w:rPr>
                <w:sz w:val="26"/>
                <w:szCs w:val="26"/>
                <w:lang w:val="it-IT"/>
              </w:rPr>
              <w:lastRenderedPageBreak/>
              <w:t>đến sức khỏe của người sử dụng. Trường hợp có ảnh hưởng đến sức khỏe của người sử dụng thì mọi trách nhiệm và chi phí sẽ do nhà thầu chịu.</w:t>
            </w:r>
          </w:p>
          <w:p w:rsidR="006D5559" w:rsidRPr="006D5559" w:rsidRDefault="006D5559" w:rsidP="004F3CD2">
            <w:pPr>
              <w:tabs>
                <w:tab w:val="left" w:pos="242"/>
              </w:tabs>
              <w:spacing w:before="20" w:after="20"/>
              <w:rPr>
                <w:sz w:val="26"/>
                <w:szCs w:val="26"/>
              </w:rPr>
            </w:pPr>
            <w:r w:rsidRPr="006D5559">
              <w:rPr>
                <w:sz w:val="26"/>
                <w:szCs w:val="26"/>
                <w:lang w:val="it-IT"/>
              </w:rPr>
              <w:t xml:space="preserve">- </w:t>
            </w:r>
            <w:r w:rsidRPr="006D5559">
              <w:rPr>
                <w:sz w:val="26"/>
                <w:szCs w:val="26"/>
                <w:lang w:val="pl-PL"/>
              </w:rPr>
              <w:t>Cam kết nhà thầu có uy tín trong việc tham dự thầu bao gồm thông tin quy định tại Điều 19, Điều 20 của Nghị định 214/2025/NĐ-CP ngày 04/8/2025</w:t>
            </w:r>
          </w:p>
        </w:tc>
        <w:tc>
          <w:tcPr>
            <w:tcW w:w="2268" w:type="dxa"/>
            <w:tcBorders>
              <w:top w:val="single" w:sz="4" w:space="0" w:color="auto"/>
              <w:left w:val="single" w:sz="4" w:space="0" w:color="auto"/>
              <w:bottom w:val="single" w:sz="4" w:space="0" w:color="auto"/>
              <w:right w:val="single" w:sz="4" w:space="0" w:color="auto"/>
            </w:tcBorders>
          </w:tcPr>
          <w:p w:rsidR="006D5559" w:rsidRPr="006D5559" w:rsidRDefault="006D5559" w:rsidP="004F3CD2">
            <w:pPr>
              <w:spacing w:before="20" w:after="20"/>
              <w:rPr>
                <w:sz w:val="26"/>
                <w:szCs w:val="26"/>
              </w:rPr>
            </w:pPr>
            <w:r w:rsidRPr="006D5559">
              <w:rPr>
                <w:sz w:val="26"/>
                <w:szCs w:val="26"/>
                <w:lang w:val="it-IT"/>
              </w:rPr>
              <w:lastRenderedPageBreak/>
              <w:t xml:space="preserve">Cam kết không </w:t>
            </w:r>
            <w:r w:rsidRPr="006D5559">
              <w:rPr>
                <w:sz w:val="26"/>
                <w:szCs w:val="26"/>
              </w:rPr>
              <w:t>đáp ứng đầy đủ các yêu cầu</w:t>
            </w:r>
            <w:r w:rsidRPr="006D5559">
              <w:rPr>
                <w:sz w:val="26"/>
                <w:szCs w:val="26"/>
                <w:lang w:val="it-IT"/>
              </w:rPr>
              <w:t xml:space="preserve"> hoặc không có cam kết theo yêu cầu như bên</w:t>
            </w:r>
          </w:p>
        </w:tc>
      </w:tr>
      <w:tr w:rsidR="006D5559" w:rsidRPr="006D5559" w:rsidTr="004F3CD2">
        <w:tblPrEx>
          <w:tblBorders>
            <w:insideH w:val="single" w:sz="4" w:space="0" w:color="auto"/>
            <w:insideV w:val="single" w:sz="4" w:space="0" w:color="auto"/>
          </w:tblBorders>
          <w:tblCellMar>
            <w:left w:w="108" w:type="dxa"/>
            <w:right w:w="108" w:type="dxa"/>
          </w:tblCellMar>
        </w:tblPrEx>
        <w:trPr>
          <w:trHeight w:val="313"/>
        </w:trPr>
        <w:tc>
          <w:tcPr>
            <w:tcW w:w="588" w:type="dxa"/>
            <w:tcBorders>
              <w:top w:val="single" w:sz="4" w:space="0" w:color="auto"/>
              <w:left w:val="single" w:sz="4" w:space="0" w:color="auto"/>
              <w:bottom w:val="single" w:sz="4" w:space="0" w:color="auto"/>
              <w:right w:val="single" w:sz="4" w:space="0" w:color="auto"/>
            </w:tcBorders>
            <w:shd w:val="clear" w:color="auto" w:fill="auto"/>
          </w:tcPr>
          <w:p w:rsidR="006D5559" w:rsidRPr="006D5559" w:rsidRDefault="006D5559" w:rsidP="004F3CD2">
            <w:pPr>
              <w:spacing w:before="20" w:after="20"/>
              <w:rPr>
                <w:sz w:val="26"/>
                <w:szCs w:val="26"/>
              </w:rPr>
            </w:pPr>
            <w:r w:rsidRPr="006D5559">
              <w:rPr>
                <w:sz w:val="26"/>
                <w:szCs w:val="26"/>
              </w:rPr>
              <w:lastRenderedPageBreak/>
              <w:t>4</w:t>
            </w:r>
          </w:p>
        </w:tc>
        <w:tc>
          <w:tcPr>
            <w:tcW w:w="2559" w:type="dxa"/>
            <w:tcBorders>
              <w:top w:val="single" w:sz="4" w:space="0" w:color="auto"/>
              <w:left w:val="single" w:sz="4" w:space="0" w:color="auto"/>
              <w:bottom w:val="single" w:sz="4" w:space="0" w:color="auto"/>
              <w:right w:val="single" w:sz="4" w:space="0" w:color="auto"/>
            </w:tcBorders>
            <w:shd w:val="clear" w:color="auto" w:fill="auto"/>
          </w:tcPr>
          <w:p w:rsidR="006D5559" w:rsidRPr="006D5559" w:rsidRDefault="006D5559" w:rsidP="004F3CD2">
            <w:pPr>
              <w:spacing w:before="20" w:after="20"/>
              <w:rPr>
                <w:rFonts w:eastAsia="Calibri"/>
                <w:sz w:val="26"/>
                <w:szCs w:val="26"/>
                <w:lang w:val="pl-PL"/>
              </w:rPr>
            </w:pPr>
            <w:r w:rsidRPr="006D5559">
              <w:rPr>
                <w:rFonts w:eastAsia="Calibri"/>
                <w:sz w:val="26"/>
                <w:szCs w:val="26"/>
                <w:lang w:val="pl-PL"/>
              </w:rPr>
              <w:t xml:space="preserve">Yêu cầu về Bảo vệ môi trường </w:t>
            </w:r>
          </w:p>
          <w:p w:rsidR="006D5559" w:rsidRPr="006D5559" w:rsidRDefault="006D5559" w:rsidP="004F3CD2">
            <w:pPr>
              <w:spacing w:before="20" w:after="20"/>
              <w:rPr>
                <w:rFonts w:eastAsia="Calibri"/>
                <w:sz w:val="26"/>
                <w:szCs w:val="26"/>
                <w:lang w:val="pl-PL"/>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6D5559" w:rsidRPr="006D5559" w:rsidRDefault="006D5559" w:rsidP="004F3CD2">
            <w:pPr>
              <w:tabs>
                <w:tab w:val="left" w:pos="242"/>
              </w:tabs>
              <w:spacing w:before="20" w:after="20"/>
              <w:rPr>
                <w:sz w:val="26"/>
                <w:szCs w:val="26"/>
                <w:lang w:val="pl-PL"/>
              </w:rPr>
            </w:pPr>
            <w:r w:rsidRPr="006D5559">
              <w:rPr>
                <w:sz w:val="26"/>
                <w:szCs w:val="26"/>
                <w:lang w:val="pl-PL"/>
              </w:rPr>
              <w:t>Nhà thầu (hoặc đơn vị in ấn đối với nhà thầu không trực tiếp in ấn) cam kết có giấy phép môi trường hoặc chứng nhận ISO về môi trường hoặc tài liệu môi trường có giá trị tương tự .</w:t>
            </w:r>
          </w:p>
          <w:p w:rsidR="006D5559" w:rsidRPr="006D5559" w:rsidRDefault="006D5559" w:rsidP="004F3CD2">
            <w:pPr>
              <w:tabs>
                <w:tab w:val="left" w:pos="242"/>
              </w:tabs>
              <w:spacing w:before="20" w:after="20"/>
              <w:rPr>
                <w:sz w:val="26"/>
                <w:szCs w:val="26"/>
                <w:lang w:val="pl-PL"/>
              </w:rPr>
            </w:pPr>
            <w:r w:rsidRPr="006D5559">
              <w:rPr>
                <w:sz w:val="26"/>
                <w:szCs w:val="26"/>
                <w:lang w:val="pl-PL"/>
              </w:rPr>
              <w:t>Cam kết quá trình thực hiện gói thầu tất cả vấn đề về xử lý nước thải xảy ra do nhà thầu chịu trách nhiệm không ảnh hưởng tiến độ thực hiện gói thầu và chủ đầu tư.</w:t>
            </w:r>
          </w:p>
          <w:p w:rsidR="006D5559" w:rsidRPr="006D5559" w:rsidRDefault="006D5559" w:rsidP="004F3CD2">
            <w:pPr>
              <w:tabs>
                <w:tab w:val="left" w:pos="242"/>
              </w:tabs>
              <w:spacing w:before="20" w:after="20"/>
              <w:rPr>
                <w:sz w:val="26"/>
                <w:szCs w:val="26"/>
                <w:lang w:val="pl-PL"/>
              </w:rPr>
            </w:pPr>
            <w:r w:rsidRPr="006D5559">
              <w:rPr>
                <w:i/>
                <w:sz w:val="26"/>
                <w:szCs w:val="26"/>
                <w:lang w:val="pl-PL"/>
              </w:rPr>
              <w:t>* Nhà thầu cam kết cung cấp tài liệu cho chủ đầu tư khi được mời đối chếu tài liệu.</w:t>
            </w:r>
          </w:p>
        </w:tc>
        <w:tc>
          <w:tcPr>
            <w:tcW w:w="2268" w:type="dxa"/>
            <w:tcBorders>
              <w:top w:val="single" w:sz="4" w:space="0" w:color="auto"/>
              <w:left w:val="single" w:sz="4" w:space="0" w:color="auto"/>
              <w:bottom w:val="single" w:sz="4" w:space="0" w:color="auto"/>
              <w:right w:val="single" w:sz="4" w:space="0" w:color="auto"/>
            </w:tcBorders>
          </w:tcPr>
          <w:p w:rsidR="006D5559" w:rsidRPr="006D5559" w:rsidRDefault="006D5559" w:rsidP="004F3CD2">
            <w:pPr>
              <w:spacing w:before="20" w:after="20"/>
              <w:rPr>
                <w:sz w:val="26"/>
                <w:szCs w:val="26"/>
                <w:lang w:val="it-IT"/>
              </w:rPr>
            </w:pPr>
            <w:r w:rsidRPr="006D5559">
              <w:rPr>
                <w:sz w:val="26"/>
                <w:szCs w:val="26"/>
                <w:lang w:val="it-IT"/>
              </w:rPr>
              <w:t>Không đáp ứng yêu cầu</w:t>
            </w:r>
          </w:p>
        </w:tc>
      </w:tr>
      <w:tr w:rsidR="006D5559" w:rsidRPr="006D5559" w:rsidTr="004F3CD2">
        <w:tblPrEx>
          <w:tblBorders>
            <w:insideH w:val="single" w:sz="4" w:space="0" w:color="auto"/>
            <w:insideV w:val="single" w:sz="4" w:space="0" w:color="auto"/>
          </w:tblBorders>
          <w:tblCellMar>
            <w:left w:w="108" w:type="dxa"/>
            <w:right w:w="108" w:type="dxa"/>
          </w:tblCellMar>
        </w:tblPrEx>
        <w:trPr>
          <w:trHeight w:val="938"/>
        </w:trPr>
        <w:tc>
          <w:tcPr>
            <w:tcW w:w="588" w:type="dxa"/>
            <w:tcBorders>
              <w:top w:val="single" w:sz="4" w:space="0" w:color="auto"/>
              <w:left w:val="single" w:sz="4" w:space="0" w:color="auto"/>
              <w:bottom w:val="single" w:sz="4" w:space="0" w:color="auto"/>
              <w:right w:val="single" w:sz="4" w:space="0" w:color="auto"/>
            </w:tcBorders>
            <w:shd w:val="clear" w:color="auto" w:fill="auto"/>
          </w:tcPr>
          <w:p w:rsidR="006D5559" w:rsidRPr="006D5559" w:rsidRDefault="006D5559" w:rsidP="004F3CD2">
            <w:pPr>
              <w:spacing w:before="20" w:after="20"/>
              <w:rPr>
                <w:sz w:val="26"/>
                <w:szCs w:val="26"/>
              </w:rPr>
            </w:pPr>
            <w:r w:rsidRPr="006D5559">
              <w:rPr>
                <w:sz w:val="26"/>
                <w:szCs w:val="26"/>
              </w:rPr>
              <w:t>5</w:t>
            </w:r>
          </w:p>
        </w:tc>
        <w:tc>
          <w:tcPr>
            <w:tcW w:w="2559" w:type="dxa"/>
            <w:tcBorders>
              <w:top w:val="single" w:sz="4" w:space="0" w:color="auto"/>
              <w:left w:val="single" w:sz="4" w:space="0" w:color="auto"/>
              <w:bottom w:val="single" w:sz="4" w:space="0" w:color="auto"/>
              <w:right w:val="single" w:sz="4" w:space="0" w:color="auto"/>
            </w:tcBorders>
            <w:shd w:val="clear" w:color="auto" w:fill="auto"/>
          </w:tcPr>
          <w:p w:rsidR="006D5559" w:rsidRPr="006D5559" w:rsidRDefault="006D5559" w:rsidP="004F3CD2">
            <w:pPr>
              <w:spacing w:before="20" w:after="20"/>
              <w:rPr>
                <w:rFonts w:eastAsia="Calibri"/>
                <w:sz w:val="26"/>
                <w:szCs w:val="26"/>
                <w:lang w:val="pl-PL"/>
              </w:rPr>
            </w:pPr>
            <w:r w:rsidRPr="006D5559">
              <w:rPr>
                <w:rFonts w:eastAsia="Calibri"/>
                <w:sz w:val="26"/>
                <w:szCs w:val="26"/>
                <w:lang w:val="pl-PL"/>
              </w:rPr>
              <w:t>Tài liệu khác</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6D5559" w:rsidRPr="006D5559" w:rsidRDefault="006D5559" w:rsidP="004F3CD2">
            <w:pPr>
              <w:spacing w:before="20" w:after="20"/>
              <w:rPr>
                <w:sz w:val="26"/>
                <w:szCs w:val="26"/>
                <w:lang w:val="pl-PL"/>
              </w:rPr>
            </w:pPr>
            <w:r w:rsidRPr="006D5559">
              <w:rPr>
                <w:sz w:val="26"/>
                <w:szCs w:val="26"/>
                <w:lang w:val="pl-PL"/>
              </w:rPr>
              <w:t>Có các hồ sơ (Bản gốc hoặc Bản chứng thực) chứng minh đủ điều kiện sản xuất cho hoạt động in.</w:t>
            </w:r>
          </w:p>
        </w:tc>
        <w:tc>
          <w:tcPr>
            <w:tcW w:w="2268" w:type="dxa"/>
            <w:tcBorders>
              <w:top w:val="single" w:sz="4" w:space="0" w:color="auto"/>
              <w:left w:val="single" w:sz="4" w:space="0" w:color="auto"/>
              <w:bottom w:val="single" w:sz="4" w:space="0" w:color="auto"/>
              <w:right w:val="single" w:sz="4" w:space="0" w:color="auto"/>
            </w:tcBorders>
          </w:tcPr>
          <w:p w:rsidR="006D5559" w:rsidRPr="006D5559" w:rsidRDefault="006D5559" w:rsidP="004F3CD2">
            <w:pPr>
              <w:spacing w:before="20" w:after="20"/>
              <w:rPr>
                <w:sz w:val="26"/>
                <w:szCs w:val="26"/>
                <w:lang w:val="it-IT"/>
              </w:rPr>
            </w:pPr>
            <w:r w:rsidRPr="006D5559">
              <w:rPr>
                <w:sz w:val="26"/>
                <w:szCs w:val="26"/>
                <w:lang w:val="pl-PL"/>
              </w:rPr>
              <w:t>Thiếu hồ sơ hoặc không có</w:t>
            </w:r>
          </w:p>
        </w:tc>
      </w:tr>
      <w:bookmarkEnd w:id="0"/>
    </w:tbl>
    <w:p w:rsidR="00FF292D" w:rsidRPr="006D5559" w:rsidRDefault="00FF292D"/>
    <w:sectPr w:rsidR="00FF292D" w:rsidRPr="006D5559" w:rsidSect="00273D7D">
      <w:pgSz w:w="11906" w:h="16838" w:code="9"/>
      <w:pgMar w:top="851" w:right="851" w:bottom="851" w:left="1134" w:header="720" w:footer="709"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5559"/>
    <w:rsid w:val="00007A0F"/>
    <w:rsid w:val="0002471B"/>
    <w:rsid w:val="00032148"/>
    <w:rsid w:val="00036A7A"/>
    <w:rsid w:val="0004241E"/>
    <w:rsid w:val="00070595"/>
    <w:rsid w:val="0007590F"/>
    <w:rsid w:val="000B3B15"/>
    <w:rsid w:val="000B77D0"/>
    <w:rsid w:val="001C7479"/>
    <w:rsid w:val="00223069"/>
    <w:rsid w:val="00273D7D"/>
    <w:rsid w:val="002C5463"/>
    <w:rsid w:val="003334F5"/>
    <w:rsid w:val="00391385"/>
    <w:rsid w:val="003D6E6F"/>
    <w:rsid w:val="00427012"/>
    <w:rsid w:val="004B4D16"/>
    <w:rsid w:val="005262BC"/>
    <w:rsid w:val="005A04BE"/>
    <w:rsid w:val="00657505"/>
    <w:rsid w:val="00671EFA"/>
    <w:rsid w:val="006D00EE"/>
    <w:rsid w:val="006D2496"/>
    <w:rsid w:val="006D5559"/>
    <w:rsid w:val="006F3208"/>
    <w:rsid w:val="00704B95"/>
    <w:rsid w:val="00773D29"/>
    <w:rsid w:val="007905E3"/>
    <w:rsid w:val="007B1FA9"/>
    <w:rsid w:val="007C23F3"/>
    <w:rsid w:val="007F0287"/>
    <w:rsid w:val="008D6767"/>
    <w:rsid w:val="00945ABE"/>
    <w:rsid w:val="0094680C"/>
    <w:rsid w:val="009C05C1"/>
    <w:rsid w:val="009C595A"/>
    <w:rsid w:val="00A11FBC"/>
    <w:rsid w:val="00A53CAB"/>
    <w:rsid w:val="00AA2D47"/>
    <w:rsid w:val="00AB1C49"/>
    <w:rsid w:val="00AB5894"/>
    <w:rsid w:val="00B131E4"/>
    <w:rsid w:val="00C14F11"/>
    <w:rsid w:val="00D577E2"/>
    <w:rsid w:val="00D71C52"/>
    <w:rsid w:val="00D776D2"/>
    <w:rsid w:val="00DF650C"/>
    <w:rsid w:val="00E040B5"/>
    <w:rsid w:val="00E554A3"/>
    <w:rsid w:val="00E641FE"/>
    <w:rsid w:val="00ED4FB7"/>
    <w:rsid w:val="00EF755D"/>
    <w:rsid w:val="00F702FD"/>
    <w:rsid w:val="00FA74C9"/>
    <w:rsid w:val="00FA7B7E"/>
    <w:rsid w:val="00FC224A"/>
    <w:rsid w:val="00FD2191"/>
    <w:rsid w:val="00FF111B"/>
    <w:rsid w:val="00FF29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5559"/>
    <w:pPr>
      <w:jc w:val="both"/>
    </w:pPr>
    <w:rPr>
      <w:rFonts w:eastAsia="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5559"/>
    <w:pPr>
      <w:jc w:val="both"/>
    </w:pPr>
    <w:rPr>
      <w:rFonts w:eastAsia="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1453</Words>
  <Characters>8288</Characters>
  <Application>Microsoft Office Word</Application>
  <DocSecurity>0</DocSecurity>
  <Lines>69</Lines>
  <Paragraphs>19</Paragraphs>
  <ScaleCrop>false</ScaleCrop>
  <Company/>
  <LinksUpToDate>false</LinksUpToDate>
  <CharactersWithSpaces>9722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2025-11-17T02:43:00Z</dcterms:created>
  <dcterms:modified xsi:type="dcterms:W3CDTF">2025-11-17T02:44:00Z</dcterms:modified>
</cp:coreProperties>
</file>