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C4A5" w14:textId="77777777" w:rsidR="001C64CC" w:rsidRPr="00F5142B" w:rsidRDefault="001C64CC" w:rsidP="001C64CC">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6447C9E0" w14:textId="77777777" w:rsidR="001C64CC" w:rsidRPr="00F5142B" w:rsidRDefault="001C64CC" w:rsidP="001C64CC">
      <w:pPr>
        <w:pStyle w:val="Style11"/>
        <w:tabs>
          <w:tab w:val="left" w:pos="0"/>
          <w:tab w:val="left" w:pos="851"/>
          <w:tab w:val="left" w:pos="1418"/>
        </w:tabs>
        <w:spacing w:before="120" w:after="120" w:line="264" w:lineRule="auto"/>
        <w:ind w:firstLine="567"/>
        <w:jc w:val="center"/>
        <w:rPr>
          <w:b/>
          <w:sz w:val="28"/>
          <w:szCs w:val="28"/>
          <w:lang w:val="vi-VN"/>
        </w:rPr>
      </w:pPr>
    </w:p>
    <w:p w14:paraId="311891B5" w14:textId="77777777" w:rsidR="001C64CC" w:rsidRPr="00F5142B" w:rsidRDefault="001C64CC" w:rsidP="001C64CC">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169AA5D9" w14:textId="77777777" w:rsidR="001C64CC" w:rsidRPr="00F5142B" w:rsidRDefault="001C64CC" w:rsidP="001C64CC">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14:paraId="45D9282F" w14:textId="77777777" w:rsidR="001C64CC" w:rsidRDefault="001C64CC" w:rsidP="001C64CC">
      <w:pPr>
        <w:shd w:val="clear" w:color="auto" w:fill="FFFFFF"/>
        <w:spacing w:before="40" w:after="40"/>
        <w:ind w:firstLine="709"/>
        <w:rPr>
          <w:color w:val="000000"/>
          <w:sz w:val="28"/>
          <w:szCs w:val="28"/>
        </w:rPr>
      </w:pPr>
      <w:r>
        <w:rPr>
          <w:color w:val="000000"/>
          <w:sz w:val="28"/>
          <w:szCs w:val="28"/>
        </w:rPr>
        <w:t>1.1. Tên công trình: Duy tu, bảo dưỡng công trình kè rọ đá hộc bảo vệ ruộng lúa nước nhân dân bản Lưu Phong.</w:t>
      </w:r>
    </w:p>
    <w:p w14:paraId="36E76F50" w14:textId="77777777" w:rsidR="001C64CC" w:rsidRDefault="001C64CC" w:rsidP="001C64CC">
      <w:pPr>
        <w:shd w:val="clear" w:color="auto" w:fill="FFFFFF"/>
        <w:spacing w:before="40" w:after="40"/>
        <w:ind w:firstLine="709"/>
        <w:rPr>
          <w:color w:val="000000"/>
          <w:sz w:val="28"/>
          <w:szCs w:val="28"/>
        </w:rPr>
      </w:pPr>
      <w:r>
        <w:rPr>
          <w:color w:val="000000"/>
          <w:sz w:val="28"/>
          <w:szCs w:val="28"/>
        </w:rPr>
        <w:t>1.2. Chủ đầu tư: UBND xã Tương Dương.</w:t>
      </w:r>
    </w:p>
    <w:p w14:paraId="67A61A8A" w14:textId="77777777" w:rsidR="001C64CC" w:rsidRDefault="001C64CC" w:rsidP="001C64CC">
      <w:pPr>
        <w:shd w:val="clear" w:color="auto" w:fill="FFFFFF"/>
        <w:spacing w:before="40"/>
        <w:ind w:firstLine="720"/>
        <w:rPr>
          <w:color w:val="000000"/>
          <w:sz w:val="28"/>
          <w:szCs w:val="28"/>
        </w:rPr>
      </w:pPr>
      <w:r>
        <w:rPr>
          <w:color w:val="000000"/>
          <w:sz w:val="28"/>
          <w:szCs w:val="28"/>
        </w:rPr>
        <w:t>1.3. Tên gói thầu: Gói thầu số 01: Toàn bộ phần xây lắp xây dựng công trình.</w:t>
      </w:r>
    </w:p>
    <w:p w14:paraId="6A550F19" w14:textId="77777777" w:rsidR="001C64CC" w:rsidRDefault="001C64CC" w:rsidP="001C64CC">
      <w:pPr>
        <w:shd w:val="clear" w:color="auto" w:fill="FFFFFF"/>
        <w:spacing w:before="40"/>
        <w:ind w:firstLine="720"/>
        <w:rPr>
          <w:color w:val="000000"/>
          <w:spacing w:val="-4"/>
          <w:sz w:val="28"/>
          <w:szCs w:val="28"/>
        </w:rPr>
      </w:pPr>
      <w:r>
        <w:rPr>
          <w:color w:val="000000"/>
          <w:spacing w:val="-4"/>
          <w:sz w:val="28"/>
          <w:szCs w:val="28"/>
        </w:rPr>
        <w:t>1.4. Địa điểm xây dựng: Xã Tương Dương, tỉnh Nghệ An.</w:t>
      </w:r>
    </w:p>
    <w:p w14:paraId="5C3132A8" w14:textId="77777777" w:rsidR="001C64CC" w:rsidRDefault="001C64CC" w:rsidP="001C64CC">
      <w:pPr>
        <w:shd w:val="clear" w:color="auto" w:fill="FFFFFF"/>
        <w:spacing w:before="40"/>
        <w:ind w:firstLine="720"/>
        <w:rPr>
          <w:color w:val="000000"/>
          <w:spacing w:val="-4"/>
          <w:sz w:val="28"/>
          <w:szCs w:val="28"/>
        </w:rPr>
      </w:pPr>
      <w:r>
        <w:rPr>
          <w:color w:val="000000"/>
          <w:spacing w:val="-4"/>
          <w:sz w:val="28"/>
          <w:szCs w:val="28"/>
        </w:rPr>
        <w:t xml:space="preserve">1.5. Giá gói thầu: </w:t>
      </w:r>
      <w:r w:rsidRPr="006B3346">
        <w:rPr>
          <w:color w:val="000000"/>
          <w:spacing w:val="-4"/>
          <w:sz w:val="28"/>
          <w:szCs w:val="28"/>
        </w:rPr>
        <w:t>2.808.796.000</w:t>
      </w:r>
      <w:r>
        <w:rPr>
          <w:color w:val="000000"/>
          <w:spacing w:val="-4"/>
          <w:sz w:val="28"/>
          <w:szCs w:val="28"/>
        </w:rPr>
        <w:t xml:space="preserve"> VNĐ</w:t>
      </w:r>
    </w:p>
    <w:p w14:paraId="66714B8B" w14:textId="77777777" w:rsidR="001C64CC" w:rsidRDefault="001C64CC" w:rsidP="001C64CC">
      <w:pPr>
        <w:shd w:val="clear" w:color="auto" w:fill="FFFFFF"/>
        <w:spacing w:before="40"/>
        <w:ind w:firstLine="720"/>
        <w:rPr>
          <w:color w:val="000000"/>
          <w:spacing w:val="-4"/>
          <w:sz w:val="28"/>
          <w:szCs w:val="28"/>
        </w:rPr>
      </w:pPr>
      <w:r>
        <w:rPr>
          <w:color w:val="000000"/>
          <w:spacing w:val="-4"/>
          <w:sz w:val="28"/>
          <w:szCs w:val="28"/>
        </w:rPr>
        <w:t xml:space="preserve">1.6. Mục tiêu đầu tư xây dựng: </w:t>
      </w:r>
      <w:r w:rsidRPr="00395FCC">
        <w:rPr>
          <w:color w:val="000000"/>
          <w:spacing w:val="-4"/>
          <w:sz w:val="28"/>
          <w:szCs w:val="28"/>
        </w:rPr>
        <w:t>Nhằm tăng cường khả năng phòng chống thiên tai, bảo vệ ruộng lúa góp phần duy trì, phát triển sản xuất nông nghiệp ổn định hạn chế trình trạng sạt lở, xói mòn đất canh tác do tác động của mưa lũ và dòng chảy đảm bảo an ninh lương thực và nâng cao đời sống của nhân dân trong khu vực</w:t>
      </w:r>
      <w:r>
        <w:rPr>
          <w:color w:val="000000"/>
          <w:spacing w:val="-4"/>
          <w:sz w:val="28"/>
          <w:szCs w:val="28"/>
        </w:rPr>
        <w:t>.</w:t>
      </w:r>
    </w:p>
    <w:p w14:paraId="236BFEA5" w14:textId="77777777" w:rsidR="001C64CC" w:rsidRDefault="001C64CC" w:rsidP="001C64CC">
      <w:pPr>
        <w:shd w:val="clear" w:color="auto" w:fill="FFFFFF"/>
        <w:spacing w:before="40"/>
        <w:ind w:firstLine="720"/>
        <w:rPr>
          <w:color w:val="000000"/>
          <w:sz w:val="28"/>
          <w:szCs w:val="28"/>
        </w:rPr>
      </w:pPr>
      <w:r>
        <w:rPr>
          <w:color w:val="000000"/>
          <w:sz w:val="28"/>
          <w:szCs w:val="28"/>
        </w:rPr>
        <w:t xml:space="preserve">1.7. Phạm vi công việc của gói thầu: </w:t>
      </w:r>
    </w:p>
    <w:p w14:paraId="0114D00B" w14:textId="77777777" w:rsidR="001C64CC" w:rsidRPr="00DE4396" w:rsidRDefault="001C64CC" w:rsidP="001C64CC">
      <w:pPr>
        <w:widowControl w:val="0"/>
        <w:spacing w:before="40" w:after="40"/>
        <w:ind w:firstLine="720"/>
        <w:rPr>
          <w:b/>
          <w:bCs/>
          <w:color w:val="000000"/>
          <w:sz w:val="28"/>
          <w:szCs w:val="28"/>
        </w:rPr>
      </w:pPr>
      <w:r w:rsidRPr="00DE4396">
        <w:rPr>
          <w:b/>
          <w:bCs/>
          <w:color w:val="000000"/>
          <w:sz w:val="28"/>
          <w:szCs w:val="28"/>
        </w:rPr>
        <w:t>* Quy mô:</w:t>
      </w:r>
    </w:p>
    <w:p w14:paraId="167DF025"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Đoạn 01: Xây dựng 04 vị trí kè tường chắn, vị trí 01 dài 97,0m cao 3,0m ; vị trí 02 dài 85,5m cao 3,0m ; vị trí 03 dài 58,0m cao 2,0m; vị trí 04 dài 95,5m cao 2,0m. </w:t>
      </w:r>
    </w:p>
    <w:p w14:paraId="78726D1E"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Đoạn 02 kè tường chắn rọ đá dài 59,0m, cao 3,0m. </w:t>
      </w:r>
    </w:p>
    <w:p w14:paraId="58D10DA6"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Đoạn 03 kè tường chắn rọ đá dài 31,0m, cao 3,0m. </w:t>
      </w:r>
    </w:p>
    <w:p w14:paraId="67057132"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Đoạn 04 kè tường chắn rọ đá dài 54,0m, cao 3,0m. </w:t>
      </w:r>
    </w:p>
    <w:p w14:paraId="56D4677A" w14:textId="77777777" w:rsidR="001C64CC" w:rsidRDefault="001C64CC" w:rsidP="001C64CC">
      <w:pPr>
        <w:widowControl w:val="0"/>
        <w:spacing w:before="40" w:after="40"/>
        <w:ind w:firstLine="720"/>
        <w:rPr>
          <w:b/>
          <w:bCs/>
          <w:color w:val="000000"/>
          <w:sz w:val="28"/>
          <w:szCs w:val="28"/>
        </w:rPr>
      </w:pPr>
      <w:r w:rsidRPr="00DE4396">
        <w:rPr>
          <w:b/>
          <w:bCs/>
          <w:color w:val="000000"/>
          <w:sz w:val="28"/>
          <w:szCs w:val="28"/>
        </w:rPr>
        <w:t>* Giải pháp thiết kế</w:t>
      </w:r>
      <w:r>
        <w:rPr>
          <w:b/>
          <w:bCs/>
          <w:color w:val="000000"/>
          <w:sz w:val="28"/>
          <w:szCs w:val="28"/>
        </w:rPr>
        <w:t>:</w:t>
      </w:r>
    </w:p>
    <w:p w14:paraId="2D9284C5" w14:textId="77777777" w:rsidR="001C64CC" w:rsidRPr="00DE4396" w:rsidRDefault="001C64CC" w:rsidP="001C64CC">
      <w:pPr>
        <w:widowControl w:val="0"/>
        <w:spacing w:before="40" w:after="40"/>
        <w:ind w:firstLine="720"/>
        <w:rPr>
          <w:b/>
          <w:bCs/>
          <w:color w:val="000000"/>
          <w:sz w:val="28"/>
          <w:szCs w:val="28"/>
        </w:rPr>
      </w:pPr>
      <w:r w:rsidRPr="00DE4396">
        <w:rPr>
          <w:b/>
          <w:bCs/>
          <w:color w:val="000000"/>
          <w:sz w:val="28"/>
          <w:szCs w:val="28"/>
        </w:rPr>
        <w:t xml:space="preserve"> a. Xây dựng 04 đoạn kè tường chắn rọ đá dài cao từ 2,0 đến 3,0m, cụ thể </w:t>
      </w:r>
    </w:p>
    <w:p w14:paraId="68FC3E0C"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Đoạn 01: Xây dựng 04 vị trí kè tường chắn, vị trí 01 dài 97,0m cao 3,0m ; vị trí 02 dài 85,5m cao 3,0m ; vị trí 03 dài 58,0m cao 2,0m; vị trí 04 dài 61,0m cao 2,0m. + Vị trí 01 từ Km0+0,34 -:- Km0+97,34 dài 97,0m: Sạt lở đất sát vào ruộng lúa, xây dựng mới tường chắn rọ đá cao 3,0m. + Vị trí 02 từ Km0+243,51 -:- Km0+329,09 dài 85,5m vị trí sạt lở rọ đá cũ xây dựng mới tường chắn rọ đá cao 3,0m. + Vị trí 03 từ Km0+432,21 - :- Km0+490,00 dài 58,0m và vị trí 04 từ Km0+517,34 -:- Km0+578,34 dài 61,0m </w:t>
      </w:r>
      <w:r w:rsidRPr="00DE4396">
        <w:rPr>
          <w:color w:val="000000"/>
          <w:sz w:val="28"/>
          <w:szCs w:val="28"/>
        </w:rPr>
        <w:lastRenderedPageBreak/>
        <w:t xml:space="preserve">hai vị trí này sạt lở sát vào ruộng lúa dựng mới tường chắn rọ đá cao 2,0m. </w:t>
      </w:r>
    </w:p>
    <w:p w14:paraId="2FE55350"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Đoạn 02: Từ Km0+18,26 - :- Km0+77,26 dài 59,0m vị trí sạt lở rọ đá cũ xây dựng mới tường chắn rọ đá cao 3,0m. </w:t>
      </w:r>
    </w:p>
    <w:p w14:paraId="0BB9EEB2"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Đoạn 03: Từ Km0+0,00 - :- Km0+31,00 dài 31,0m vị trí sạt lở rọ đá cũ xây dựng mới tường chắn rọ đá cao 3,0m. </w:t>
      </w:r>
    </w:p>
    <w:p w14:paraId="7706D2D7"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Đoạn 04: Từ Km0+0,00 -:- Km0+54,00, dài 54,0m vị trí sạt lở sát vào ruộng lúa , xây dựng mới tường chắn cao 3,0m. </w:t>
      </w:r>
    </w:p>
    <w:p w14:paraId="5BD37A70" w14:textId="77777777" w:rsidR="001C64CC" w:rsidRDefault="001C64CC" w:rsidP="001C64CC">
      <w:pPr>
        <w:widowControl w:val="0"/>
        <w:spacing w:before="40" w:after="40"/>
        <w:ind w:firstLine="720"/>
        <w:rPr>
          <w:b/>
          <w:bCs/>
          <w:color w:val="000000"/>
          <w:sz w:val="28"/>
          <w:szCs w:val="28"/>
        </w:rPr>
      </w:pPr>
      <w:r w:rsidRPr="00DE4396">
        <w:rPr>
          <w:b/>
          <w:bCs/>
          <w:color w:val="000000"/>
          <w:sz w:val="28"/>
          <w:szCs w:val="28"/>
        </w:rPr>
        <w:t>b. Loại rọ và hình thực xếp rọ</w:t>
      </w:r>
    </w:p>
    <w:p w14:paraId="5B0D1019"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 Kè rọ đá được xếp bằng rọ mạ kẽm bọc nhựa tiêu chuẩn BS443, lưỡi xoẵn kép 2 (có bọc nhựa ko) vòng kích thước mắt lưới 8x10cm, đường kính sợi mắt lưới 2,7mm, đường kính dây viền 3,4mm, sợi buộc 2,2mm. </w:t>
      </w:r>
    </w:p>
    <w:p w14:paraId="1F2F8120"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Các vị trí Tường chắn rọ đá cao 3,0m: Xếp 03 lớp rọ, lớp 01 dùng rọ đá kích thước 2x1x1,0m xếp 02 hàng theo chiều dọc lòng khe, lớp 02 dùng rọ đá mã kẽm bọc nhựa kích thước 1x1x1,5m xếp theo chiều ngang, lớp 03 dùng rọ đá kích thước 2x1x1,0m xếp theo chiều dọc lòng khe, đất đắp trả lại K90, bên phía lòng khe xếp đá khe chống xói lở. </w:t>
      </w:r>
    </w:p>
    <w:p w14:paraId="7C796DA1" w14:textId="77777777" w:rsidR="001C64CC" w:rsidRDefault="001C64CC" w:rsidP="001C64CC">
      <w:pPr>
        <w:widowControl w:val="0"/>
        <w:spacing w:before="40" w:after="40"/>
        <w:ind w:firstLine="720"/>
        <w:rPr>
          <w:color w:val="000000"/>
          <w:sz w:val="28"/>
          <w:szCs w:val="28"/>
        </w:rPr>
      </w:pPr>
      <w:r w:rsidRPr="00DE4396">
        <w:rPr>
          <w:color w:val="000000"/>
          <w:sz w:val="28"/>
          <w:szCs w:val="28"/>
        </w:rPr>
        <w:t xml:space="preserve">- Các vị trí Tường chắn rọ đá cao 2,0m: Xếp 02 lớp rọ, lớp 01 dùng rọ đá kích thước 1x1x1,5m xếp theo chiều ngang, lớp 02 dùng rọ đá kích thước 1x1x2,0m xếp theo chiều dọc lòng khe, đất đắp trả lại dọc tường chắn K90, bên phía lòng khe xếp đá khe chống xói lở. </w:t>
      </w:r>
    </w:p>
    <w:p w14:paraId="596FC4DB" w14:textId="77777777" w:rsidR="001C64CC" w:rsidRDefault="001C64CC" w:rsidP="001C64CC">
      <w:pPr>
        <w:widowControl w:val="0"/>
        <w:spacing w:before="40" w:after="40"/>
        <w:ind w:firstLine="720"/>
        <w:rPr>
          <w:color w:val="000000"/>
          <w:sz w:val="28"/>
          <w:szCs w:val="28"/>
          <w:lang w:val="vi-VN"/>
        </w:rPr>
      </w:pPr>
      <w:r>
        <w:rPr>
          <w:b/>
          <w:bCs/>
          <w:color w:val="000000"/>
          <w:sz w:val="28"/>
          <w:szCs w:val="28"/>
          <w:lang w:val="vi-VN"/>
        </w:rPr>
        <w:t>2. Thời hạn hoàn thành</w:t>
      </w:r>
      <w:r>
        <w:rPr>
          <w:b/>
          <w:bCs/>
          <w:color w:val="000000"/>
          <w:sz w:val="28"/>
          <w:szCs w:val="28"/>
        </w:rPr>
        <w:t xml:space="preserve">: </w:t>
      </w:r>
      <w:r>
        <w:rPr>
          <w:color w:val="000000"/>
          <w:sz w:val="28"/>
          <w:szCs w:val="28"/>
        </w:rPr>
        <w:t xml:space="preserve">Không quá </w:t>
      </w:r>
      <w:r>
        <w:rPr>
          <w:b/>
          <w:bCs/>
          <w:color w:val="000000"/>
          <w:sz w:val="28"/>
          <w:szCs w:val="28"/>
        </w:rPr>
        <w:t xml:space="preserve">05 tháng (150 ngày) </w:t>
      </w:r>
      <w:r>
        <w:rPr>
          <w:color w:val="000000"/>
          <w:sz w:val="28"/>
          <w:szCs w:val="28"/>
        </w:rPr>
        <w:t>kể từ ngày hợp đồng có hiệu lực và có đủ điều kiện khởi công</w:t>
      </w:r>
      <w:r>
        <w:rPr>
          <w:color w:val="000000"/>
          <w:sz w:val="28"/>
          <w:szCs w:val="28"/>
          <w:lang w:val="vi-VN"/>
        </w:rPr>
        <w:t>.</w:t>
      </w:r>
    </w:p>
    <w:p w14:paraId="2FDFD9B4" w14:textId="77777777" w:rsidR="001C64CC" w:rsidRPr="00F5142B" w:rsidRDefault="001C64CC" w:rsidP="001C64CC">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39AFA78E" w14:textId="77777777" w:rsidR="001C64CC" w:rsidRDefault="001C64CC" w:rsidP="001C64CC">
      <w:pPr>
        <w:widowControl w:val="0"/>
        <w:spacing w:before="40"/>
        <w:ind w:firstLine="720"/>
        <w:rPr>
          <w:color w:val="000000"/>
          <w:sz w:val="28"/>
          <w:szCs w:val="28"/>
        </w:rPr>
      </w:pPr>
      <w:r>
        <w:rPr>
          <w:color w:val="000000"/>
          <w:sz w:val="28"/>
          <w:szCs w:val="28"/>
          <w:lang w:val="vi-VN"/>
        </w:rPr>
        <w:t>- Nhà thầu phải nêu rõ thời gian hoàn thành công trình kể từ khi khởi công tới khi hoàn thành hợp đồng theo ngày/tuần/tháng, trong đó nêu rõ thời gian hoàn thành cho từng hạng mục công trình</w:t>
      </w:r>
      <w:r>
        <w:rPr>
          <w:color w:val="000000"/>
          <w:sz w:val="28"/>
          <w:szCs w:val="28"/>
        </w:rPr>
        <w:t xml:space="preserve">. Trong đó nhà thầu phải hoàn thành gói thầu không quá </w:t>
      </w:r>
      <w:r>
        <w:rPr>
          <w:b/>
          <w:bCs/>
          <w:color w:val="000000"/>
          <w:sz w:val="28"/>
          <w:szCs w:val="28"/>
        </w:rPr>
        <w:t xml:space="preserve">05 tháng (150 ngày) </w:t>
      </w:r>
      <w:r>
        <w:rPr>
          <w:color w:val="000000"/>
          <w:sz w:val="28"/>
          <w:szCs w:val="28"/>
        </w:rPr>
        <w:t>kể từ ngày hợp đồng có hiệu lực và có đủ điều kiện khởi công.</w:t>
      </w:r>
    </w:p>
    <w:p w14:paraId="22BBD245" w14:textId="77777777" w:rsidR="001C64CC" w:rsidRDefault="001C64CC" w:rsidP="001C64CC">
      <w:pPr>
        <w:widowControl w:val="0"/>
        <w:spacing w:before="40" w:after="120"/>
        <w:ind w:firstLine="720"/>
        <w:rPr>
          <w:color w:val="000000"/>
          <w:sz w:val="28"/>
          <w:szCs w:val="28"/>
        </w:rPr>
      </w:pPr>
      <w:r>
        <w:rPr>
          <w:color w:val="000000"/>
          <w:sz w:val="28"/>
          <w:szCs w:val="28"/>
          <w:lang w:val="vi-VN"/>
        </w:rPr>
        <w:t>- Để thể hiện minh hoạ cho những nội dung nêu trên, nhà thầu phải lập biểu tiến độ thi công cho từng hạng mục và cho cả gói thầu</w:t>
      </w:r>
      <w:r>
        <w:rPr>
          <w:color w:val="000000"/>
          <w:sz w:val="28"/>
          <w:szCs w:val="28"/>
        </w:rPr>
        <w:t>. Trường hợp nhà thầu liên danh thì bảng tiến độ phải thể hiện rõ nội dung công việc của từng thành viên đảm nhận.</w:t>
      </w:r>
    </w:p>
    <w:p w14:paraId="1A7E792F" w14:textId="77777777" w:rsidR="001C64CC" w:rsidRPr="00F5142B" w:rsidRDefault="001C64CC" w:rsidP="001C64CC">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00FBCAEF" w14:textId="77777777" w:rsidR="001C64CC" w:rsidRDefault="001C64CC" w:rsidP="001C64CC">
      <w:pPr>
        <w:widowControl w:val="0"/>
        <w:spacing w:before="60"/>
        <w:ind w:firstLine="720"/>
        <w:rPr>
          <w:iCs/>
          <w:color w:val="000000"/>
          <w:sz w:val="28"/>
          <w:szCs w:val="28"/>
          <w:lang w:val="nl-NL"/>
        </w:rPr>
      </w:pPr>
      <w:r>
        <w:rPr>
          <w:iCs/>
          <w:color w:val="000000"/>
          <w:sz w:val="28"/>
          <w:szCs w:val="28"/>
          <w:lang w:val="nl-NL"/>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14:paraId="56A4D18B" w14:textId="77777777" w:rsidR="001C64CC" w:rsidRDefault="001C64CC" w:rsidP="001C64CC">
      <w:pPr>
        <w:widowControl w:val="0"/>
        <w:spacing w:before="60"/>
        <w:ind w:firstLine="720"/>
        <w:rPr>
          <w:iCs/>
          <w:color w:val="000000"/>
          <w:sz w:val="28"/>
          <w:szCs w:val="28"/>
          <w:lang w:val="nl-NL"/>
        </w:rPr>
      </w:pPr>
      <w:r>
        <w:rPr>
          <w:iCs/>
          <w:color w:val="000000"/>
          <w:sz w:val="28"/>
          <w:szCs w:val="28"/>
          <w:lang w:val="nl-NL"/>
        </w:rPr>
        <w:t>Yêu cầu về mặt kỹ thuật/chỉ dẫn kỹ thuật bao gồm các nội dung chủ yếu sau:</w:t>
      </w:r>
    </w:p>
    <w:p w14:paraId="0C07AD79" w14:textId="77777777" w:rsidR="001C64CC" w:rsidRDefault="001C64CC" w:rsidP="001C64CC">
      <w:pPr>
        <w:widowControl w:val="0"/>
        <w:spacing w:before="60" w:after="20"/>
        <w:ind w:firstLine="720"/>
        <w:rPr>
          <w:b/>
          <w:iCs/>
          <w:color w:val="000000"/>
          <w:sz w:val="28"/>
          <w:szCs w:val="28"/>
          <w:lang w:val="nl-NL"/>
        </w:rPr>
      </w:pPr>
      <w:r>
        <w:rPr>
          <w:b/>
          <w:iCs/>
          <w:color w:val="000000"/>
          <w:sz w:val="28"/>
          <w:szCs w:val="28"/>
          <w:lang w:val="nl-NL"/>
        </w:rPr>
        <w:t>1. Yêu cầu về tổ chức kỹ thuật thi công, giám sát</w:t>
      </w:r>
    </w:p>
    <w:p w14:paraId="1D96B015"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xml:space="preserve">- Nhà thầu phải đảm bảo thi công gói thầu đúng tiêu chuẩn, quy chuẩn hiện hành có liên quan, đảm bảo các yêu cầu kỹ thuật, </w:t>
      </w:r>
      <w:r>
        <w:rPr>
          <w:iCs/>
          <w:color w:val="000000"/>
          <w:sz w:val="28"/>
          <w:szCs w:val="28"/>
          <w:lang w:val="nl-NL"/>
        </w:rPr>
        <w:lastRenderedPageBreak/>
        <w:t>mỹ thuật, chất lượng, số lượng, các quy định trong E-HSMT và TKBVTC đã được phê duyệt.</w:t>
      </w:r>
    </w:p>
    <w:p w14:paraId="38EDE727" w14:textId="77777777" w:rsidR="001C64CC" w:rsidRDefault="001C64CC" w:rsidP="001C64CC">
      <w:pPr>
        <w:widowControl w:val="0"/>
        <w:spacing w:before="40"/>
        <w:ind w:firstLine="720"/>
        <w:rPr>
          <w:iCs/>
          <w:color w:val="000000"/>
          <w:spacing w:val="-4"/>
          <w:sz w:val="28"/>
          <w:szCs w:val="28"/>
          <w:lang w:val="nl-NL"/>
        </w:rPr>
      </w:pPr>
      <w:r>
        <w:rPr>
          <w:iCs/>
          <w:color w:val="000000"/>
          <w:spacing w:val="-4"/>
          <w:sz w:val="28"/>
          <w:szCs w:val="28"/>
          <w:lang w:val="nl-NL"/>
        </w:rPr>
        <w:t>- Đảm bảo tiến độ thi công với máy móc, thiết bị đúng với quy định. Thi công đúng tinh thần các quy phạm hiện hành của nhà nước;</w:t>
      </w:r>
    </w:p>
    <w:p w14:paraId="19C98EA0"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Làm tốt công tác chuẩn bị thi công, lập biện pháp thi công đối với những công việc quan trọng để nâng cao chất lượng;</w:t>
      </w:r>
    </w:p>
    <w:p w14:paraId="6471403A"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Tìm nguồn cung cấp vật tư và thiết bị theo quy định;</w:t>
      </w:r>
    </w:p>
    <w:p w14:paraId="67B9E26F"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Lựa chọn cán bộ kỹ thuật, đội trưởng, công nhân đủ trình độ và kinh nghiệm đối với công việc được giao;</w:t>
      </w:r>
    </w:p>
    <w:p w14:paraId="6130B5B5"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Trang bị đủ dụng cụ, tổ chức đủ bộ phận giám sát, tự kiểm tra kỹ thuật thi công.</w:t>
      </w:r>
    </w:p>
    <w:p w14:paraId="24B7C47C"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Tổ chức kiểm tra, nghiệm thu công tác xây dựng theo đúng quy phạm, quy định hiện hành về quản lý chất lượng công trình của Nhà nước;</w:t>
      </w:r>
    </w:p>
    <w:p w14:paraId="38F999D2"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Sửa chữa những sai sót, sai phạm trong thi công một cách nghiêm túc và phải được xác nhận của giám sát của Chủ đầu tư;</w:t>
      </w:r>
    </w:p>
    <w:p w14:paraId="5A8EDFC9" w14:textId="77777777" w:rsidR="001C64CC" w:rsidRDefault="001C64CC" w:rsidP="001C64CC">
      <w:pPr>
        <w:widowControl w:val="0"/>
        <w:spacing w:before="40"/>
        <w:ind w:firstLine="720"/>
        <w:rPr>
          <w:b/>
          <w:color w:val="000000"/>
          <w:sz w:val="28"/>
          <w:szCs w:val="28"/>
          <w:lang w:val="pl-PL"/>
        </w:rPr>
      </w:pPr>
      <w:r>
        <w:rPr>
          <w:iCs/>
          <w:color w:val="000000"/>
          <w:sz w:val="28"/>
          <w:szCs w:val="28"/>
          <w:lang w:val="nl-NL"/>
        </w:rPr>
        <w:t>- Thực hiện đầy đủ các văn bản về quản lý chất lượng trong suốt quá trình thi công.</w:t>
      </w:r>
    </w:p>
    <w:p w14:paraId="362BFB56" w14:textId="77777777" w:rsidR="001C64CC" w:rsidRDefault="001C64CC" w:rsidP="001C64CC">
      <w:pPr>
        <w:widowControl w:val="0"/>
        <w:spacing w:before="40"/>
        <w:ind w:firstLine="720"/>
        <w:rPr>
          <w:b/>
          <w:iCs/>
          <w:color w:val="000000"/>
          <w:sz w:val="28"/>
          <w:szCs w:val="28"/>
          <w:lang w:val="nl-NL"/>
        </w:rPr>
      </w:pPr>
      <w:r>
        <w:rPr>
          <w:b/>
          <w:iCs/>
          <w:color w:val="000000"/>
          <w:sz w:val="28"/>
          <w:szCs w:val="28"/>
          <w:lang w:val="nl-NL"/>
        </w:rPr>
        <w:t>2. Yêu cầu về chủng loại, chất lượng vật tư, máy móc, thiết bị (kèm theo các tiêu chuẩn về phương pháp thử):</w:t>
      </w:r>
    </w:p>
    <w:p w14:paraId="5055D980" w14:textId="77777777" w:rsidR="001C64CC" w:rsidRDefault="001C64CC" w:rsidP="001C64CC">
      <w:pPr>
        <w:widowControl w:val="0"/>
        <w:spacing w:before="40" w:after="120"/>
        <w:ind w:firstLine="720"/>
        <w:rPr>
          <w:iCs/>
          <w:color w:val="000000"/>
          <w:spacing w:val="-2"/>
          <w:sz w:val="28"/>
          <w:szCs w:val="28"/>
          <w:lang w:val="nl-NL"/>
        </w:rPr>
      </w:pPr>
      <w:r>
        <w:rPr>
          <w:b/>
          <w:iCs/>
          <w:color w:val="000000"/>
          <w:sz w:val="28"/>
          <w:szCs w:val="28"/>
          <w:lang w:val="nl-NL"/>
        </w:rPr>
        <w:t xml:space="preserve">- </w:t>
      </w:r>
      <w:r>
        <w:rPr>
          <w:iCs/>
          <w:color w:val="000000"/>
          <w:spacing w:val="-2"/>
          <w:sz w:val="28"/>
          <w:szCs w:val="28"/>
          <w:lang w:val="nl-NL"/>
        </w:rPr>
        <w:t xml:space="preserve"> Nhà thầu phải đề xuất nguồn gốc, xuất xứ, thông số kỹ thuật của các vật liệu, thiết bị sử dụng cho công trình như bảng sau:</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5954"/>
        <w:gridCol w:w="1956"/>
        <w:gridCol w:w="2693"/>
      </w:tblGrid>
      <w:tr w:rsidR="001C64CC" w14:paraId="7AD6FFFD" w14:textId="77777777" w:rsidTr="009E47E5">
        <w:trPr>
          <w:tblHeader/>
        </w:trPr>
        <w:tc>
          <w:tcPr>
            <w:tcW w:w="675" w:type="dxa"/>
            <w:tcBorders>
              <w:bottom w:val="single" w:sz="4" w:space="0" w:color="auto"/>
            </w:tcBorders>
            <w:vAlign w:val="center"/>
          </w:tcPr>
          <w:p w14:paraId="0885D361" w14:textId="77777777" w:rsidR="001C64CC" w:rsidRDefault="001C64CC" w:rsidP="009E47E5">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t>Số TT</w:t>
            </w:r>
          </w:p>
        </w:tc>
        <w:tc>
          <w:tcPr>
            <w:tcW w:w="3856" w:type="dxa"/>
            <w:tcBorders>
              <w:bottom w:val="single" w:sz="4" w:space="0" w:color="auto"/>
            </w:tcBorders>
            <w:vAlign w:val="center"/>
          </w:tcPr>
          <w:p w14:paraId="110AD57B" w14:textId="77777777" w:rsidR="001C64CC" w:rsidRDefault="001C64CC" w:rsidP="009E47E5">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t>Loại vật liệu/thiết bị sử dụng cho công trình</w:t>
            </w:r>
          </w:p>
        </w:tc>
        <w:tc>
          <w:tcPr>
            <w:tcW w:w="5954" w:type="dxa"/>
            <w:tcBorders>
              <w:bottom w:val="single" w:sz="4" w:space="0" w:color="auto"/>
            </w:tcBorders>
            <w:vAlign w:val="center"/>
          </w:tcPr>
          <w:p w14:paraId="67AC8DB9" w14:textId="77777777" w:rsidR="001C64CC" w:rsidRDefault="001C64CC" w:rsidP="009E47E5">
            <w:pPr>
              <w:pStyle w:val="Bodytext21"/>
              <w:shd w:val="clear" w:color="auto" w:fill="auto"/>
              <w:spacing w:before="40" w:after="40" w:line="240" w:lineRule="auto"/>
              <w:jc w:val="center"/>
              <w:rPr>
                <w:rFonts w:ascii="Times New Roman Bold" w:hAnsi="Times New Roman Bold" w:hint="eastAsia"/>
                <w:color w:val="000000"/>
                <w:sz w:val="26"/>
                <w:szCs w:val="26"/>
                <w:lang w:val="vi-VN" w:eastAsia="vi-VN"/>
              </w:rPr>
            </w:pPr>
            <w:r>
              <w:rPr>
                <w:rStyle w:val="Bodytext2Bold4"/>
                <w:rFonts w:ascii="Times New Roman Bold" w:hAnsi="Times New Roman Bold"/>
                <w:color w:val="000000"/>
                <w:sz w:val="26"/>
                <w:szCs w:val="26"/>
                <w:lang w:val="vi-VN" w:eastAsia="vi-VN"/>
              </w:rPr>
              <w:t>Ký mã hiệu sản phẩm, quy cách sản phẩm kèm theo các tiêu chuẩn về phương pháp thử (nếu có)</w:t>
            </w:r>
          </w:p>
        </w:tc>
        <w:tc>
          <w:tcPr>
            <w:tcW w:w="1956" w:type="dxa"/>
            <w:tcBorders>
              <w:bottom w:val="single" w:sz="4" w:space="0" w:color="auto"/>
            </w:tcBorders>
            <w:vAlign w:val="center"/>
          </w:tcPr>
          <w:p w14:paraId="61C5DB54" w14:textId="77777777" w:rsidR="001C64CC" w:rsidRDefault="001C64CC" w:rsidP="009E47E5">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t>Nguồn gốc và xuất xứ</w:t>
            </w:r>
            <w:r>
              <w:rPr>
                <w:rStyle w:val="Bodytext2Bold4"/>
                <w:color w:val="000000"/>
                <w:sz w:val="26"/>
                <w:szCs w:val="26"/>
                <w:vertAlign w:val="superscript"/>
                <w:lang w:val="vi-VN" w:eastAsia="vi-VN"/>
              </w:rPr>
              <w:t>(1)</w:t>
            </w:r>
          </w:p>
        </w:tc>
        <w:tc>
          <w:tcPr>
            <w:tcW w:w="2693" w:type="dxa"/>
            <w:tcBorders>
              <w:bottom w:val="single" w:sz="4" w:space="0" w:color="auto"/>
            </w:tcBorders>
          </w:tcPr>
          <w:p w14:paraId="7E7C1FA5" w14:textId="77777777" w:rsidR="001C64CC" w:rsidRDefault="001C64CC" w:rsidP="009E47E5">
            <w:pPr>
              <w:pStyle w:val="Bodytext21"/>
              <w:shd w:val="clear" w:color="auto" w:fill="auto"/>
              <w:spacing w:before="40" w:after="40" w:line="240" w:lineRule="auto"/>
              <w:jc w:val="center"/>
              <w:rPr>
                <w:rStyle w:val="Bodytext2Bold4"/>
                <w:color w:val="000000"/>
                <w:sz w:val="26"/>
                <w:szCs w:val="26"/>
                <w:lang w:eastAsia="vi-VN"/>
              </w:rPr>
            </w:pPr>
            <w:r>
              <w:rPr>
                <w:rStyle w:val="Bodytext2Bold4"/>
                <w:color w:val="000000"/>
                <w:sz w:val="26"/>
                <w:szCs w:val="26"/>
                <w:lang w:eastAsia="vi-VN"/>
              </w:rPr>
              <w:t>Thông tin hợp đồng nguyên tắc và đơn vị cung cấp</w:t>
            </w:r>
          </w:p>
        </w:tc>
      </w:tr>
      <w:tr w:rsidR="001C64CC" w14:paraId="6CD750DF" w14:textId="77777777" w:rsidTr="009E47E5">
        <w:tc>
          <w:tcPr>
            <w:tcW w:w="675" w:type="dxa"/>
            <w:tcBorders>
              <w:bottom w:val="single" w:sz="4" w:space="0" w:color="auto"/>
            </w:tcBorders>
            <w:vAlign w:val="center"/>
          </w:tcPr>
          <w:p w14:paraId="25278147" w14:textId="77777777" w:rsidR="001C64CC" w:rsidRDefault="001C64CC" w:rsidP="009E47E5">
            <w:pPr>
              <w:pStyle w:val="Heading81"/>
              <w:shd w:val="clear" w:color="auto" w:fill="auto"/>
              <w:spacing w:before="40" w:after="40" w:line="240" w:lineRule="auto"/>
              <w:rPr>
                <w:rFonts w:ascii="Times New Roman" w:hAnsi="Times New Roman"/>
                <w:b w:val="0"/>
                <w:bCs w:val="0"/>
                <w:color w:val="000000"/>
                <w:sz w:val="26"/>
                <w:szCs w:val="26"/>
                <w:lang w:val="vi-VN" w:eastAsia="vi-VN"/>
              </w:rPr>
            </w:pPr>
          </w:p>
        </w:tc>
        <w:tc>
          <w:tcPr>
            <w:tcW w:w="3856" w:type="dxa"/>
            <w:tcBorders>
              <w:bottom w:val="single" w:sz="4" w:space="0" w:color="auto"/>
            </w:tcBorders>
            <w:vAlign w:val="center"/>
          </w:tcPr>
          <w:p w14:paraId="779737B6" w14:textId="77777777" w:rsidR="001C64CC" w:rsidRDefault="001C64CC" w:rsidP="009E47E5">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p>
        </w:tc>
        <w:tc>
          <w:tcPr>
            <w:tcW w:w="5954" w:type="dxa"/>
            <w:tcBorders>
              <w:bottom w:val="single" w:sz="4" w:space="0" w:color="auto"/>
            </w:tcBorders>
            <w:vAlign w:val="center"/>
          </w:tcPr>
          <w:p w14:paraId="7F4146C9" w14:textId="77777777" w:rsidR="001C64CC" w:rsidRDefault="001C64CC" w:rsidP="009E47E5">
            <w:pPr>
              <w:pStyle w:val="BANGBIEU"/>
              <w:widowControl w:val="0"/>
              <w:spacing w:before="40" w:after="40"/>
              <w:ind w:firstLine="0"/>
              <w:rPr>
                <w:sz w:val="26"/>
                <w:szCs w:val="26"/>
                <w:lang w:val="en-US" w:eastAsia="en-US"/>
              </w:rPr>
            </w:pPr>
          </w:p>
        </w:tc>
        <w:tc>
          <w:tcPr>
            <w:tcW w:w="1956" w:type="dxa"/>
            <w:tcBorders>
              <w:bottom w:val="single" w:sz="4" w:space="0" w:color="auto"/>
            </w:tcBorders>
            <w:vAlign w:val="center"/>
          </w:tcPr>
          <w:p w14:paraId="06458F06" w14:textId="77777777" w:rsidR="001C64CC" w:rsidRDefault="001C64CC" w:rsidP="009E47E5">
            <w:pPr>
              <w:pStyle w:val="Heading81"/>
              <w:shd w:val="clear" w:color="auto" w:fill="auto"/>
              <w:spacing w:before="40" w:after="40" w:line="240" w:lineRule="auto"/>
              <w:jc w:val="both"/>
              <w:rPr>
                <w:rFonts w:ascii="Times New Roman" w:hAnsi="Times New Roman"/>
                <w:color w:val="000000"/>
                <w:sz w:val="26"/>
                <w:szCs w:val="26"/>
                <w:lang w:val="vi-VN" w:eastAsia="vi-VN"/>
              </w:rPr>
            </w:pPr>
          </w:p>
        </w:tc>
        <w:tc>
          <w:tcPr>
            <w:tcW w:w="2693" w:type="dxa"/>
            <w:tcBorders>
              <w:bottom w:val="single" w:sz="4" w:space="0" w:color="auto"/>
            </w:tcBorders>
          </w:tcPr>
          <w:p w14:paraId="358C925A" w14:textId="77777777" w:rsidR="001C64CC" w:rsidRDefault="001C64CC" w:rsidP="009E47E5">
            <w:pPr>
              <w:pStyle w:val="Heading81"/>
              <w:shd w:val="clear" w:color="auto" w:fill="auto"/>
              <w:spacing w:before="40" w:after="40" w:line="240" w:lineRule="auto"/>
              <w:jc w:val="both"/>
              <w:rPr>
                <w:rFonts w:ascii="Times New Roman" w:hAnsi="Times New Roman"/>
                <w:color w:val="000000"/>
                <w:sz w:val="26"/>
                <w:szCs w:val="26"/>
                <w:lang w:val="vi-VN" w:eastAsia="vi-VN"/>
              </w:rPr>
            </w:pPr>
          </w:p>
        </w:tc>
      </w:tr>
      <w:tr w:rsidR="001C64CC" w14:paraId="2927BCB7" w14:textId="77777777" w:rsidTr="009E47E5">
        <w:tc>
          <w:tcPr>
            <w:tcW w:w="675" w:type="dxa"/>
            <w:tcBorders>
              <w:top w:val="single" w:sz="4" w:space="0" w:color="auto"/>
              <w:bottom w:val="single" w:sz="4" w:space="0" w:color="auto"/>
            </w:tcBorders>
            <w:vAlign w:val="center"/>
          </w:tcPr>
          <w:p w14:paraId="1B467479" w14:textId="77777777" w:rsidR="001C64CC" w:rsidRDefault="001C64CC" w:rsidP="009E47E5">
            <w:pPr>
              <w:pStyle w:val="Heading81"/>
              <w:shd w:val="clear" w:color="auto" w:fill="auto"/>
              <w:spacing w:before="40" w:after="40" w:line="240" w:lineRule="auto"/>
              <w:rPr>
                <w:rFonts w:ascii="Times New Roman" w:hAnsi="Times New Roman"/>
                <w:b w:val="0"/>
                <w:bCs w:val="0"/>
                <w:color w:val="000000"/>
                <w:sz w:val="26"/>
                <w:szCs w:val="26"/>
                <w:lang w:val="vi-VN" w:eastAsia="vi-VN"/>
              </w:rPr>
            </w:pPr>
          </w:p>
        </w:tc>
        <w:tc>
          <w:tcPr>
            <w:tcW w:w="3856" w:type="dxa"/>
            <w:tcBorders>
              <w:top w:val="single" w:sz="4" w:space="0" w:color="auto"/>
              <w:bottom w:val="single" w:sz="4" w:space="0" w:color="auto"/>
            </w:tcBorders>
            <w:vAlign w:val="center"/>
          </w:tcPr>
          <w:p w14:paraId="78EF0A5D" w14:textId="77777777" w:rsidR="001C64CC" w:rsidRDefault="001C64CC" w:rsidP="009E47E5">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p>
        </w:tc>
        <w:tc>
          <w:tcPr>
            <w:tcW w:w="5954" w:type="dxa"/>
            <w:tcBorders>
              <w:top w:val="single" w:sz="4" w:space="0" w:color="auto"/>
              <w:bottom w:val="single" w:sz="4" w:space="0" w:color="auto"/>
            </w:tcBorders>
            <w:vAlign w:val="center"/>
          </w:tcPr>
          <w:p w14:paraId="056D8BC6" w14:textId="77777777" w:rsidR="001C64CC" w:rsidRDefault="001C64CC" w:rsidP="009E47E5">
            <w:pPr>
              <w:pStyle w:val="Heading81"/>
              <w:shd w:val="clear" w:color="auto" w:fill="auto"/>
              <w:spacing w:before="40" w:after="40" w:line="240" w:lineRule="auto"/>
              <w:jc w:val="both"/>
              <w:rPr>
                <w:rFonts w:ascii="Times New Roman" w:hAnsi="Times New Roman"/>
                <w:b w:val="0"/>
                <w:color w:val="000000"/>
                <w:sz w:val="26"/>
                <w:szCs w:val="26"/>
                <w:lang w:val="vi-VN" w:eastAsia="vi-VN"/>
              </w:rPr>
            </w:pPr>
          </w:p>
        </w:tc>
        <w:tc>
          <w:tcPr>
            <w:tcW w:w="1956" w:type="dxa"/>
            <w:tcBorders>
              <w:top w:val="single" w:sz="4" w:space="0" w:color="auto"/>
              <w:bottom w:val="single" w:sz="4" w:space="0" w:color="auto"/>
            </w:tcBorders>
            <w:vAlign w:val="center"/>
          </w:tcPr>
          <w:p w14:paraId="5697D351" w14:textId="77777777" w:rsidR="001C64CC" w:rsidRDefault="001C64CC" w:rsidP="009E47E5">
            <w:pPr>
              <w:pStyle w:val="Heading81"/>
              <w:shd w:val="clear" w:color="auto" w:fill="auto"/>
              <w:spacing w:before="40" w:after="40" w:line="240" w:lineRule="auto"/>
              <w:jc w:val="both"/>
              <w:rPr>
                <w:rFonts w:ascii="Times New Roman" w:hAnsi="Times New Roman"/>
                <w:color w:val="000000"/>
                <w:sz w:val="26"/>
                <w:szCs w:val="26"/>
                <w:lang w:val="vi-VN" w:eastAsia="vi-VN"/>
              </w:rPr>
            </w:pPr>
          </w:p>
        </w:tc>
        <w:tc>
          <w:tcPr>
            <w:tcW w:w="2693" w:type="dxa"/>
            <w:tcBorders>
              <w:top w:val="single" w:sz="4" w:space="0" w:color="auto"/>
              <w:bottom w:val="single" w:sz="4" w:space="0" w:color="auto"/>
            </w:tcBorders>
          </w:tcPr>
          <w:p w14:paraId="1992A099" w14:textId="77777777" w:rsidR="001C64CC" w:rsidRDefault="001C64CC" w:rsidP="009E47E5">
            <w:pPr>
              <w:pStyle w:val="Heading81"/>
              <w:shd w:val="clear" w:color="auto" w:fill="auto"/>
              <w:spacing w:before="40" w:after="40" w:line="240" w:lineRule="auto"/>
              <w:jc w:val="both"/>
              <w:rPr>
                <w:rFonts w:ascii="Times New Roman" w:hAnsi="Times New Roman"/>
                <w:color w:val="000000"/>
                <w:sz w:val="26"/>
                <w:szCs w:val="26"/>
                <w:lang w:val="vi-VN" w:eastAsia="vi-VN"/>
              </w:rPr>
            </w:pPr>
          </w:p>
        </w:tc>
      </w:tr>
      <w:tr w:rsidR="001C64CC" w14:paraId="5EF4D9F4" w14:textId="77777777" w:rsidTr="009E47E5">
        <w:tc>
          <w:tcPr>
            <w:tcW w:w="675" w:type="dxa"/>
            <w:tcBorders>
              <w:top w:val="single" w:sz="4" w:space="0" w:color="auto"/>
              <w:bottom w:val="single" w:sz="4" w:space="0" w:color="auto"/>
            </w:tcBorders>
            <w:vAlign w:val="center"/>
          </w:tcPr>
          <w:p w14:paraId="747F759E" w14:textId="77777777" w:rsidR="001C64CC" w:rsidRDefault="001C64CC" w:rsidP="009E47E5">
            <w:pPr>
              <w:pStyle w:val="Heading81"/>
              <w:shd w:val="clear" w:color="auto" w:fill="auto"/>
              <w:spacing w:before="40" w:after="40" w:line="240" w:lineRule="auto"/>
              <w:rPr>
                <w:rFonts w:ascii="Times New Roman" w:hAnsi="Times New Roman"/>
                <w:b w:val="0"/>
                <w:color w:val="000000"/>
                <w:sz w:val="26"/>
                <w:szCs w:val="26"/>
                <w:lang w:val="vi-VN" w:eastAsia="vi-VN"/>
              </w:rPr>
            </w:pPr>
          </w:p>
        </w:tc>
        <w:tc>
          <w:tcPr>
            <w:tcW w:w="3856" w:type="dxa"/>
            <w:tcBorders>
              <w:top w:val="single" w:sz="4" w:space="0" w:color="auto"/>
              <w:bottom w:val="single" w:sz="4" w:space="0" w:color="auto"/>
            </w:tcBorders>
            <w:vAlign w:val="center"/>
          </w:tcPr>
          <w:p w14:paraId="58D036FE" w14:textId="77777777" w:rsidR="001C64CC" w:rsidRDefault="001C64CC" w:rsidP="009E47E5">
            <w:pPr>
              <w:pStyle w:val="Heading81"/>
              <w:shd w:val="clear" w:color="auto" w:fill="auto"/>
              <w:spacing w:before="40" w:after="40" w:line="240" w:lineRule="auto"/>
              <w:jc w:val="both"/>
              <w:rPr>
                <w:rFonts w:ascii="Times New Roman" w:hAnsi="Times New Roman"/>
                <w:b w:val="0"/>
                <w:color w:val="000000"/>
                <w:sz w:val="26"/>
                <w:szCs w:val="26"/>
                <w:lang w:val="vi-VN" w:eastAsia="vi-VN"/>
              </w:rPr>
            </w:pPr>
          </w:p>
        </w:tc>
        <w:tc>
          <w:tcPr>
            <w:tcW w:w="5954" w:type="dxa"/>
            <w:tcBorders>
              <w:top w:val="single" w:sz="4" w:space="0" w:color="auto"/>
              <w:bottom w:val="single" w:sz="4" w:space="0" w:color="auto"/>
            </w:tcBorders>
            <w:vAlign w:val="center"/>
          </w:tcPr>
          <w:p w14:paraId="46DA8D35" w14:textId="77777777" w:rsidR="001C64CC" w:rsidRDefault="001C64CC" w:rsidP="009E47E5">
            <w:pPr>
              <w:pStyle w:val="Heading81"/>
              <w:shd w:val="clear" w:color="auto" w:fill="auto"/>
              <w:spacing w:before="40" w:after="40" w:line="240" w:lineRule="auto"/>
              <w:jc w:val="both"/>
              <w:rPr>
                <w:rFonts w:ascii="Times New Roman" w:hAnsi="Times New Roman"/>
                <w:color w:val="000000"/>
                <w:sz w:val="26"/>
                <w:szCs w:val="26"/>
                <w:lang w:val="vi-VN" w:eastAsia="vi-VN"/>
              </w:rPr>
            </w:pPr>
          </w:p>
        </w:tc>
        <w:tc>
          <w:tcPr>
            <w:tcW w:w="1956" w:type="dxa"/>
            <w:tcBorders>
              <w:top w:val="single" w:sz="4" w:space="0" w:color="auto"/>
              <w:bottom w:val="single" w:sz="4" w:space="0" w:color="auto"/>
            </w:tcBorders>
            <w:vAlign w:val="center"/>
          </w:tcPr>
          <w:p w14:paraId="4968096A" w14:textId="77777777" w:rsidR="001C64CC" w:rsidRDefault="001C64CC" w:rsidP="009E47E5">
            <w:pPr>
              <w:pStyle w:val="Heading81"/>
              <w:shd w:val="clear" w:color="auto" w:fill="auto"/>
              <w:spacing w:before="40" w:after="40" w:line="240" w:lineRule="auto"/>
              <w:jc w:val="both"/>
              <w:rPr>
                <w:rFonts w:ascii="Times New Roman" w:hAnsi="Times New Roman"/>
                <w:color w:val="000000"/>
                <w:sz w:val="26"/>
                <w:szCs w:val="26"/>
                <w:lang w:val="vi-VN" w:eastAsia="vi-VN"/>
              </w:rPr>
            </w:pPr>
          </w:p>
        </w:tc>
        <w:tc>
          <w:tcPr>
            <w:tcW w:w="2693" w:type="dxa"/>
            <w:tcBorders>
              <w:top w:val="single" w:sz="4" w:space="0" w:color="auto"/>
              <w:bottom w:val="single" w:sz="4" w:space="0" w:color="auto"/>
            </w:tcBorders>
          </w:tcPr>
          <w:p w14:paraId="373DF536" w14:textId="77777777" w:rsidR="001C64CC" w:rsidRDefault="001C64CC" w:rsidP="009E47E5">
            <w:pPr>
              <w:pStyle w:val="Heading81"/>
              <w:shd w:val="clear" w:color="auto" w:fill="auto"/>
              <w:spacing w:before="40" w:after="40" w:line="240" w:lineRule="auto"/>
              <w:jc w:val="both"/>
              <w:rPr>
                <w:rFonts w:ascii="Times New Roman" w:hAnsi="Times New Roman"/>
                <w:color w:val="000000"/>
                <w:sz w:val="26"/>
                <w:szCs w:val="26"/>
                <w:lang w:val="vi-VN" w:eastAsia="vi-VN"/>
              </w:rPr>
            </w:pPr>
          </w:p>
        </w:tc>
      </w:tr>
    </w:tbl>
    <w:p w14:paraId="725A4E76" w14:textId="77777777" w:rsidR="001C64CC" w:rsidRDefault="001C64CC" w:rsidP="001C64CC">
      <w:pPr>
        <w:widowControl w:val="0"/>
        <w:spacing w:before="120"/>
        <w:ind w:firstLine="720"/>
        <w:rPr>
          <w:i/>
          <w:color w:val="000000"/>
          <w:sz w:val="28"/>
          <w:szCs w:val="28"/>
          <w:u w:val="single"/>
        </w:rPr>
      </w:pPr>
      <w:r>
        <w:rPr>
          <w:i/>
          <w:color w:val="000000"/>
          <w:sz w:val="28"/>
          <w:szCs w:val="28"/>
          <w:u w:val="single"/>
        </w:rPr>
        <w:t>Ghi chú:</w:t>
      </w:r>
    </w:p>
    <w:p w14:paraId="0D81097E" w14:textId="77777777" w:rsidR="001C64CC" w:rsidRDefault="001C64CC" w:rsidP="001C64CC">
      <w:pPr>
        <w:widowControl w:val="0"/>
        <w:spacing w:before="40"/>
        <w:ind w:firstLine="720"/>
        <w:rPr>
          <w:rStyle w:val="Bodytext2"/>
          <w:rFonts w:eastAsia="Georgia"/>
          <w:i/>
          <w:color w:val="000000"/>
          <w:spacing w:val="-2"/>
          <w:sz w:val="28"/>
          <w:szCs w:val="28"/>
          <w:lang w:eastAsia="vi-VN"/>
        </w:rPr>
      </w:pPr>
      <w:r>
        <w:rPr>
          <w:i/>
          <w:color w:val="000000"/>
          <w:spacing w:val="-2"/>
          <w:sz w:val="28"/>
          <w:szCs w:val="28"/>
        </w:rPr>
        <w:t xml:space="preserve">(1) Nhà thầu phải nêu rõ nguồn gốc, xuất xứ... của các loại vật liệu, thiết bị sử dụng cho công trình để bên mời thầu làm cơ sở đánh giá mức độ đáp ứng yêu cầu kỹ thuật của vật liệu xây dựng theo quy định tại tiêu chí đánh giá 4.1 thuộc Mục 3 Chương III của E-HSMT. Nhà thầu phải xem xét TKBVTC, các thuyết minh về thiết kế đính kèm E-HSMT (nếu có) để xác định các vật liệu đưa vào thi công gói thầu có yêu cầu kỹ thuật tương đương hoặc cao hơn (chất lượng tốt hơn) các vật liệu quy định trong TKBVTC, các thuyết minh về thiết kế tương ứng với từng hạng mục trong gói thầu đã đã duyệt. Trong E-HSDT của mình, nhà thầu phải xác định cụ thể, đầy đủ chủng loại, mã hiệu, nguồn gốc, xuất xứ/chứng nhận xuất xưởng của các vật liệu, thiết bị sử dụng cho công trình (nếu có) và </w:t>
      </w:r>
      <w:r>
        <w:rPr>
          <w:i/>
          <w:color w:val="000000"/>
          <w:spacing w:val="-2"/>
          <w:sz w:val="28"/>
          <w:szCs w:val="28"/>
          <w:u w:val="single"/>
        </w:rPr>
        <w:t>không được đề xuất nhiều chủng loại, mã hiệu, nguồn gốc, xuất xứ cho cùng một vật liệu, thiết bị</w:t>
      </w:r>
      <w:r>
        <w:rPr>
          <w:rStyle w:val="Bodytext2"/>
          <w:rFonts w:eastAsia="Georgia"/>
          <w:i/>
          <w:color w:val="000000"/>
          <w:spacing w:val="-2"/>
          <w:sz w:val="28"/>
          <w:szCs w:val="28"/>
          <w:lang w:eastAsia="vi-VN"/>
        </w:rPr>
        <w:t xml:space="preserve">. Trường hợp trong E-HSMT phải </w:t>
      </w:r>
      <w:r>
        <w:rPr>
          <w:rStyle w:val="Bodytext2"/>
          <w:rFonts w:eastAsia="Georgia"/>
          <w:i/>
          <w:color w:val="000000"/>
          <w:spacing w:val="-2"/>
          <w:sz w:val="28"/>
          <w:szCs w:val="28"/>
          <w:lang w:eastAsia="vi-VN"/>
        </w:rPr>
        <w:lastRenderedPageBreak/>
        <w:t>nêu nhãn hiệu, cataloge của một nhà sản xuất nào đó, hoặc vật tư, máy móc, thiết bị nào đó để tham khảo, minh họa cho yêu cầu về mặt kỹ thuật của vật tư, máy móc, thiết bị thì bên mời thầu ghi kèm theo cụm từ “hoặc tương đương” sau nhãn hiệu, cataloge nêu ra và quy định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2A55EDBB" w14:textId="77777777" w:rsidR="001C64CC" w:rsidRDefault="001C64CC" w:rsidP="001C64CC">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Vật liệu, vật tư, thiết bị/cụm thiết bị/cụm thiết bị phải mới 100% và sản phẩm phải được sử dụng rộng rãi trên thị trường Việt Nam.</w:t>
      </w:r>
    </w:p>
    <w:p w14:paraId="3D8DF94C" w14:textId="77777777" w:rsidR="001C64CC" w:rsidRDefault="001C64CC" w:rsidP="001C64CC">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Phụ kiện phải đồng bộ với vật tư, thiết bị chính, đáp ứng yêu cầu của TKBVTC và yêu cầu của E-HSMT.</w:t>
      </w:r>
    </w:p>
    <w:p w14:paraId="0AA1B4B3" w14:textId="77777777" w:rsidR="001C64CC" w:rsidRDefault="001C64CC" w:rsidP="001C64CC">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vật tư, thiết bị/cụm thiết bị khi vận chuyển đến công trường phải được đóng gói nguyên đai, nguyên kiện theo đúng quy định của nhà sản xuất.</w:t>
      </w:r>
    </w:p>
    <w:p w14:paraId="789DF391" w14:textId="77777777" w:rsidR="001C64CC" w:rsidRDefault="001C64CC" w:rsidP="001C64CC">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phẩm/chi tiết sản phẩm như yêu cầu tại Chương V của E-HSMT và phải được TVGS và chủ đầu tư nghiệm thu tại công xưởng trước khi chuyển đến lắp đặt tại công trường.</w:t>
      </w:r>
    </w:p>
    <w:p w14:paraId="5E95F8E3" w14:textId="77777777" w:rsidR="001C64CC" w:rsidRDefault="001C64CC" w:rsidP="001C64CC">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các chi tiết đặc biệt phải tiến hành chế tạo, lắp tại công trường sẽ phải được TVGS và chủ đầu tư chấp thuận.</w:t>
      </w:r>
    </w:p>
    <w:p w14:paraId="3A79F601" w14:textId="77777777" w:rsidR="001C64CC" w:rsidRDefault="001C64CC" w:rsidP="001C64CC">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một số loại vật tư, vật liệu, thiết bị/cụm thiết bị ghi trong bảng tiên lượng mời thầu hoặc trong bản vẽ ghi rõ tên, chủng loại model, hãng, nước sản xuất thì được hiểu như sau: Vật tư, vật liệu, thiết bị/cụm thiết bị chào thầu có thể là loại đã được ghi trong tiên lượng, bản vẽ hoặc là một loại khác có tiêu chuẩn kỹ thuật, tính năng kỹ thuật, mỹ thuật, kích thước tương đương với loại đó (không được sử dụng cụm từ “tương đương” khi dự thầu). Nếu chủng loại vật tư, vật liệu, thiết bị/cụm thiết bị chào thầu được bên mời thầu đánh giá là không đạt tiêu chuẩn E-HSMT thì sẽ bị đánh giá về mức độ đáp ứng các yêu cầu về kỹ thuật, trường hợp được mời vào thương thảo hợp đồng Nhà thầu bắt buộc phải đề xuất lại cho đáp ứng yêu cầu E-HSMT nhưng không được thay đổi giá dự thầu làm cơ sở để chủ đầu tư xem xét khi phê duyệt kết quả lựa chọn nhà thầu.</w:t>
      </w:r>
    </w:p>
    <w:p w14:paraId="73DF6086" w14:textId="77777777" w:rsidR="001C64CC" w:rsidRDefault="001C64CC" w:rsidP="001C64CC">
      <w:pPr>
        <w:pStyle w:val="BodyText"/>
        <w:widowControl w:val="0"/>
        <w:suppressAutoHyphens w:val="0"/>
        <w:spacing w:before="40"/>
        <w:ind w:right="0" w:firstLine="720"/>
        <w:rPr>
          <w:iCs/>
          <w:color w:val="000000"/>
          <w:spacing w:val="0"/>
          <w:sz w:val="28"/>
          <w:szCs w:val="28"/>
          <w:u w:val="single"/>
          <w:lang w:val="nl-NL"/>
        </w:rPr>
      </w:pPr>
      <w:r>
        <w:rPr>
          <w:iCs/>
          <w:color w:val="000000"/>
          <w:spacing w:val="0"/>
          <w:sz w:val="28"/>
          <w:szCs w:val="28"/>
          <w:u w:val="single"/>
          <w:lang w:val="nl-NL"/>
        </w:rPr>
        <w:t>- Trong trường hợp tại thời điểm thi công, nếu nhà thầu có lý do khách quan đề nghị thay đổi các loại vật tư, vật liệu, thiết bị các bên đã thống nhất trong hợp đồng thì Nhà thầu sẽ chỉ được thay đổi khi được chủ đầu tư chấp thuận. Khi đó, chủ đầu tư sẽ phê duyệt lại đơn giá của vật tư, vật liệu, thiết bị đó, tuy nhiên, đơn giá chủ đầu tư phê duyệt sẽ không lớn hơn đơn giá đã ký kết trong hợp đồng.</w:t>
      </w:r>
    </w:p>
    <w:p w14:paraId="5B86DE8D" w14:textId="77777777" w:rsidR="001C64CC" w:rsidRDefault="001C64CC" w:rsidP="001C64CC">
      <w:pPr>
        <w:pStyle w:val="BodyText"/>
        <w:widowControl w:val="0"/>
        <w:suppressAutoHyphens w:val="0"/>
        <w:spacing w:before="40"/>
        <w:ind w:right="0" w:firstLine="720"/>
        <w:rPr>
          <w:iCs/>
          <w:color w:val="000000"/>
          <w:spacing w:val="0"/>
          <w:sz w:val="28"/>
          <w:szCs w:val="28"/>
          <w:u w:val="single"/>
          <w:lang w:val="nl-NL"/>
        </w:rPr>
      </w:pPr>
      <w:r>
        <w:rPr>
          <w:iCs/>
          <w:color w:val="000000"/>
          <w:spacing w:val="0"/>
          <w:sz w:val="28"/>
          <w:szCs w:val="28"/>
          <w:u w:val="single"/>
          <w:lang w:val="nl-NL"/>
        </w:rPr>
        <w:t xml:space="preserve">- Trường hợp Nhà thầu ghi không rõ hoặc bỏ sót thông tin dẫn đến việc không đủ cơ sở xác định hoặc dẫn đến việc hiểu sai khác khi xác định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w:t>
      </w:r>
      <w:r>
        <w:rPr>
          <w:iCs/>
          <w:color w:val="000000"/>
          <w:spacing w:val="0"/>
          <w:sz w:val="28"/>
          <w:szCs w:val="28"/>
          <w:u w:val="single"/>
          <w:lang w:val="nl-NL"/>
        </w:rPr>
        <w:lastRenderedPageBreak/>
        <w:t>tư mà không được quyền yêu cầu thêm bất kỳ một khoản chi phí nào khác.</w:t>
      </w:r>
    </w:p>
    <w:p w14:paraId="6014BA63" w14:textId="77777777" w:rsidR="001C64CC" w:rsidRDefault="001C64CC" w:rsidP="001C64CC">
      <w:pPr>
        <w:pStyle w:val="BodyText"/>
        <w:widowControl w:val="0"/>
        <w:suppressAutoHyphens w:val="0"/>
        <w:spacing w:before="40"/>
        <w:ind w:right="0" w:firstLine="720"/>
        <w:rPr>
          <w:iCs/>
          <w:color w:val="000000"/>
          <w:spacing w:val="-2"/>
          <w:sz w:val="28"/>
          <w:szCs w:val="28"/>
          <w:lang w:val="nl-NL"/>
        </w:rPr>
      </w:pPr>
      <w:r>
        <w:rPr>
          <w:iCs/>
          <w:color w:val="000000"/>
          <w:spacing w:val="-2"/>
          <w:sz w:val="28"/>
          <w:szCs w:val="28"/>
          <w:lang w:val="nl-NL"/>
        </w:rPr>
        <w:t>- Trường hợp có nội dung nào đó trong các tài liệu của E-HSMT do bên mời thầu cung cấp có sự không thống nhất, Nhà thầu phải có công văn đề nghị bên mời thầu làm rõ theo quy định trước khi đề xuất trong E-HSDT; trường hợp nhà thầu không đề nghị làm rõ, trong quá trình đánh giá E-HSDT, bên mời thầu đánh giá mức độ đáp ứng yêu cầu E-HSMT của nhà thầu theo thứ tự ưu tiên như sau:</w:t>
      </w:r>
    </w:p>
    <w:p w14:paraId="163F48C6" w14:textId="77777777" w:rsidR="001C64CC" w:rsidRDefault="001C64CC" w:rsidP="001C64CC">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bên mời thầu quy định tại Chương III của E-HSMT;</w:t>
      </w:r>
    </w:p>
    <w:p w14:paraId="14D7A17C" w14:textId="77777777" w:rsidR="001C64CC" w:rsidRDefault="001C64CC" w:rsidP="001C64CC">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hồ sơ TKBVTC, chỉ dẫn kỹ thuật (nếu có) kèm theo E-HSMT;</w:t>
      </w:r>
    </w:p>
    <w:p w14:paraId="2F5AC573" w14:textId="77777777" w:rsidR="001C64CC" w:rsidRDefault="001C64CC" w:rsidP="001C64CC">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nêu trong bảng kê hạng mục công việc quy định tại Mẫu số 01A Chương IV của E-HSMT;</w:t>
      </w:r>
    </w:p>
    <w:p w14:paraId="4855977B" w14:textId="77777777" w:rsidR="001C64CC" w:rsidRDefault="001C64CC" w:rsidP="001C64CC">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Tài liệu pháp lý khác có liên quan.</w:t>
      </w:r>
    </w:p>
    <w:p w14:paraId="16A12732" w14:textId="77777777" w:rsidR="001C64CC" w:rsidRDefault="001C64CC" w:rsidP="001C64CC">
      <w:pPr>
        <w:widowControl w:val="0"/>
        <w:spacing w:before="40"/>
        <w:ind w:firstLine="720"/>
        <w:rPr>
          <w:b/>
          <w:iCs/>
          <w:color w:val="000000"/>
          <w:sz w:val="28"/>
          <w:szCs w:val="28"/>
          <w:lang w:val="nl-NL"/>
        </w:rPr>
      </w:pPr>
      <w:r>
        <w:rPr>
          <w:b/>
          <w:iCs/>
          <w:color w:val="000000"/>
          <w:sz w:val="28"/>
          <w:szCs w:val="28"/>
          <w:lang w:val="nl-NL"/>
        </w:rPr>
        <w:t>3. Yêu cầu về trình tự thi công, lắp đặt</w:t>
      </w:r>
    </w:p>
    <w:p w14:paraId="3F697704"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14:paraId="4C07A3BA"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Trình tự thi công do nhà thầu đề xuất phải đảm bảo không chồng chéo và đáp ứng yêu cầu kỹ thuật, mỹ thuật của từng biện pháp thi công và tiến độ thi công do nhà thầu lập.</w:t>
      </w:r>
    </w:p>
    <w:p w14:paraId="5C20F727" w14:textId="77777777" w:rsidR="001C64CC" w:rsidRDefault="001C64CC" w:rsidP="001C64CC">
      <w:pPr>
        <w:widowControl w:val="0"/>
        <w:spacing w:before="40"/>
        <w:ind w:firstLine="720"/>
        <w:rPr>
          <w:b/>
          <w:iCs/>
          <w:color w:val="000000"/>
          <w:sz w:val="28"/>
          <w:szCs w:val="28"/>
          <w:lang w:val="nl-NL"/>
        </w:rPr>
      </w:pPr>
      <w:r>
        <w:rPr>
          <w:b/>
          <w:iCs/>
          <w:color w:val="000000"/>
          <w:sz w:val="28"/>
          <w:szCs w:val="28"/>
          <w:lang w:val="nl-NL"/>
        </w:rPr>
        <w:t>4. Yêu cầu về vận hành thử nghiệm, an toàn</w:t>
      </w:r>
    </w:p>
    <w:p w14:paraId="77B6722D"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phải tiến hành vận hành thử nghiệm, an toàn khi các thiết bị được lắp đặt hoàn thành;</w:t>
      </w:r>
    </w:p>
    <w:p w14:paraId="2D470E7A"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 báo;</w:t>
      </w:r>
    </w:p>
    <w:p w14:paraId="1A0327FA"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14:paraId="06216A81"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 xác;</w:t>
      </w:r>
    </w:p>
    <w:p w14:paraId="4AFF91AF" w14:textId="77777777" w:rsidR="001C64CC" w:rsidRDefault="001C64CC" w:rsidP="001C64CC">
      <w:pPr>
        <w:widowControl w:val="0"/>
        <w:spacing w:before="40"/>
        <w:ind w:firstLine="720"/>
        <w:rPr>
          <w:iCs/>
          <w:color w:val="000000"/>
          <w:spacing w:val="4"/>
          <w:sz w:val="28"/>
          <w:szCs w:val="28"/>
          <w:lang w:val="nl-NL"/>
        </w:rPr>
      </w:pPr>
      <w:r>
        <w:rPr>
          <w:iCs/>
          <w:color w:val="000000"/>
          <w:spacing w:val="4"/>
          <w:sz w:val="28"/>
          <w:szCs w:val="28"/>
          <w:lang w:val="nl-NL"/>
        </w:rPr>
        <w:t xml:space="preserve">- Nếu công trình hay hạng mục không vượt qua được các cuộc vận hành thử nghiệm, an toàn khi hoàn thành khi đó chủ </w:t>
      </w:r>
      <w:r>
        <w:rPr>
          <w:iCs/>
          <w:color w:val="000000"/>
          <w:spacing w:val="4"/>
          <w:sz w:val="28"/>
          <w:szCs w:val="28"/>
          <w:lang w:val="nl-NL"/>
        </w:rPr>
        <w:lastRenderedPageBreak/>
        <w:t>đầu tư có quyền:</w:t>
      </w:r>
    </w:p>
    <w:p w14:paraId="4984B09A"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Yêu cầu tiếp tục tiến hành vận hành thử nghiệm, an toàn lại;</w:t>
      </w:r>
    </w:p>
    <w:p w14:paraId="0277EF79"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 toàn.</w:t>
      </w:r>
    </w:p>
    <w:p w14:paraId="4E2A9B2C" w14:textId="77777777" w:rsidR="001C64CC" w:rsidRDefault="001C64CC" w:rsidP="001C64CC">
      <w:pPr>
        <w:widowControl w:val="0"/>
        <w:spacing w:before="40"/>
        <w:ind w:firstLine="720"/>
        <w:rPr>
          <w:b/>
          <w:iCs/>
          <w:color w:val="000000"/>
          <w:sz w:val="28"/>
          <w:szCs w:val="28"/>
          <w:lang w:val="nl-NL"/>
        </w:rPr>
      </w:pPr>
      <w:r>
        <w:rPr>
          <w:b/>
          <w:iCs/>
          <w:color w:val="000000"/>
          <w:sz w:val="28"/>
          <w:szCs w:val="28"/>
          <w:lang w:val="nl-NL"/>
        </w:rPr>
        <w:t>5. Yêu cầu về phòng, chống cháy, nổ</w:t>
      </w:r>
    </w:p>
    <w:p w14:paraId="538FB2E3"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phải phổ biến nội quy PCCC ở các tổ, đội, văn phòng, bố trí bình chữa cháy và biển cấm ở khu vực có sử dụng xăng dầu, trạm biến thế. Xây dựng nội quy an toàn về sử dụng, vận hành máy móc thiết bị kỹ thuật. Định kỳ kiểm tra công tác phòng chống cháy, nổ tại công trình, bố trí tổ bảo vệ công trường và lực lượng ứng chiến khẩn cấp khi có hoả hoạn.</w:t>
      </w:r>
    </w:p>
    <w:p w14:paraId="4ACE9F62"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73C5422C" w14:textId="77777777" w:rsidR="001C64CC" w:rsidRDefault="001C64CC" w:rsidP="001C64CC">
      <w:pPr>
        <w:widowControl w:val="0"/>
        <w:spacing w:before="40"/>
        <w:ind w:firstLine="720"/>
        <w:rPr>
          <w:b/>
          <w:iCs/>
          <w:color w:val="000000"/>
          <w:sz w:val="28"/>
          <w:szCs w:val="28"/>
          <w:lang w:val="nl-NL"/>
        </w:rPr>
      </w:pPr>
      <w:r>
        <w:rPr>
          <w:b/>
          <w:iCs/>
          <w:color w:val="000000"/>
          <w:sz w:val="28"/>
          <w:szCs w:val="28"/>
          <w:lang w:val="nl-NL"/>
        </w:rPr>
        <w:t>6. Yêu cầu về vệ sinh môi trường</w:t>
      </w:r>
    </w:p>
    <w:p w14:paraId="71888E70"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1ECD53A7" w14:textId="77777777" w:rsidR="001C64CC" w:rsidRDefault="001C64CC" w:rsidP="001C64CC">
      <w:pPr>
        <w:pStyle w:val="BodyText"/>
        <w:widowControl w:val="0"/>
        <w:suppressAutoHyphens w:val="0"/>
        <w:spacing w:before="40"/>
        <w:ind w:right="0" w:firstLine="720"/>
        <w:rPr>
          <w:color w:val="000000"/>
          <w:spacing w:val="0"/>
          <w:sz w:val="28"/>
          <w:szCs w:val="28"/>
        </w:rPr>
      </w:pPr>
      <w:r>
        <w:rPr>
          <w:color w:val="000000"/>
          <w:spacing w:val="0"/>
          <w:sz w:val="28"/>
          <w:szCs w:val="28"/>
        </w:rPr>
        <w:t>- Các phương tiện vận chuyển nguyên vật liệu nhà thầu phải sử dụng loại xe có thùng và được che kín bằng bạt, giằng buộc vững chắc để tránh rơi rớt trong quá trình vận chuyển;</w:t>
      </w:r>
    </w:p>
    <w:p w14:paraId="460EF5F9" w14:textId="77777777" w:rsidR="001C64CC" w:rsidRDefault="001C64CC" w:rsidP="001C64CC">
      <w:pPr>
        <w:pStyle w:val="BodyText"/>
        <w:widowControl w:val="0"/>
        <w:suppressAutoHyphens w:val="0"/>
        <w:spacing w:before="40"/>
        <w:ind w:right="0" w:firstLine="720"/>
        <w:rPr>
          <w:color w:val="000000"/>
          <w:spacing w:val="0"/>
          <w:sz w:val="28"/>
          <w:szCs w:val="28"/>
        </w:rPr>
      </w:pPr>
      <w:r>
        <w:rPr>
          <w:color w:val="000000"/>
          <w:spacing w:val="0"/>
          <w:sz w:val="28"/>
          <w:szCs w:val="28"/>
        </w:rPr>
        <w:t>- Để chống rung động tiếng ồn nhà thầu phải sử dụng các loại máy móc có thông số kỹ thuật tốt và được đặt ở vị trí thuận lợi;</w:t>
      </w:r>
    </w:p>
    <w:p w14:paraId="46FF3629" w14:textId="77777777" w:rsidR="001C64CC" w:rsidRDefault="001C64CC" w:rsidP="001C64CC">
      <w:pPr>
        <w:pStyle w:val="BodyText"/>
        <w:widowControl w:val="0"/>
        <w:suppressAutoHyphens w:val="0"/>
        <w:spacing w:before="40"/>
        <w:ind w:right="0" w:firstLine="720"/>
        <w:rPr>
          <w:color w:val="000000"/>
          <w:spacing w:val="0"/>
          <w:sz w:val="28"/>
          <w:szCs w:val="28"/>
        </w:rPr>
      </w:pPr>
      <w:r>
        <w:rPr>
          <w:color w:val="000000"/>
          <w:spacing w:val="0"/>
          <w:sz w:val="28"/>
          <w:szCs w:val="28"/>
        </w:rPr>
        <w:t>-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14:paraId="47CDA187" w14:textId="77777777" w:rsidR="001C64CC" w:rsidRDefault="001C64CC" w:rsidP="001C64CC">
      <w:pPr>
        <w:pStyle w:val="BodyText"/>
        <w:widowControl w:val="0"/>
        <w:suppressAutoHyphens w:val="0"/>
        <w:spacing w:before="40"/>
        <w:ind w:right="0" w:firstLine="720"/>
        <w:rPr>
          <w:color w:val="000000"/>
          <w:spacing w:val="0"/>
          <w:sz w:val="28"/>
          <w:szCs w:val="28"/>
        </w:rPr>
      </w:pPr>
      <w:r>
        <w:rPr>
          <w:color w:val="000000"/>
          <w:spacing w:val="0"/>
          <w:sz w:val="28"/>
          <w:szCs w:val="28"/>
        </w:rPr>
        <w:t>- Trước khi thi công nhà thầu phải có hàng rào che chắn xung quanh mặt bằng thi công, hàng rào phải chắn chắn và không làm ảnh hưởng đến hoạt động của đơn vị;</w:t>
      </w:r>
    </w:p>
    <w:p w14:paraId="36BAA1B1" w14:textId="77777777" w:rsidR="001C64CC" w:rsidRDefault="001C64CC" w:rsidP="001C64CC">
      <w:pPr>
        <w:pStyle w:val="BodyText"/>
        <w:widowControl w:val="0"/>
        <w:suppressAutoHyphens w:val="0"/>
        <w:spacing w:before="40"/>
        <w:ind w:right="0" w:firstLine="720"/>
        <w:rPr>
          <w:color w:val="000000"/>
          <w:spacing w:val="0"/>
          <w:sz w:val="28"/>
          <w:szCs w:val="28"/>
        </w:rPr>
      </w:pPr>
      <w:r>
        <w:rPr>
          <w:color w:val="000000"/>
          <w:spacing w:val="0"/>
          <w:sz w:val="28"/>
          <w:szCs w:val="28"/>
        </w:rPr>
        <w:t>- Trước khi kết thúc việc xây lắp công trình nhà thầu phải thu dọn mặt bằng công trường, gọn gàng, sạch sẽ, chuyển hết các vật liệu thừa, dỡ bỏ các công trình tạm phục vụ cho thi công. Sửa chữa những chỗ hư hỏng như: Đường xá, vỉa hè, cống rãnh, hệ thống công trình kỹ thuật hạ tầng... nếu như trong quá trình do nhà thầu gây ra.</w:t>
      </w:r>
    </w:p>
    <w:p w14:paraId="30D9E17D" w14:textId="77777777" w:rsidR="001C64CC" w:rsidRDefault="001C64CC" w:rsidP="001C64CC">
      <w:pPr>
        <w:widowControl w:val="0"/>
        <w:spacing w:before="40"/>
        <w:ind w:firstLine="720"/>
        <w:rPr>
          <w:b/>
          <w:iCs/>
          <w:color w:val="000000"/>
          <w:sz w:val="28"/>
          <w:szCs w:val="28"/>
          <w:lang w:val="nl-NL"/>
        </w:rPr>
      </w:pPr>
      <w:r>
        <w:rPr>
          <w:b/>
          <w:iCs/>
          <w:color w:val="000000"/>
          <w:sz w:val="28"/>
          <w:szCs w:val="28"/>
          <w:lang w:val="nl-NL"/>
        </w:rPr>
        <w:lastRenderedPageBreak/>
        <w:t>7. Yêu cầu về an toàn lao động</w:t>
      </w:r>
    </w:p>
    <w:p w14:paraId="31AC3840"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36F6BFCC" w14:textId="77777777" w:rsidR="001C64CC" w:rsidRDefault="001C64CC" w:rsidP="001C64CC">
      <w:pPr>
        <w:widowControl w:val="0"/>
        <w:spacing w:before="40"/>
        <w:ind w:firstLine="720"/>
        <w:rPr>
          <w:iCs/>
          <w:color w:val="000000"/>
          <w:spacing w:val="-2"/>
          <w:sz w:val="28"/>
          <w:szCs w:val="28"/>
          <w:lang w:val="nl-NL"/>
        </w:rPr>
      </w:pPr>
      <w:r>
        <w:rPr>
          <w:iCs/>
          <w:color w:val="000000"/>
          <w:spacing w:val="-2"/>
          <w:sz w:val="28"/>
          <w:szCs w:val="28"/>
          <w:lang w:val="nl-NL"/>
        </w:rPr>
        <w:t>-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3328D911"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411C207E"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F1747E7"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Nhà thầu thi công xây dựng có trách nhiệm cung cấp đầy đủ các trang bị bảo hộ lao động, an toàn lao động cho người lao động theo quy định khi sử dụng lao động trên công trường.</w:t>
      </w:r>
    </w:p>
    <w:p w14:paraId="6B2E69B8" w14:textId="77777777" w:rsidR="001C64CC" w:rsidRDefault="001C64CC" w:rsidP="001C64CC">
      <w:pPr>
        <w:widowControl w:val="0"/>
        <w:spacing w:before="40"/>
        <w:ind w:firstLine="720"/>
        <w:rPr>
          <w:iCs/>
          <w:color w:val="000000"/>
          <w:sz w:val="28"/>
          <w:szCs w:val="28"/>
          <w:lang w:val="nl-NL"/>
        </w:rPr>
      </w:pPr>
      <w:r>
        <w:rPr>
          <w:iCs/>
          <w:color w:val="000000"/>
          <w:sz w:val="28"/>
          <w:szCs w:val="28"/>
          <w:lang w:val="nl-N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6E9A9AF9" w14:textId="77777777" w:rsidR="001C64CC" w:rsidRDefault="001C64CC" w:rsidP="001C64CC">
      <w:pPr>
        <w:widowControl w:val="0"/>
        <w:spacing w:before="40"/>
        <w:ind w:firstLine="720"/>
        <w:rPr>
          <w:color w:val="000000"/>
          <w:sz w:val="28"/>
          <w:szCs w:val="28"/>
        </w:rPr>
      </w:pPr>
      <w:r>
        <w:rPr>
          <w:b/>
          <w:iCs/>
          <w:color w:val="000000"/>
          <w:sz w:val="28"/>
          <w:szCs w:val="28"/>
          <w:lang w:val="nl-NL"/>
        </w:rPr>
        <w:t xml:space="preserve">8. Biện pháp huy động nhân lực và thiết bị phục vụ thi công: </w:t>
      </w:r>
      <w:r>
        <w:rPr>
          <w:color w:val="000000"/>
          <w:sz w:val="28"/>
          <w:szCs w:val="28"/>
        </w:rPr>
        <w:t>Theo tiến độ và biện pháp thi công mà nhà thầu đệ trình, nhà thầu phải có phương án để huy động nhân lực và thiết bị phục vụ thi công đáp ứng và hoàn thành gói thầu để giao cho chủ đầu tư theo đúng tiến độ yêu cầu nhưng tối thiểu không được ít hơn số lượng theo yêu cầu tại tiêu chuẩn đánh giá năng lực và kinh nghiệm.</w:t>
      </w:r>
    </w:p>
    <w:p w14:paraId="3C382849" w14:textId="77777777" w:rsidR="001C64CC" w:rsidRDefault="001C64CC" w:rsidP="001C64CC">
      <w:pPr>
        <w:widowControl w:val="0"/>
        <w:spacing w:before="40"/>
        <w:ind w:firstLine="720"/>
        <w:rPr>
          <w:iCs/>
          <w:color w:val="000000"/>
          <w:sz w:val="28"/>
          <w:szCs w:val="28"/>
          <w:lang w:val="nl-NL"/>
        </w:rPr>
      </w:pPr>
      <w:r>
        <w:rPr>
          <w:b/>
          <w:iCs/>
          <w:color w:val="000000"/>
          <w:sz w:val="28"/>
          <w:szCs w:val="28"/>
          <w:lang w:val="nl-NL"/>
        </w:rPr>
        <w:t xml:space="preserve">9. Yêu cầu về biện pháp tổ chức thi công tổng thể và các hạng mục: </w:t>
      </w:r>
      <w:r>
        <w:rPr>
          <w:iCs/>
          <w:color w:val="000000"/>
          <w:sz w:val="28"/>
          <w:szCs w:val="28"/>
          <w:lang w:val="nl-NL"/>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14:paraId="516E4CAA" w14:textId="77777777" w:rsidR="001C64CC" w:rsidRDefault="001C64CC" w:rsidP="001C64CC">
      <w:pPr>
        <w:widowControl w:val="0"/>
        <w:spacing w:before="40"/>
        <w:ind w:firstLine="720"/>
        <w:rPr>
          <w:iCs/>
          <w:color w:val="000000"/>
          <w:sz w:val="28"/>
          <w:szCs w:val="28"/>
          <w:lang w:val="nl-NL"/>
        </w:rPr>
      </w:pPr>
      <w:r>
        <w:rPr>
          <w:b/>
          <w:iCs/>
          <w:color w:val="000000"/>
          <w:sz w:val="28"/>
          <w:szCs w:val="28"/>
          <w:lang w:val="nl-NL"/>
        </w:rPr>
        <w:t>10. Yêu cầu về hệ thống kiểm tra, giám sát chất lượng của nhà thầu:</w:t>
      </w:r>
      <w:r>
        <w:rPr>
          <w:iCs/>
          <w:color w:val="000000"/>
          <w:sz w:val="28"/>
          <w:szCs w:val="28"/>
          <w:lang w:val="nl-NL"/>
        </w:rPr>
        <w:t xml:space="preserve"> Căn cứ vào các tài liệu sau:</w:t>
      </w:r>
    </w:p>
    <w:p w14:paraId="0F7FEEED" w14:textId="77777777" w:rsidR="001C64CC" w:rsidRDefault="001C64CC" w:rsidP="001C64CC">
      <w:pPr>
        <w:widowControl w:val="0"/>
        <w:spacing w:before="40"/>
        <w:ind w:firstLine="720"/>
        <w:rPr>
          <w:color w:val="000000"/>
          <w:sz w:val="28"/>
          <w:szCs w:val="28"/>
          <w:lang w:val="nl-NL"/>
        </w:rPr>
      </w:pPr>
      <w:r>
        <w:rPr>
          <w:iCs/>
          <w:color w:val="000000"/>
          <w:sz w:val="28"/>
          <w:szCs w:val="28"/>
          <w:lang w:val="nl-NL"/>
        </w:rPr>
        <w:t xml:space="preserve">- Nghị định số </w:t>
      </w:r>
      <w:r>
        <w:rPr>
          <w:color w:val="000000"/>
          <w:sz w:val="28"/>
          <w:szCs w:val="28"/>
          <w:lang w:val="nl-NL"/>
        </w:rPr>
        <w:t xml:space="preserve">06/2021/NĐ-CP ngày 26/01/2021 của Chính phủ quy định chi tiết một số nội dung về quản lý chất lượng, thi công xây dựng và bảo trì công trình xây dựng; </w:t>
      </w:r>
    </w:p>
    <w:p w14:paraId="39FDB36B" w14:textId="77777777" w:rsidR="001C64CC" w:rsidRDefault="001C64CC" w:rsidP="001C64CC">
      <w:pPr>
        <w:widowControl w:val="0"/>
        <w:spacing w:before="40"/>
        <w:ind w:firstLine="720"/>
        <w:rPr>
          <w:color w:val="000000"/>
          <w:sz w:val="28"/>
          <w:szCs w:val="28"/>
          <w:lang w:val="nl-NL"/>
        </w:rPr>
      </w:pPr>
      <w:r>
        <w:rPr>
          <w:color w:val="000000"/>
          <w:sz w:val="28"/>
          <w:szCs w:val="28"/>
          <w:lang w:val="nl-NL"/>
        </w:rPr>
        <w:t xml:space="preserve">- Hợp đồng thi công và các tài liệu kèm theo gồm: Hồ sơ trúng thầu, hợp đồng thi công, biên bản thương thảo, hoàn thiện hợp đồng, quyết định phê duyệt kết quả lựa chọn nhà thầu, thông báo kết quả lựa chọn nhà thầu, thông báo chấp thuận E-HSDT và </w:t>
      </w:r>
      <w:r>
        <w:rPr>
          <w:color w:val="000000"/>
          <w:sz w:val="28"/>
          <w:szCs w:val="28"/>
          <w:lang w:val="nl-NL"/>
        </w:rPr>
        <w:lastRenderedPageBreak/>
        <w:t>trao hợp đồng;</w:t>
      </w:r>
    </w:p>
    <w:p w14:paraId="54D8E7FC" w14:textId="77777777" w:rsidR="001C64CC" w:rsidRDefault="001C64CC" w:rsidP="001C64CC">
      <w:pPr>
        <w:pStyle w:val="BodyText"/>
        <w:widowControl w:val="0"/>
        <w:tabs>
          <w:tab w:val="left" w:pos="8400"/>
        </w:tabs>
        <w:suppressAutoHyphens w:val="0"/>
        <w:spacing w:before="40"/>
        <w:ind w:right="0" w:firstLine="720"/>
        <w:rPr>
          <w:color w:val="000000"/>
          <w:spacing w:val="0"/>
          <w:sz w:val="28"/>
          <w:szCs w:val="28"/>
          <w:lang w:val="nl-NL"/>
        </w:rPr>
      </w:pPr>
      <w:r>
        <w:rPr>
          <w:color w:val="000000"/>
          <w:spacing w:val="0"/>
          <w:sz w:val="28"/>
          <w:szCs w:val="28"/>
          <w:lang w:val="nl-NL"/>
        </w:rPr>
        <w:t xml:space="preserve">- </w:t>
      </w:r>
      <w:r>
        <w:rPr>
          <w:color w:val="000000"/>
          <w:spacing w:val="0"/>
          <w:sz w:val="28"/>
          <w:szCs w:val="28"/>
        </w:rPr>
        <w:t>Quyết định phê duyệt BCKT-KT, KHLCNT và các tài liệu pháp lý khác liên quan đến công trình</w:t>
      </w:r>
      <w:r>
        <w:rPr>
          <w:color w:val="000000"/>
          <w:spacing w:val="0"/>
          <w:sz w:val="28"/>
          <w:szCs w:val="28"/>
          <w:lang w:val="nl-NL"/>
        </w:rPr>
        <w:t>;</w:t>
      </w:r>
    </w:p>
    <w:p w14:paraId="20489FC4" w14:textId="77777777" w:rsidR="001C64CC" w:rsidRDefault="001C64CC" w:rsidP="001C64CC">
      <w:pPr>
        <w:pStyle w:val="BodyText"/>
        <w:widowControl w:val="0"/>
        <w:tabs>
          <w:tab w:val="left" w:pos="8400"/>
        </w:tabs>
        <w:suppressAutoHyphens w:val="0"/>
        <w:spacing w:before="40"/>
        <w:ind w:right="0" w:firstLine="720"/>
        <w:rPr>
          <w:color w:val="000000"/>
          <w:spacing w:val="0"/>
          <w:sz w:val="28"/>
          <w:szCs w:val="28"/>
          <w:lang w:val="nl-NL"/>
        </w:rPr>
      </w:pPr>
      <w:r>
        <w:rPr>
          <w:color w:val="000000"/>
          <w:spacing w:val="0"/>
          <w:sz w:val="28"/>
          <w:szCs w:val="28"/>
          <w:lang w:val="nl-NL"/>
        </w:rPr>
        <w:t>- Các tiêu chuẩn, quy chuẩn hiện hành có liên quan.</w:t>
      </w:r>
    </w:p>
    <w:p w14:paraId="1D25E74A" w14:textId="77777777" w:rsidR="001C64CC" w:rsidRDefault="001C64CC" w:rsidP="001C64CC">
      <w:pPr>
        <w:widowControl w:val="0"/>
        <w:spacing w:before="40"/>
        <w:ind w:firstLine="720"/>
        <w:rPr>
          <w:iCs/>
          <w:color w:val="000000"/>
          <w:sz w:val="28"/>
          <w:szCs w:val="28"/>
          <w:lang w:val="nl-NL"/>
        </w:rPr>
      </w:pPr>
      <w:r>
        <w:rPr>
          <w:b/>
          <w:iCs/>
          <w:color w:val="000000"/>
          <w:sz w:val="28"/>
          <w:szCs w:val="28"/>
          <w:lang w:val="nl-NL"/>
        </w:rPr>
        <w:t>11. Yêu cầu khác</w:t>
      </w:r>
    </w:p>
    <w:p w14:paraId="5226C77E" w14:textId="77777777" w:rsidR="001C64CC" w:rsidRDefault="001C64CC" w:rsidP="001C64CC">
      <w:pPr>
        <w:widowControl w:val="0"/>
        <w:spacing w:before="40"/>
        <w:ind w:firstLine="720"/>
        <w:rPr>
          <w:color w:val="000000"/>
          <w:sz w:val="28"/>
          <w:szCs w:val="28"/>
        </w:rPr>
      </w:pPr>
      <w:r>
        <w:rPr>
          <w:color w:val="000000"/>
          <w:sz w:val="28"/>
          <w:szCs w:val="28"/>
        </w:rPr>
        <w:t>11.1. Khảo sát lại</w:t>
      </w:r>
    </w:p>
    <w:p w14:paraId="34BFFCCC" w14:textId="77777777" w:rsidR="001C64CC" w:rsidRDefault="001C64CC" w:rsidP="001C64CC">
      <w:pPr>
        <w:widowControl w:val="0"/>
        <w:spacing w:before="40"/>
        <w:ind w:firstLine="720"/>
        <w:rPr>
          <w:color w:val="000000"/>
          <w:sz w:val="28"/>
          <w:szCs w:val="28"/>
        </w:rPr>
      </w:pPr>
      <w:r>
        <w:rPr>
          <w:color w:val="000000"/>
          <w:sz w:val="28"/>
          <w:szCs w:val="28"/>
        </w:rPr>
        <w:t>- Nhà thầu bằng chi phí của mình tiến hành khảo sát lại ở hiện trường cho tất cả các công trình và lập thiết kế tổ chức thi công công trình để chủ đầu tư phê duyệt trước khi bắt đầu công việc.</w:t>
      </w:r>
    </w:p>
    <w:p w14:paraId="4451F7A6" w14:textId="77777777" w:rsidR="001C64CC" w:rsidRDefault="001C64CC" w:rsidP="001C64CC">
      <w:pPr>
        <w:widowControl w:val="0"/>
        <w:spacing w:before="40"/>
        <w:ind w:firstLine="720"/>
        <w:rPr>
          <w:color w:val="000000"/>
          <w:sz w:val="28"/>
          <w:szCs w:val="28"/>
        </w:rPr>
      </w:pPr>
      <w:r>
        <w:rPr>
          <w:color w:val="000000"/>
          <w:sz w:val="28"/>
          <w:szCs w:val="28"/>
        </w:rPr>
        <w:t>- Trước khi bắt đầu công việc và trong quá trình thi công nhà thầu phải tổ chức bộ phận thường xuyên đo đạc định vị lại vị trí các cọc và cao độ các bộ phận của công trình cho đúng lắp đặt thiết bị đúng với bản vẽ thiết kế.</w:t>
      </w:r>
    </w:p>
    <w:p w14:paraId="17967778" w14:textId="77777777" w:rsidR="001C64CC" w:rsidRDefault="001C64CC" w:rsidP="001C64CC">
      <w:pPr>
        <w:widowControl w:val="0"/>
        <w:spacing w:before="40"/>
        <w:ind w:firstLine="720"/>
        <w:rPr>
          <w:color w:val="000000"/>
          <w:sz w:val="28"/>
          <w:szCs w:val="28"/>
          <w:lang w:val="nl-NL"/>
        </w:rPr>
      </w:pPr>
      <w:r>
        <w:rPr>
          <w:color w:val="000000"/>
          <w:sz w:val="28"/>
          <w:szCs w:val="28"/>
          <w:lang w:val="nl-NL"/>
        </w:rPr>
        <w:t>11.2. Sự phối hợp giữa nhà thầu với nhà thầu tư vấn thiết kế: Nhà thầu phải thực hiện theo hướng dẫn của nhà thầu tư vấn hiết kế về các nội dung giám sát tác giả được quy định tại Nghị định số 06/2021/NĐ-CP, trong đó nhà thầu phải thực hiện và phối hợp với nhà thầu tư vấn thiết kế để triển khai các công việc cụ thể như sau:</w:t>
      </w:r>
    </w:p>
    <w:p w14:paraId="0271FA1C" w14:textId="77777777" w:rsidR="001C64CC" w:rsidRDefault="001C64CC" w:rsidP="001C64CC">
      <w:pPr>
        <w:widowControl w:val="0"/>
        <w:spacing w:before="40"/>
        <w:ind w:firstLine="720"/>
        <w:rPr>
          <w:color w:val="000000"/>
          <w:sz w:val="28"/>
          <w:szCs w:val="28"/>
          <w:lang w:val="nl-NL"/>
        </w:rPr>
      </w:pPr>
      <w:r>
        <w:rPr>
          <w:color w:val="000000"/>
          <w:sz w:val="28"/>
          <w:szCs w:val="28"/>
          <w:lang w:val="nl-NL"/>
        </w:rPr>
        <w:t>- Giải thích và làm rõ các tài liệu thiết kế công trình khi có yêu cầu của chủ đầu tư, nhà thầu thi công xây dựng và nhà thầu tư vấn giám sát thi công xây dựng công trình;</w:t>
      </w:r>
    </w:p>
    <w:p w14:paraId="6994AA88" w14:textId="77777777" w:rsidR="001C64CC" w:rsidRDefault="001C64CC" w:rsidP="001C64CC">
      <w:pPr>
        <w:widowControl w:val="0"/>
        <w:spacing w:before="40"/>
        <w:ind w:firstLine="720"/>
        <w:rPr>
          <w:color w:val="000000"/>
          <w:sz w:val="28"/>
          <w:szCs w:val="28"/>
          <w:lang w:val="nl-NL"/>
        </w:rPr>
      </w:pPr>
      <w:r>
        <w:rPr>
          <w:color w:val="000000"/>
          <w:sz w:val="28"/>
          <w:szCs w:val="28"/>
          <w:lang w:val="nl-NL"/>
        </w:rPr>
        <w:t>- Giải quyết các vướng mắc, phát sinh về thiết kế trong quá trình thi công xây dựng, điều chỉnh thiết kế phù hợp với thực tế thi công xây dựng công trình, xử lý những bất hợp lý trong thiết kế theo yêu cầu của chủ đầu tư;</w:t>
      </w:r>
    </w:p>
    <w:p w14:paraId="075F239D" w14:textId="77777777" w:rsidR="001C64CC" w:rsidRDefault="001C64CC" w:rsidP="001C64CC">
      <w:pPr>
        <w:widowControl w:val="0"/>
        <w:spacing w:before="40"/>
        <w:ind w:firstLine="720"/>
        <w:rPr>
          <w:color w:val="000000"/>
          <w:sz w:val="28"/>
          <w:szCs w:val="28"/>
          <w:lang w:val="nl-NL"/>
        </w:rPr>
      </w:pPr>
      <w:r>
        <w:rPr>
          <w:color w:val="000000"/>
          <w:sz w:val="28"/>
          <w:szCs w:val="28"/>
          <w:lang w:val="nl-NL"/>
        </w:rPr>
        <w:t xml:space="preserve">- Thực hiện theo các kiến nghị khi nhà thầu tư vấn thiết kế phát hiện nhà thầu thi công sai với thiết kế được duyệt; </w:t>
      </w:r>
    </w:p>
    <w:p w14:paraId="67E60058" w14:textId="77777777" w:rsidR="001C64CC" w:rsidRDefault="001C64CC" w:rsidP="001C64CC">
      <w:pPr>
        <w:widowControl w:val="0"/>
        <w:shd w:val="clear" w:color="auto" w:fill="FFFFFF"/>
        <w:spacing w:before="40"/>
        <w:ind w:firstLine="709"/>
        <w:rPr>
          <w:color w:val="000000"/>
          <w:sz w:val="28"/>
          <w:szCs w:val="28"/>
        </w:rPr>
      </w:pPr>
      <w:r>
        <w:rPr>
          <w:color w:val="000000"/>
          <w:sz w:val="28"/>
          <w:szCs w:val="28"/>
          <w:lang w:val="nl-NL"/>
        </w:rPr>
        <w:t>- Khi tham gia nghiệm thu công trình xây dựng theo yêu cầu của chủ đầu tư</w:t>
      </w:r>
      <w:r>
        <w:rPr>
          <w:color w:val="000000"/>
          <w:sz w:val="28"/>
          <w:szCs w:val="28"/>
        </w:rPr>
        <w:t>.</w:t>
      </w:r>
    </w:p>
    <w:p w14:paraId="7DA826A7" w14:textId="77777777" w:rsidR="001C64CC" w:rsidRDefault="001C64CC" w:rsidP="001C64CC">
      <w:pPr>
        <w:widowControl w:val="0"/>
        <w:shd w:val="clear" w:color="auto" w:fill="FFFFFF"/>
        <w:spacing w:before="120" w:after="120"/>
        <w:ind w:firstLine="709"/>
        <w:rPr>
          <w:b/>
          <w:color w:val="000000"/>
          <w:sz w:val="28"/>
          <w:szCs w:val="28"/>
        </w:rPr>
      </w:pPr>
      <w:r>
        <w:rPr>
          <w:b/>
          <w:color w:val="000000"/>
          <w:sz w:val="28"/>
          <w:szCs w:val="28"/>
        </w:rPr>
        <w:t>IV. CÁC BẢN VẼ</w:t>
      </w:r>
    </w:p>
    <w:p w14:paraId="36DFCA15" w14:textId="77777777" w:rsidR="001C64CC" w:rsidRDefault="001C64CC" w:rsidP="001C64CC">
      <w:pPr>
        <w:widowControl w:val="0"/>
        <w:shd w:val="clear" w:color="auto" w:fill="FFFFFF"/>
        <w:spacing w:before="120" w:after="120"/>
        <w:ind w:firstLine="709"/>
        <w:rPr>
          <w:color w:val="000000"/>
          <w:sz w:val="28"/>
          <w:szCs w:val="28"/>
        </w:rPr>
      </w:pPr>
      <w:r>
        <w:rPr>
          <w:color w:val="000000"/>
          <w:sz w:val="28"/>
          <w:szCs w:val="28"/>
        </w:rPr>
        <w:t>E-HSMT này bao gồm các bản vẽ đã được UBND xã Tương Dương phê duyệt tại các Quyết định: 585/QĐ-UBND ngày 31/10/2025 và được đính kèm đầy đủ khi phát hành E-HSMT.</w:t>
      </w:r>
    </w:p>
    <w:p w14:paraId="27453AE0" w14:textId="77777777" w:rsidR="001C64CC" w:rsidRDefault="001C64CC"/>
    <w:sectPr w:rsidR="001C64CC" w:rsidSect="001C64CC">
      <w:pgSz w:w="16840" w:h="11907"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CC"/>
    <w:rsid w:val="001C64CC"/>
    <w:rsid w:val="0067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5BE4"/>
  <w15:chartTrackingRefBased/>
  <w15:docId w15:val="{CB304982-4C84-41C8-9D08-50F7FD34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C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C64C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4C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4C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64C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C64C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C64C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C64C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C64C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C64C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4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4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4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4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4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4CC"/>
    <w:rPr>
      <w:rFonts w:eastAsiaTheme="majorEastAsia" w:cstheme="majorBidi"/>
      <w:color w:val="272727" w:themeColor="text1" w:themeTint="D8"/>
    </w:rPr>
  </w:style>
  <w:style w:type="paragraph" w:styleId="Title">
    <w:name w:val="Title"/>
    <w:basedOn w:val="Normal"/>
    <w:next w:val="Normal"/>
    <w:link w:val="TitleChar"/>
    <w:uiPriority w:val="10"/>
    <w:qFormat/>
    <w:rsid w:val="001C64C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6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4C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4C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C64CC"/>
    <w:rPr>
      <w:i/>
      <w:iCs/>
      <w:color w:val="404040" w:themeColor="text1" w:themeTint="BF"/>
    </w:rPr>
  </w:style>
  <w:style w:type="paragraph" w:styleId="ListParagraph">
    <w:name w:val="List Paragraph"/>
    <w:basedOn w:val="Normal"/>
    <w:uiPriority w:val="34"/>
    <w:qFormat/>
    <w:rsid w:val="001C64C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C64CC"/>
    <w:rPr>
      <w:i/>
      <w:iCs/>
      <w:color w:val="2F5496" w:themeColor="accent1" w:themeShade="BF"/>
    </w:rPr>
  </w:style>
  <w:style w:type="paragraph" w:styleId="IntenseQuote">
    <w:name w:val="Intense Quote"/>
    <w:basedOn w:val="Normal"/>
    <w:next w:val="Normal"/>
    <w:link w:val="IntenseQuoteChar"/>
    <w:uiPriority w:val="30"/>
    <w:qFormat/>
    <w:rsid w:val="001C64C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C64CC"/>
    <w:rPr>
      <w:i/>
      <w:iCs/>
      <w:color w:val="2F5496" w:themeColor="accent1" w:themeShade="BF"/>
    </w:rPr>
  </w:style>
  <w:style w:type="character" w:styleId="IntenseReference">
    <w:name w:val="Intense Reference"/>
    <w:basedOn w:val="DefaultParagraphFont"/>
    <w:uiPriority w:val="32"/>
    <w:qFormat/>
    <w:rsid w:val="001C64CC"/>
    <w:rPr>
      <w:b/>
      <w:bCs/>
      <w:smallCaps/>
      <w:color w:val="2F5496" w:themeColor="accent1" w:themeShade="BF"/>
      <w:spacing w:val="5"/>
    </w:rPr>
  </w:style>
  <w:style w:type="paragraph" w:styleId="BodyText">
    <w:name w:val="Body Text"/>
    <w:aliases w:val="ändrad,EHPT,Body Text2,Body3,AvtalBrödtext,Bodytext,Body Text level 1,Response,à¹×éÍàÃ×èÍ§,B-text1.5,B-text1.5 + Times New Roman,13 pt,Before:  0.38&quot;,Body Text Char Char Char,Body Text Char Char,bt,B-text1,5 + Times New Roman,Before:  0,38&quot;,gl"/>
    <w:basedOn w:val="Normal"/>
    <w:link w:val="BodyTextChar"/>
    <w:qFormat/>
    <w:rsid w:val="001C64CC"/>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B-text1.5 + Times New Roman Char,13 pt Char,Before:  0.38&quot; Char,bt Char,B-text1 Char"/>
    <w:basedOn w:val="DefaultParagraphFont"/>
    <w:link w:val="BodyText"/>
    <w:rsid w:val="001C64CC"/>
    <w:rPr>
      <w:rFonts w:ascii="Times New Roman" w:eastAsia="Times New Roman" w:hAnsi="Times New Roman" w:cs="Times New Roman"/>
      <w:spacing w:val="-4"/>
      <w:kern w:val="0"/>
      <w:szCs w:val="20"/>
      <w14:ligatures w14:val="none"/>
    </w:rPr>
  </w:style>
  <w:style w:type="paragraph" w:customStyle="1" w:styleId="Style11">
    <w:name w:val="Style 11"/>
    <w:basedOn w:val="Normal"/>
    <w:rsid w:val="001C64CC"/>
    <w:pPr>
      <w:widowControl w:val="0"/>
      <w:autoSpaceDE w:val="0"/>
      <w:autoSpaceDN w:val="0"/>
      <w:spacing w:line="384" w:lineRule="atLeast"/>
      <w:jc w:val="left"/>
    </w:pPr>
    <w:rPr>
      <w:szCs w:val="24"/>
    </w:rPr>
  </w:style>
  <w:style w:type="paragraph" w:customStyle="1" w:styleId="BANGBIEU">
    <w:name w:val="BANG BIEU"/>
    <w:basedOn w:val="BodyText3"/>
    <w:rsid w:val="001C64CC"/>
    <w:pPr>
      <w:spacing w:after="0"/>
      <w:ind w:firstLine="113"/>
    </w:pPr>
    <w:rPr>
      <w:color w:val="000000"/>
      <w:sz w:val="24"/>
      <w:szCs w:val="20"/>
      <w:lang w:val="x-none" w:eastAsia="x-none"/>
    </w:rPr>
  </w:style>
  <w:style w:type="character" w:customStyle="1" w:styleId="Bodytext2">
    <w:name w:val="Body text (2)_"/>
    <w:link w:val="Bodytext21"/>
    <w:uiPriority w:val="99"/>
    <w:locked/>
    <w:rsid w:val="001C64CC"/>
    <w:rPr>
      <w:shd w:val="clear" w:color="auto" w:fill="FFFFFF"/>
    </w:rPr>
  </w:style>
  <w:style w:type="paragraph" w:customStyle="1" w:styleId="Bodytext21">
    <w:name w:val="Body text (2)1"/>
    <w:basedOn w:val="Normal"/>
    <w:link w:val="Bodytext2"/>
    <w:uiPriority w:val="99"/>
    <w:rsid w:val="001C64CC"/>
    <w:pPr>
      <w:widowControl w:val="0"/>
      <w:shd w:val="clear" w:color="auto" w:fill="FFFFFF"/>
      <w:spacing w:after="120" w:line="328" w:lineRule="exact"/>
    </w:pPr>
    <w:rPr>
      <w:rFonts w:asciiTheme="minorHAnsi" w:eastAsiaTheme="minorHAnsi" w:hAnsiTheme="minorHAnsi" w:cstheme="minorBidi"/>
      <w:kern w:val="2"/>
      <w:szCs w:val="24"/>
      <w14:ligatures w14:val="standardContextual"/>
    </w:rPr>
  </w:style>
  <w:style w:type="character" w:customStyle="1" w:styleId="Bodytext2Bold4">
    <w:name w:val="Body text (2) + Bold4"/>
    <w:uiPriority w:val="99"/>
    <w:rsid w:val="001C64CC"/>
    <w:rPr>
      <w:rFonts w:ascii="Times New Roman" w:hAnsi="Times New Roman" w:cs="Times New Roman"/>
      <w:b/>
      <w:bCs/>
      <w:u w:val="none"/>
      <w:shd w:val="clear" w:color="auto" w:fill="FFFFFF"/>
    </w:rPr>
  </w:style>
  <w:style w:type="character" w:customStyle="1" w:styleId="Heading80">
    <w:name w:val="Heading #8_"/>
    <w:link w:val="Heading81"/>
    <w:uiPriority w:val="99"/>
    <w:locked/>
    <w:rsid w:val="001C64CC"/>
    <w:rPr>
      <w:b/>
      <w:bCs/>
      <w:sz w:val="32"/>
      <w:szCs w:val="32"/>
      <w:shd w:val="clear" w:color="auto" w:fill="FFFFFF"/>
    </w:rPr>
  </w:style>
  <w:style w:type="paragraph" w:customStyle="1" w:styleId="Heading81">
    <w:name w:val="Heading #8"/>
    <w:basedOn w:val="Normal"/>
    <w:link w:val="Heading80"/>
    <w:uiPriority w:val="99"/>
    <w:rsid w:val="001C64CC"/>
    <w:pPr>
      <w:widowControl w:val="0"/>
      <w:shd w:val="clear" w:color="auto" w:fill="FFFFFF"/>
      <w:spacing w:line="240" w:lineRule="atLeast"/>
      <w:jc w:val="center"/>
      <w:outlineLvl w:val="7"/>
    </w:pPr>
    <w:rPr>
      <w:rFonts w:asciiTheme="minorHAnsi" w:eastAsiaTheme="minorHAnsi" w:hAnsiTheme="minorHAnsi" w:cstheme="minorBidi"/>
      <w:b/>
      <w:bCs/>
      <w:kern w:val="2"/>
      <w:sz w:val="32"/>
      <w:szCs w:val="32"/>
      <w14:ligatures w14:val="standardContextual"/>
    </w:rPr>
  </w:style>
  <w:style w:type="paragraph" w:styleId="BodyText3">
    <w:name w:val="Body Text 3"/>
    <w:basedOn w:val="Normal"/>
    <w:link w:val="BodyText3Char"/>
    <w:uiPriority w:val="99"/>
    <w:semiHidden/>
    <w:unhideWhenUsed/>
    <w:rsid w:val="001C64CC"/>
    <w:pPr>
      <w:spacing w:after="120"/>
    </w:pPr>
    <w:rPr>
      <w:sz w:val="16"/>
      <w:szCs w:val="16"/>
    </w:rPr>
  </w:style>
  <w:style w:type="character" w:customStyle="1" w:styleId="BodyText3Char">
    <w:name w:val="Body Text 3 Char"/>
    <w:basedOn w:val="DefaultParagraphFont"/>
    <w:link w:val="BodyText3"/>
    <w:uiPriority w:val="99"/>
    <w:semiHidden/>
    <w:rsid w:val="001C64CC"/>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2879</Words>
  <Characters>16413</Characters>
  <Application>Microsoft Office Word</Application>
  <DocSecurity>0</DocSecurity>
  <Lines>136</Lines>
  <Paragraphs>38</Paragraphs>
  <ScaleCrop>false</ScaleCrop>
  <Company>oprekin.com</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2025-11-14T02:37:00Z</dcterms:created>
  <dcterms:modified xsi:type="dcterms:W3CDTF">2025-11-14T02:37:00Z</dcterms:modified>
</cp:coreProperties>
</file>