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8"/>
        <w:gridCol w:w="10497"/>
        <w:gridCol w:w="1984"/>
      </w:tblGrid>
      <w:tr w:rsidR="009D4D34" w:rsidRPr="009D4D34" w14:paraId="16BACAC4" w14:textId="77777777" w:rsidTr="009D4D34">
        <w:trPr>
          <w:tblHeader/>
          <w:jc w:val="center"/>
        </w:trPr>
        <w:tc>
          <w:tcPr>
            <w:tcW w:w="12895" w:type="dxa"/>
            <w:gridSpan w:val="2"/>
            <w:vAlign w:val="center"/>
          </w:tcPr>
          <w:p w14:paraId="33D166AC"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Nội dung đánh giá</w:t>
            </w:r>
          </w:p>
        </w:tc>
        <w:tc>
          <w:tcPr>
            <w:tcW w:w="1984" w:type="dxa"/>
            <w:vAlign w:val="center"/>
          </w:tcPr>
          <w:p w14:paraId="035CB5E5"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Sử dụng tiêu chí đạt, không đạt</w:t>
            </w:r>
          </w:p>
        </w:tc>
      </w:tr>
      <w:tr w:rsidR="009D4D34" w:rsidRPr="009D4D34" w14:paraId="2EB21FB4" w14:textId="77777777" w:rsidTr="009D4D34">
        <w:trPr>
          <w:jc w:val="center"/>
        </w:trPr>
        <w:tc>
          <w:tcPr>
            <w:tcW w:w="14879" w:type="dxa"/>
            <w:gridSpan w:val="3"/>
            <w:vAlign w:val="center"/>
          </w:tcPr>
          <w:p w14:paraId="17017A00" w14:textId="77777777" w:rsidR="009D4D34" w:rsidRPr="009D4D34" w:rsidRDefault="009D4D34" w:rsidP="009D4D34">
            <w:pPr>
              <w:spacing w:before="60" w:after="60" w:line="276" w:lineRule="auto"/>
              <w:ind w:right="43"/>
              <w:rPr>
                <w:rFonts w:eastAsia="Calibri" w:cs="Times New Roman"/>
                <w:b/>
                <w:kern w:val="0"/>
                <w:sz w:val="26"/>
                <w:szCs w:val="26"/>
                <w14:ligatures w14:val="none"/>
              </w:rPr>
            </w:pPr>
            <w:r w:rsidRPr="009D4D34">
              <w:rPr>
                <w:rFonts w:eastAsia="Calibri" w:cs="Times New Roman"/>
                <w:b/>
                <w:kern w:val="0"/>
                <w:sz w:val="26"/>
                <w:szCs w:val="26"/>
                <w14:ligatures w14:val="none"/>
              </w:rPr>
              <w:t>1. Đặc tính kỹ thuật của hàng hóa</w:t>
            </w:r>
          </w:p>
        </w:tc>
      </w:tr>
      <w:tr w:rsidR="009D4D34" w:rsidRPr="009D4D34" w14:paraId="792DDFBF" w14:textId="77777777" w:rsidTr="009D4D34">
        <w:trPr>
          <w:jc w:val="center"/>
        </w:trPr>
        <w:tc>
          <w:tcPr>
            <w:tcW w:w="2398" w:type="dxa"/>
            <w:vMerge w:val="restart"/>
            <w:vAlign w:val="center"/>
          </w:tcPr>
          <w:p w14:paraId="0276FDBB" w14:textId="77777777" w:rsidR="009D4D34" w:rsidRPr="009D4D34" w:rsidRDefault="009D4D34" w:rsidP="009D4D34">
            <w:pPr>
              <w:spacing w:before="60" w:after="60" w:line="276" w:lineRule="auto"/>
              <w:ind w:left="50" w:right="77"/>
              <w:rPr>
                <w:rFonts w:eastAsia="Calibri" w:cs="Times New Roman"/>
                <w:kern w:val="0"/>
                <w:sz w:val="26"/>
                <w:szCs w:val="26"/>
                <w14:ligatures w14:val="none"/>
              </w:rPr>
            </w:pPr>
            <w:r w:rsidRPr="009D4D34">
              <w:rPr>
                <w:rFonts w:eastAsia="Calibri" w:cs="Times New Roman"/>
                <w:kern w:val="0"/>
                <w:sz w:val="26"/>
                <w:szCs w:val="26"/>
                <w:lang w:val="vi-VN"/>
                <w14:ligatures w14:val="none"/>
              </w:rPr>
              <w:t>Đặc tính, thông số kỹ thuật của hàng hóa</w:t>
            </w:r>
          </w:p>
        </w:tc>
        <w:tc>
          <w:tcPr>
            <w:tcW w:w="10497" w:type="dxa"/>
            <w:vAlign w:val="center"/>
          </w:tcPr>
          <w:p w14:paraId="29F0B166" w14:textId="6872DFCB"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Có xuất xứ, đơn vị sản xuất, nhãn hiệu/model/serial, đặc tính, thông số kỹ thuật của hàng hóa đáp ứng tất cả các yêu cầu về kỹ thuật tại Chương V. Yêu cầu về kỹ thuật của E- HSMT bằng tài liệu như catalogue/tài liệu kỹ thuật hợp pháp</w:t>
            </w:r>
            <w:r>
              <w:rPr>
                <w:rFonts w:eastAsia="Calibri" w:cs="Times New Roman"/>
                <w:kern w:val="0"/>
                <w:sz w:val="26"/>
                <w:szCs w:val="26"/>
                <w14:ligatures w14:val="none"/>
              </w:rPr>
              <w:t xml:space="preserve"> (được download từ các</w:t>
            </w:r>
            <w:r w:rsidRPr="009D4D34">
              <w:rPr>
                <w:rFonts w:eastAsia="Calibri" w:cs="Times New Roman"/>
                <w:kern w:val="0"/>
                <w:sz w:val="26"/>
                <w:szCs w:val="26"/>
                <w14:ligatures w14:val="none"/>
              </w:rPr>
              <w:t xml:space="preserve"> website thương mại điện tử </w:t>
            </w:r>
            <w:r>
              <w:rPr>
                <w:rFonts w:eastAsia="Calibri" w:cs="Times New Roman"/>
                <w:kern w:val="0"/>
                <w:sz w:val="26"/>
                <w:szCs w:val="26"/>
                <w14:ligatures w14:val="none"/>
              </w:rPr>
              <w:t xml:space="preserve">hoặc của nhà sản xuất </w:t>
            </w:r>
            <w:r w:rsidRPr="009D4D34">
              <w:rPr>
                <w:rFonts w:eastAsia="Calibri" w:cs="Times New Roman"/>
                <w:kern w:val="0"/>
                <w:sz w:val="26"/>
                <w:szCs w:val="26"/>
                <w14:ligatures w14:val="none"/>
              </w:rPr>
              <w:t>(nhà thầu phải cung cấp đường link website)</w:t>
            </w:r>
            <w:r>
              <w:rPr>
                <w:rFonts w:eastAsia="Calibri" w:cs="Times New Roman"/>
                <w:kern w:val="0"/>
                <w:sz w:val="26"/>
                <w:szCs w:val="26"/>
                <w14:ligatures w14:val="none"/>
              </w:rPr>
              <w:t>).</w:t>
            </w:r>
          </w:p>
          <w:p w14:paraId="11D24DF5"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xml:space="preserve">- Có đầy đủ các tài liệu khác hợp pháp khác kèm theo để chứng minh các nội dung trong catalogue/tài liệu kỹ thuật chưa thể hiện đầy đủ, các tài liệu liên quan nhà sản xuất như quy định tại Chương V. </w:t>
            </w:r>
          </w:p>
          <w:p w14:paraId="4C056773" w14:textId="0AAD21CC"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xml:space="preserve">- </w:t>
            </w:r>
            <w:r w:rsidRPr="009D4D34">
              <w:rPr>
                <w:rFonts w:eastAsia="Times New Roman" w:cs="Times New Roman"/>
                <w:kern w:val="0"/>
                <w:sz w:val="26"/>
                <w:szCs w:val="26"/>
                <w:lang w:val="es-ES"/>
                <w14:ligatures w14:val="none"/>
              </w:rPr>
              <w:t>Cam kết hàng hóa mới 100%</w:t>
            </w:r>
            <w:r>
              <w:rPr>
                <w:rFonts w:eastAsia="Times New Roman" w:cs="Times New Roman"/>
                <w:kern w:val="0"/>
                <w:sz w:val="26"/>
                <w:szCs w:val="26"/>
                <w:lang w:val="es-ES"/>
                <w14:ligatures w14:val="none"/>
              </w:rPr>
              <w:t>,</w:t>
            </w:r>
            <w:r w:rsidRPr="009D4D34">
              <w:rPr>
                <w:rFonts w:eastAsia="Times New Roman" w:cs="Times New Roman"/>
                <w:kern w:val="0"/>
                <w:sz w:val="26"/>
                <w:szCs w:val="26"/>
                <w:lang w:val="es-ES"/>
                <w14:ligatures w14:val="none"/>
              </w:rPr>
              <w:t xml:space="preserve"> đầy đủ giấy tờ về chất lượng, xuất xứ, bảo hành, nhập khẩu tại thời điểm giao hàng.</w:t>
            </w:r>
          </w:p>
          <w:p w14:paraId="065E9081" w14:textId="248FE196" w:rsidR="009D4D34" w:rsidRPr="00137B6E"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 Tất cả các tài liệu phải bằng tiếng Việt, nếu tài liệu gốc là tiếng nước ngoài cần có bản dịch thuật sang tiếng Việt</w:t>
            </w:r>
          </w:p>
        </w:tc>
        <w:tc>
          <w:tcPr>
            <w:tcW w:w="1984" w:type="dxa"/>
            <w:vAlign w:val="center"/>
          </w:tcPr>
          <w:p w14:paraId="74DA63A6"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Đạt</w:t>
            </w:r>
          </w:p>
        </w:tc>
      </w:tr>
      <w:tr w:rsidR="009D4D34" w:rsidRPr="009D4D34" w14:paraId="2C68B263" w14:textId="77777777" w:rsidTr="009D4D34">
        <w:trPr>
          <w:jc w:val="center"/>
        </w:trPr>
        <w:tc>
          <w:tcPr>
            <w:tcW w:w="2398" w:type="dxa"/>
            <w:vMerge/>
          </w:tcPr>
          <w:p w14:paraId="6FED99BF" w14:textId="77777777" w:rsidR="009D4D34" w:rsidRPr="009D4D34" w:rsidRDefault="009D4D34" w:rsidP="009D4D34">
            <w:pPr>
              <w:spacing w:before="60" w:after="60" w:line="276" w:lineRule="auto"/>
              <w:ind w:right="43"/>
              <w:rPr>
                <w:rFonts w:eastAsia="Calibri" w:cs="Times New Roman"/>
                <w:kern w:val="0"/>
                <w:sz w:val="26"/>
                <w:szCs w:val="26"/>
                <w14:ligatures w14:val="none"/>
              </w:rPr>
            </w:pPr>
          </w:p>
        </w:tc>
        <w:tc>
          <w:tcPr>
            <w:tcW w:w="10497" w:type="dxa"/>
            <w:vAlign w:val="center"/>
          </w:tcPr>
          <w:p w14:paraId="09301BDE" w14:textId="0DDB8A5A" w:rsidR="009D4D34" w:rsidRPr="009D4D34" w:rsidRDefault="009D4D34" w:rsidP="009D4D34">
            <w:pPr>
              <w:spacing w:before="60" w:after="60" w:line="276" w:lineRule="auto"/>
              <w:ind w:right="80"/>
              <w:jc w:val="both"/>
              <w:rPr>
                <w:rFonts w:eastAsia="Calibri" w:cs="Times New Roman"/>
                <w:b/>
                <w:kern w:val="0"/>
                <w:sz w:val="26"/>
                <w:szCs w:val="26"/>
                <w:shd w:val="clear" w:color="auto" w:fill="FFFFFF"/>
                <w14:ligatures w14:val="none"/>
              </w:rPr>
            </w:pPr>
            <w:r w:rsidRPr="009D4D34">
              <w:rPr>
                <w:rFonts w:eastAsia="Calibri" w:cs="Times New Roman"/>
                <w:kern w:val="0"/>
                <w:sz w:val="26"/>
                <w:szCs w:val="26"/>
                <w14:ligatures w14:val="none"/>
              </w:rPr>
              <w:t xml:space="preserve">Không có xuất xứ/đơn vị sản xuất/nhãn hiệu/model/serial/tài liệu chứng minh đáp ứng yêu cầu hoặc có đặc tính, thông số kỹ thuật của hàng hóa </w:t>
            </w:r>
            <w:r w:rsidRPr="009D4D34">
              <w:rPr>
                <w:rFonts w:eastAsia="Calibri" w:cs="Times New Roman"/>
                <w:kern w:val="0"/>
                <w:sz w:val="26"/>
                <w:szCs w:val="26"/>
                <w:lang w:val="vi-VN"/>
                <w14:ligatures w14:val="none"/>
              </w:rPr>
              <w:t>và</w:t>
            </w:r>
            <w:r w:rsidRPr="009D4D34">
              <w:rPr>
                <w:rFonts w:eastAsia="Calibri" w:cs="Times New Roman"/>
                <w:kern w:val="0"/>
                <w:sz w:val="26"/>
                <w:szCs w:val="26"/>
                <w14:ligatures w14:val="none"/>
              </w:rPr>
              <w:t>/hoặc</w:t>
            </w:r>
            <w:r w:rsidRPr="009D4D34">
              <w:rPr>
                <w:rFonts w:eastAsia="Calibri" w:cs="Times New Roman"/>
                <w:kern w:val="0"/>
                <w:sz w:val="26"/>
                <w:szCs w:val="26"/>
                <w:lang w:val="vi-VN"/>
                <w14:ligatures w14:val="none"/>
              </w:rPr>
              <w:t xml:space="preserve"> không</w:t>
            </w:r>
            <w:r w:rsidRPr="009D4D34">
              <w:rPr>
                <w:rFonts w:eastAsia="Calibri" w:cs="Times New Roman"/>
                <w:kern w:val="0"/>
                <w:sz w:val="26"/>
                <w:szCs w:val="26"/>
                <w14:ligatures w14:val="none"/>
              </w:rPr>
              <w:t xml:space="preserve"> đáp ứng yêu cầu của HSMT hoặc nhà thầu cố tình không cung cấp link website khi có công văn làm rõ E-HSDT</w:t>
            </w:r>
            <w:r>
              <w:rPr>
                <w:rFonts w:eastAsia="Calibri" w:cs="Times New Roman"/>
                <w:kern w:val="0"/>
                <w:sz w:val="26"/>
                <w:szCs w:val="26"/>
                <w14:ligatures w14:val="none"/>
              </w:rPr>
              <w:t xml:space="preserve"> hoặc catalogue/tài liệu kỹ thuật không hợp pháp</w:t>
            </w:r>
            <w:r w:rsidRPr="009D4D34">
              <w:rPr>
                <w:rFonts w:eastAsia="Calibri" w:cs="Times New Roman"/>
                <w:kern w:val="0"/>
                <w:sz w:val="26"/>
                <w:szCs w:val="26"/>
                <w14:ligatures w14:val="none"/>
              </w:rPr>
              <w:t xml:space="preserve"> hoặc không có cam kết</w:t>
            </w:r>
          </w:p>
        </w:tc>
        <w:tc>
          <w:tcPr>
            <w:tcW w:w="1984" w:type="dxa"/>
            <w:vAlign w:val="center"/>
          </w:tcPr>
          <w:p w14:paraId="15A9C148"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Không đạt</w:t>
            </w:r>
          </w:p>
        </w:tc>
      </w:tr>
      <w:tr w:rsidR="009D4D34" w:rsidRPr="009D4D34" w14:paraId="042EAF6A" w14:textId="77777777" w:rsidTr="009D4D34">
        <w:trPr>
          <w:jc w:val="center"/>
        </w:trPr>
        <w:tc>
          <w:tcPr>
            <w:tcW w:w="14879" w:type="dxa"/>
            <w:gridSpan w:val="3"/>
          </w:tcPr>
          <w:p w14:paraId="47904187" w14:textId="77777777" w:rsidR="009D4D34" w:rsidRPr="009D4D34" w:rsidRDefault="009D4D34" w:rsidP="009D4D34">
            <w:pPr>
              <w:spacing w:before="60" w:after="60" w:line="276" w:lineRule="auto"/>
              <w:ind w:right="43"/>
              <w:rPr>
                <w:rFonts w:eastAsia="Calibri" w:cs="Times New Roman"/>
                <w:b/>
                <w:kern w:val="0"/>
                <w:sz w:val="26"/>
                <w:szCs w:val="26"/>
                <w14:ligatures w14:val="none"/>
              </w:rPr>
            </w:pPr>
            <w:r w:rsidRPr="009D4D34">
              <w:rPr>
                <w:rFonts w:eastAsia="Calibri" w:cs="Times New Roman"/>
                <w:b/>
                <w:bCs/>
                <w:kern w:val="0"/>
                <w:sz w:val="26"/>
                <w:szCs w:val="26"/>
                <w14:ligatures w14:val="none"/>
              </w:rPr>
              <w:t xml:space="preserve">2. </w:t>
            </w:r>
            <w:r w:rsidRPr="009D4D34">
              <w:rPr>
                <w:rFonts w:eastAsia="Times New Roman" w:cs="Times New Roman"/>
                <w:b/>
                <w:bCs/>
                <w:kern w:val="0"/>
                <w:sz w:val="26"/>
                <w:szCs w:val="26"/>
                <w14:ligatures w14:val="none"/>
              </w:rPr>
              <w:t>Giải pháp kỹ thuật, biện pháp tổ chức cung cấp, lắp đặt hàng hóa</w:t>
            </w:r>
          </w:p>
        </w:tc>
      </w:tr>
      <w:tr w:rsidR="009D4D34" w:rsidRPr="009D4D34" w14:paraId="5689B308" w14:textId="77777777" w:rsidTr="009D4D34">
        <w:trPr>
          <w:jc w:val="center"/>
        </w:trPr>
        <w:tc>
          <w:tcPr>
            <w:tcW w:w="2398" w:type="dxa"/>
            <w:vMerge w:val="restart"/>
            <w:vAlign w:val="center"/>
          </w:tcPr>
          <w:p w14:paraId="0E0C210B"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kern w:val="0"/>
                <w:sz w:val="26"/>
                <w:szCs w:val="26"/>
                <w14:ligatures w14:val="none"/>
              </w:rPr>
              <w:t xml:space="preserve">Tiến độ cung cấp </w:t>
            </w:r>
          </w:p>
        </w:tc>
        <w:tc>
          <w:tcPr>
            <w:tcW w:w="10497" w:type="dxa"/>
            <w:vAlign w:val="center"/>
          </w:tcPr>
          <w:p w14:paraId="025C6AEE" w14:textId="74CF10E0" w:rsidR="009D4D34" w:rsidRPr="009D4D34" w:rsidRDefault="009D4D34" w:rsidP="009D4D34">
            <w:pPr>
              <w:spacing w:before="60" w:after="60" w:line="276" w:lineRule="auto"/>
              <w:ind w:right="80"/>
              <w:jc w:val="both"/>
              <w:textAlignment w:val="baseline"/>
              <w:rPr>
                <w:rFonts w:eastAsia="Calibri" w:cs="Times New Roman"/>
                <w:kern w:val="0"/>
                <w:sz w:val="26"/>
                <w:szCs w:val="26"/>
                <w:lang w:val="vi-VN"/>
                <w14:ligatures w14:val="none"/>
              </w:rPr>
            </w:pPr>
            <w:r w:rsidRPr="009D4D34">
              <w:rPr>
                <w:rFonts w:eastAsia="Calibri" w:cs="Times New Roman"/>
                <w:kern w:val="0"/>
                <w:sz w:val="26"/>
                <w:szCs w:val="26"/>
                <w:lang w:val="vi-VN"/>
                <w14:ligatures w14:val="none"/>
              </w:rPr>
              <w:t xml:space="preserve">Đề xuất thời gian thực hiện </w:t>
            </w:r>
            <w:r>
              <w:rPr>
                <w:rFonts w:eastAsia="Calibri" w:cs="Times New Roman"/>
                <w:kern w:val="0"/>
                <w:sz w:val="26"/>
                <w:szCs w:val="26"/>
                <w:lang w:val="vi-VN"/>
                <w14:ligatures w14:val="none"/>
              </w:rPr>
              <w:t>đ</w:t>
            </w:r>
            <w:r>
              <w:rPr>
                <w:rFonts w:eastAsia="Calibri" w:cs="Times New Roman"/>
                <w:kern w:val="0"/>
                <w:sz w:val="26"/>
                <w:szCs w:val="26"/>
                <w14:ligatures w14:val="none"/>
              </w:rPr>
              <w:t>áp ứng yêu cầu tại Chương V</w:t>
            </w:r>
            <w:r w:rsidRPr="009D4D34">
              <w:rPr>
                <w:rFonts w:eastAsia="Calibri" w:cs="Times New Roman"/>
                <w:kern w:val="0"/>
                <w:sz w:val="26"/>
                <w:szCs w:val="26"/>
                <w:lang w:val="vi-VN"/>
                <w14:ligatures w14:val="none"/>
              </w:rPr>
              <w:t xml:space="preserve"> có tính đến điều kiện thời tiết.</w:t>
            </w:r>
          </w:p>
        </w:tc>
        <w:tc>
          <w:tcPr>
            <w:tcW w:w="1984" w:type="dxa"/>
            <w:vAlign w:val="center"/>
          </w:tcPr>
          <w:p w14:paraId="2E7EEE53" w14:textId="77777777" w:rsidR="009D4D34" w:rsidRPr="009D4D34" w:rsidRDefault="009D4D34" w:rsidP="009D4D34">
            <w:pPr>
              <w:spacing w:before="60" w:after="60" w:line="276" w:lineRule="auto"/>
              <w:ind w:right="43"/>
              <w:jc w:val="center"/>
              <w:rPr>
                <w:rFonts w:eastAsia="Calibri" w:cs="Times New Roman"/>
                <w:b/>
                <w:kern w:val="0"/>
                <w:sz w:val="26"/>
                <w:szCs w:val="26"/>
                <w14:ligatures w14:val="none"/>
              </w:rPr>
            </w:pPr>
            <w:r w:rsidRPr="009D4D34">
              <w:rPr>
                <w:rFonts w:eastAsia="Calibri" w:cs="Times New Roman"/>
                <w:b/>
                <w:kern w:val="0"/>
                <w:sz w:val="26"/>
                <w:szCs w:val="26"/>
                <w14:ligatures w14:val="none"/>
              </w:rPr>
              <w:t>Đạt</w:t>
            </w:r>
          </w:p>
        </w:tc>
      </w:tr>
      <w:tr w:rsidR="009D4D34" w:rsidRPr="009D4D34" w14:paraId="7B9EC258" w14:textId="77777777" w:rsidTr="009D4D34">
        <w:trPr>
          <w:jc w:val="center"/>
        </w:trPr>
        <w:tc>
          <w:tcPr>
            <w:tcW w:w="2398" w:type="dxa"/>
            <w:vMerge/>
          </w:tcPr>
          <w:p w14:paraId="7BA61251"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vAlign w:val="center"/>
          </w:tcPr>
          <w:p w14:paraId="2D19BA84" w14:textId="3A123ED8"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lang w:val="vi-VN"/>
                <w14:ligatures w14:val="none"/>
              </w:rPr>
              <w:t>Đề xuất thời gian thực hiện vượt quá</w:t>
            </w:r>
            <w:r>
              <w:rPr>
                <w:rFonts w:eastAsia="Calibri" w:cs="Times New Roman"/>
                <w:kern w:val="0"/>
                <w:sz w:val="26"/>
                <w:szCs w:val="26"/>
                <w14:ligatures w14:val="none"/>
              </w:rPr>
              <w:t xml:space="preserve"> quy định tại Chương V</w:t>
            </w:r>
          </w:p>
        </w:tc>
        <w:tc>
          <w:tcPr>
            <w:tcW w:w="1984" w:type="dxa"/>
            <w:vAlign w:val="center"/>
          </w:tcPr>
          <w:p w14:paraId="4F1534FE"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59AA9455" w14:textId="77777777" w:rsidTr="009D4D34">
        <w:trPr>
          <w:jc w:val="center"/>
        </w:trPr>
        <w:tc>
          <w:tcPr>
            <w:tcW w:w="2398" w:type="dxa"/>
            <w:vMerge w:val="restart"/>
            <w:vAlign w:val="center"/>
          </w:tcPr>
          <w:p w14:paraId="1492B484" w14:textId="77777777" w:rsidR="009D4D34" w:rsidRPr="009D4D34" w:rsidRDefault="009D4D34" w:rsidP="009D4D34">
            <w:pPr>
              <w:spacing w:before="60" w:after="60" w:line="276" w:lineRule="auto"/>
              <w:ind w:left="206" w:right="80"/>
              <w:rPr>
                <w:rFonts w:eastAsia="Times New Roman" w:cs="Times New Roman"/>
                <w:kern w:val="0"/>
                <w:sz w:val="26"/>
                <w:szCs w:val="26"/>
                <w14:ligatures w14:val="none"/>
              </w:rPr>
            </w:pPr>
            <w:r w:rsidRPr="009D4D34">
              <w:rPr>
                <w:rFonts w:eastAsia="Times New Roman" w:cs="Times New Roman"/>
                <w:kern w:val="0"/>
                <w:sz w:val="26"/>
                <w:szCs w:val="26"/>
                <w14:ligatures w14:val="none"/>
              </w:rPr>
              <w:t>Biện pháp tổ chức cung cấp, lắp đặt hàng hóa</w:t>
            </w:r>
          </w:p>
        </w:tc>
        <w:tc>
          <w:tcPr>
            <w:tcW w:w="10497" w:type="dxa"/>
            <w:vAlign w:val="center"/>
          </w:tcPr>
          <w:p w14:paraId="03D783E6" w14:textId="77777777" w:rsidR="009D4D34" w:rsidRDefault="009D4D34" w:rsidP="009D4D34">
            <w:pPr>
              <w:spacing w:before="80" w:after="80" w:line="240" w:lineRule="auto"/>
              <w:jc w:val="both"/>
              <w:rPr>
                <w:rFonts w:eastAsia="Times New Roman" w:cs="Times New Roman"/>
                <w:kern w:val="0"/>
                <w:sz w:val="26"/>
                <w:szCs w:val="26"/>
                <w:lang w:val="es-ES"/>
                <w14:ligatures w14:val="none"/>
              </w:rPr>
            </w:pPr>
            <w:r w:rsidRPr="009D4D34">
              <w:rPr>
                <w:rFonts w:eastAsia="Times New Roman" w:cs="Times New Roman"/>
                <w:kern w:val="0"/>
                <w:sz w:val="26"/>
                <w:szCs w:val="26"/>
                <w:lang w:val="es-ES"/>
                <w14:ligatures w14:val="none"/>
              </w:rPr>
              <w:t>- Thuyết minh các giải pháp kỹ thuật, biện pháp tổ chức cung cấp hàng hóa hợp lý</w:t>
            </w:r>
          </w:p>
          <w:p w14:paraId="5B23D9E2" w14:textId="7DEBCD0B" w:rsidR="009D4D34" w:rsidRPr="009D4D34" w:rsidRDefault="009D4D34" w:rsidP="009D4D34">
            <w:pPr>
              <w:spacing w:before="80" w:after="80" w:line="240" w:lineRule="auto"/>
              <w:jc w:val="both"/>
              <w:rPr>
                <w:rFonts w:eastAsia="Calibri" w:cs="Times New Roman"/>
                <w:kern w:val="0"/>
                <w:sz w:val="26"/>
                <w:szCs w:val="26"/>
                <w:lang w:val="vi-VN"/>
                <w14:ligatures w14:val="none"/>
              </w:rPr>
            </w:pPr>
            <w:r w:rsidRPr="009D4D34">
              <w:rPr>
                <w:rFonts w:eastAsia="Times New Roman" w:cs="Times New Roman"/>
                <w:kern w:val="0"/>
                <w:sz w:val="26"/>
                <w:szCs w:val="26"/>
                <w:lang w:val="es-ES"/>
                <w14:ligatures w14:val="none"/>
              </w:rPr>
              <w:lastRenderedPageBreak/>
              <w:t>- Thuyết minh phải có đầy đủ tối thiểu các nội dung về: Biện pháp tổ chức cung cấp hàng hóa; Tổ chức giao hàng; Kiểm soát chất lượng và tiến độ lắp đặt; Biện pháp đảm bảo an toàn cho hàng hóa trước khi bàn giao cho chủ đầu tư đưa vào sử dụng.</w:t>
            </w:r>
          </w:p>
        </w:tc>
        <w:tc>
          <w:tcPr>
            <w:tcW w:w="1984" w:type="dxa"/>
            <w:vAlign w:val="center"/>
          </w:tcPr>
          <w:p w14:paraId="096A9A35"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14:ligatures w14:val="none"/>
              </w:rPr>
              <w:lastRenderedPageBreak/>
              <w:t>Đạt</w:t>
            </w:r>
          </w:p>
        </w:tc>
      </w:tr>
      <w:tr w:rsidR="009D4D34" w:rsidRPr="009D4D34" w14:paraId="6003BC36" w14:textId="77777777" w:rsidTr="009D4D34">
        <w:trPr>
          <w:jc w:val="center"/>
        </w:trPr>
        <w:tc>
          <w:tcPr>
            <w:tcW w:w="2398" w:type="dxa"/>
            <w:vMerge/>
          </w:tcPr>
          <w:p w14:paraId="000959C0" w14:textId="77777777" w:rsidR="009D4D34" w:rsidRPr="009D4D34" w:rsidRDefault="009D4D34" w:rsidP="009D4D34">
            <w:pPr>
              <w:spacing w:before="60" w:after="60" w:line="276" w:lineRule="auto"/>
              <w:ind w:left="206" w:right="80"/>
              <w:jc w:val="both"/>
              <w:rPr>
                <w:rFonts w:eastAsia="Times New Roman" w:cs="Times New Roman"/>
                <w:kern w:val="0"/>
                <w:sz w:val="26"/>
                <w:szCs w:val="26"/>
                <w14:ligatures w14:val="none"/>
              </w:rPr>
            </w:pPr>
          </w:p>
        </w:tc>
        <w:tc>
          <w:tcPr>
            <w:tcW w:w="10497" w:type="dxa"/>
            <w:vAlign w:val="center"/>
          </w:tcPr>
          <w:p w14:paraId="01C4B833"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Không có thuyết minh hoặc không hợp lý hoặc không đủ nội dung</w:t>
            </w:r>
          </w:p>
        </w:tc>
        <w:tc>
          <w:tcPr>
            <w:tcW w:w="1984" w:type="dxa"/>
            <w:vAlign w:val="center"/>
          </w:tcPr>
          <w:p w14:paraId="72DB3EC3"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7A2895E9" w14:textId="77777777" w:rsidTr="009D4D34">
        <w:trPr>
          <w:jc w:val="center"/>
        </w:trPr>
        <w:tc>
          <w:tcPr>
            <w:tcW w:w="14879" w:type="dxa"/>
            <w:gridSpan w:val="3"/>
            <w:vAlign w:val="center"/>
          </w:tcPr>
          <w:p w14:paraId="0A5857AF" w14:textId="77777777" w:rsidR="009D4D34" w:rsidRPr="009D4D34" w:rsidRDefault="009D4D34" w:rsidP="009D4D34">
            <w:pPr>
              <w:spacing w:before="60" w:after="60" w:line="276" w:lineRule="auto"/>
              <w:ind w:left="206" w:right="80"/>
              <w:rPr>
                <w:rFonts w:eastAsia="Calibri" w:cs="Times New Roman"/>
                <w:b/>
                <w:kern w:val="0"/>
                <w:sz w:val="26"/>
                <w:szCs w:val="26"/>
                <w14:ligatures w14:val="none"/>
              </w:rPr>
            </w:pPr>
            <w:r w:rsidRPr="009D4D34">
              <w:rPr>
                <w:rFonts w:eastAsia="Calibri" w:cs="Times New Roman"/>
                <w:b/>
                <w:kern w:val="0"/>
                <w:sz w:val="26"/>
                <w:szCs w:val="26"/>
                <w:lang w:val="vi-VN"/>
                <w14:ligatures w14:val="none"/>
              </w:rPr>
              <w:t xml:space="preserve">3. Bảo hành, </w:t>
            </w:r>
            <w:r w:rsidRPr="009D4D34">
              <w:rPr>
                <w:rFonts w:eastAsia="Calibri" w:cs="Times New Roman"/>
                <w:b/>
                <w:kern w:val="0"/>
                <w:sz w:val="26"/>
                <w:szCs w:val="26"/>
                <w14:ligatures w14:val="none"/>
              </w:rPr>
              <w:t>dịch vụ sau bán hàng</w:t>
            </w:r>
          </w:p>
        </w:tc>
      </w:tr>
      <w:tr w:rsidR="009D4D34" w:rsidRPr="009D4D34" w14:paraId="5746973B" w14:textId="77777777" w:rsidTr="009D4D34">
        <w:trPr>
          <w:jc w:val="center"/>
        </w:trPr>
        <w:tc>
          <w:tcPr>
            <w:tcW w:w="2398" w:type="dxa"/>
            <w:vMerge w:val="restart"/>
            <w:vAlign w:val="center"/>
          </w:tcPr>
          <w:p w14:paraId="020BF479"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1FAE7DEE" w14:textId="77777777" w:rsidR="009D4D34" w:rsidRPr="009D4D34" w:rsidRDefault="009D4D34" w:rsidP="009D4D34">
            <w:pPr>
              <w:spacing w:before="60" w:after="60" w:line="276" w:lineRule="auto"/>
              <w:ind w:right="80"/>
              <w:jc w:val="both"/>
              <w:rPr>
                <w:rFonts w:eastAsia="Times New Roman" w:cs="Times New Roman"/>
                <w:kern w:val="0"/>
                <w:sz w:val="26"/>
                <w:szCs w:val="26"/>
                <w:lang w:val="nl-NL"/>
                <w14:ligatures w14:val="none"/>
              </w:rPr>
            </w:pPr>
            <w:r w:rsidRPr="009D4D34">
              <w:rPr>
                <w:rFonts w:eastAsia="Calibri" w:cs="Times New Roman"/>
                <w:kern w:val="0"/>
                <w:sz w:val="26"/>
                <w:szCs w:val="26"/>
                <w:lang w:val="vi-VN"/>
                <w14:ligatures w14:val="none"/>
              </w:rPr>
              <w:t xml:space="preserve">- </w:t>
            </w:r>
            <w:r w:rsidRPr="009D4D34">
              <w:rPr>
                <w:rFonts w:eastAsia="Calibri" w:cs="Times New Roman"/>
                <w:kern w:val="0"/>
                <w:sz w:val="26"/>
                <w:szCs w:val="26"/>
                <w14:ligatures w14:val="none"/>
              </w:rPr>
              <w:t xml:space="preserve">Thời gian bảo hành </w:t>
            </w:r>
            <w:r w:rsidRPr="009D4D34">
              <w:rPr>
                <w:rFonts w:eastAsia="Times New Roman" w:cs="Times New Roman"/>
                <w:kern w:val="0"/>
                <w:sz w:val="26"/>
                <w:szCs w:val="26"/>
                <w:lang w:val="nl-NL"/>
                <w14:ligatures w14:val="none"/>
              </w:rPr>
              <w:t xml:space="preserve">≥ 12 tháng và/hoặc theo bảo hành chính hãng của thiết bị (nếu trên 12 tháng). </w:t>
            </w:r>
            <w:r w:rsidRPr="009D4D34">
              <w:rPr>
                <w:rFonts w:eastAsia="Times New Roman" w:cs="Times New Roman"/>
                <w:kern w:val="0"/>
                <w:sz w:val="26"/>
                <w:szCs w:val="26"/>
                <w14:ligatures w14:val="none"/>
              </w:rPr>
              <w:t>Cam kết thực hiện bảo hành trong vòng 48 giờ kể từ khi bên mời thầu yêu cầu khắc phục các sự cố</w:t>
            </w:r>
          </w:p>
          <w:p w14:paraId="0421E13E"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Calibri" w:cs="Times New Roman"/>
                <w:kern w:val="0"/>
                <w:sz w:val="26"/>
                <w:szCs w:val="26"/>
                <w14:ligatures w14:val="none"/>
              </w:rPr>
              <w:t xml:space="preserve">- </w:t>
            </w:r>
            <w:r w:rsidRPr="009D4D34">
              <w:rPr>
                <w:rFonts w:eastAsia="Times New Roman" w:cs="Times New Roman"/>
                <w:kern w:val="0"/>
                <w:sz w:val="26"/>
                <w:szCs w:val="26"/>
                <w14:ligatures w14:val="none"/>
              </w:rPr>
              <w:t>Nhà thầu phải có cam kết cung cấp các dịch vụ sau bán hàng đáp ứng yêu cầu về tính chất của gói thầu này.</w:t>
            </w:r>
          </w:p>
        </w:tc>
        <w:tc>
          <w:tcPr>
            <w:tcW w:w="1984" w:type="dxa"/>
            <w:vAlign w:val="center"/>
          </w:tcPr>
          <w:p w14:paraId="22CAC079"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Đạt</w:t>
            </w:r>
          </w:p>
        </w:tc>
      </w:tr>
      <w:tr w:rsidR="009D4D34" w:rsidRPr="009D4D34" w14:paraId="2BBED3CB" w14:textId="77777777" w:rsidTr="009D4D34">
        <w:trPr>
          <w:jc w:val="center"/>
        </w:trPr>
        <w:tc>
          <w:tcPr>
            <w:tcW w:w="2398" w:type="dxa"/>
            <w:vMerge/>
          </w:tcPr>
          <w:p w14:paraId="4A2491E4"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77FDC166"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Thời gian bảo hành &lt; 12 tháng</w:t>
            </w:r>
          </w:p>
          <w:p w14:paraId="5CF163A2"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Hoặc nhà thầu chỉ cam kết thời gian bảo hành của thiết bị đáp ứng yêu cầu chương V</w:t>
            </w:r>
          </w:p>
          <w:p w14:paraId="3388282D" w14:textId="77777777" w:rsidR="009D4D34" w:rsidRPr="009D4D34" w:rsidRDefault="009D4D34" w:rsidP="009D4D34">
            <w:pPr>
              <w:spacing w:before="80" w:after="80" w:line="240" w:lineRule="auto"/>
              <w:jc w:val="both"/>
              <w:rPr>
                <w:rFonts w:eastAsia="Calibri" w:cs="Times New Roman"/>
                <w:kern w:val="0"/>
                <w:sz w:val="26"/>
                <w:szCs w:val="26"/>
                <w14:ligatures w14:val="none"/>
              </w:rPr>
            </w:pPr>
            <w:r w:rsidRPr="009D4D34">
              <w:rPr>
                <w:rFonts w:eastAsia="Times New Roman" w:cs="Times New Roman"/>
                <w:kern w:val="0"/>
                <w:sz w:val="26"/>
                <w:szCs w:val="26"/>
                <w14:ligatures w14:val="none"/>
              </w:rPr>
              <w:t>Hoặc không có cam kết</w:t>
            </w:r>
          </w:p>
        </w:tc>
        <w:tc>
          <w:tcPr>
            <w:tcW w:w="1984" w:type="dxa"/>
            <w:vAlign w:val="center"/>
          </w:tcPr>
          <w:p w14:paraId="097A1686"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46EF5F49" w14:textId="77777777" w:rsidTr="009D4D34">
        <w:trPr>
          <w:jc w:val="center"/>
        </w:trPr>
        <w:tc>
          <w:tcPr>
            <w:tcW w:w="12895" w:type="dxa"/>
            <w:gridSpan w:val="2"/>
          </w:tcPr>
          <w:p w14:paraId="52CFE6AA"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xml:space="preserve">4. </w:t>
            </w:r>
            <w:r w:rsidRPr="009D4D34">
              <w:rPr>
                <w:rFonts w:eastAsia="Times New Roman" w:cs="Times New Roman"/>
                <w:b/>
                <w:bCs/>
                <w:kern w:val="0"/>
                <w:sz w:val="26"/>
                <w:szCs w:val="26"/>
                <w14:ligatures w14:val="none"/>
              </w:rPr>
              <w:t>Khả năng thích ứng về địa lý – môi trường</w:t>
            </w:r>
          </w:p>
        </w:tc>
        <w:tc>
          <w:tcPr>
            <w:tcW w:w="1984" w:type="dxa"/>
            <w:vAlign w:val="center"/>
          </w:tcPr>
          <w:p w14:paraId="0CD0F262"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p>
        </w:tc>
      </w:tr>
      <w:tr w:rsidR="009D4D34" w:rsidRPr="009D4D34" w14:paraId="762A82C8" w14:textId="77777777" w:rsidTr="009D4D34">
        <w:trPr>
          <w:jc w:val="center"/>
        </w:trPr>
        <w:tc>
          <w:tcPr>
            <w:tcW w:w="2398" w:type="dxa"/>
          </w:tcPr>
          <w:p w14:paraId="68274A82"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46625902"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Có cam kết hàng hóa cung cấp hoàn toàn thích ứng về địa lý, môi trường.</w:t>
            </w:r>
          </w:p>
          <w:p w14:paraId="45FD7E43"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Có tài liệu chứng minh hoặc cam kết của nhà thầu thiết bị cung cấp không có ảnh hưởng đến môi trường.</w:t>
            </w:r>
          </w:p>
        </w:tc>
        <w:tc>
          <w:tcPr>
            <w:tcW w:w="1984" w:type="dxa"/>
            <w:vAlign w:val="center"/>
          </w:tcPr>
          <w:p w14:paraId="28E1B6B2"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Đạt</w:t>
            </w:r>
          </w:p>
        </w:tc>
      </w:tr>
      <w:tr w:rsidR="009D4D34" w:rsidRPr="009D4D34" w14:paraId="0339EEF9" w14:textId="77777777" w:rsidTr="009D4D34">
        <w:trPr>
          <w:jc w:val="center"/>
        </w:trPr>
        <w:tc>
          <w:tcPr>
            <w:tcW w:w="2398" w:type="dxa"/>
          </w:tcPr>
          <w:p w14:paraId="57E834BB"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023BD05D" w14:textId="77777777" w:rsidR="009D4D34" w:rsidRPr="009D4D34" w:rsidRDefault="009D4D34" w:rsidP="009D4D34">
            <w:pPr>
              <w:spacing w:before="80" w:after="8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Không có tài liệu chứng minh</w:t>
            </w:r>
          </w:p>
        </w:tc>
        <w:tc>
          <w:tcPr>
            <w:tcW w:w="1984" w:type="dxa"/>
            <w:vAlign w:val="center"/>
          </w:tcPr>
          <w:p w14:paraId="4BB53EE0" w14:textId="77777777" w:rsidR="009D4D34" w:rsidRPr="009D4D34" w:rsidRDefault="009D4D34" w:rsidP="009D4D34">
            <w:pPr>
              <w:spacing w:before="60" w:after="60" w:line="276" w:lineRule="auto"/>
              <w:ind w:left="206" w:right="80"/>
              <w:jc w:val="center"/>
              <w:rPr>
                <w:rFonts w:eastAsia="Calibri" w:cs="Times New Roman"/>
                <w:b/>
                <w:kern w:val="0"/>
                <w:sz w:val="26"/>
                <w:szCs w:val="26"/>
                <w:lang w:val="vi-VN"/>
                <w14:ligatures w14:val="none"/>
              </w:rPr>
            </w:pPr>
            <w:r w:rsidRPr="009D4D34">
              <w:rPr>
                <w:rFonts w:eastAsia="Calibri" w:cs="Times New Roman"/>
                <w:b/>
                <w:kern w:val="0"/>
                <w:sz w:val="26"/>
                <w:szCs w:val="26"/>
                <w:lang w:val="vi-VN"/>
                <w14:ligatures w14:val="none"/>
              </w:rPr>
              <w:t>Không đạt</w:t>
            </w:r>
          </w:p>
        </w:tc>
      </w:tr>
      <w:tr w:rsidR="009D4D34" w:rsidRPr="009D4D34" w14:paraId="47A39BA3" w14:textId="77777777" w:rsidTr="009D4D34">
        <w:trPr>
          <w:jc w:val="center"/>
        </w:trPr>
        <w:tc>
          <w:tcPr>
            <w:tcW w:w="14879" w:type="dxa"/>
            <w:gridSpan w:val="3"/>
          </w:tcPr>
          <w:p w14:paraId="60917789" w14:textId="74AD25FF" w:rsidR="009D4D34" w:rsidRPr="009D4D34" w:rsidRDefault="009D4D34" w:rsidP="009D4D34">
            <w:pPr>
              <w:spacing w:before="60" w:after="60" w:line="276" w:lineRule="auto"/>
              <w:ind w:right="80"/>
              <w:jc w:val="both"/>
              <w:rPr>
                <w:rFonts w:eastAsia="Calibri" w:cs="Times New Roman"/>
                <w:b/>
                <w:bCs/>
                <w:kern w:val="0"/>
                <w:sz w:val="26"/>
                <w:szCs w:val="26"/>
                <w:lang w:val="vi-VN"/>
                <w14:ligatures w14:val="none"/>
              </w:rPr>
            </w:pPr>
            <w:r w:rsidRPr="009D4D34">
              <w:rPr>
                <w:rFonts w:eastAsia="Calibri" w:cs="Times New Roman"/>
                <w:b/>
                <w:bCs/>
                <w:kern w:val="0"/>
                <w:sz w:val="26"/>
                <w:szCs w:val="26"/>
                <w14:ligatures w14:val="none"/>
              </w:rPr>
              <w:t>5</w:t>
            </w:r>
            <w:r w:rsidRPr="009D4D34">
              <w:rPr>
                <w:rFonts w:eastAsia="Calibri" w:cs="Times New Roman"/>
                <w:b/>
                <w:bCs/>
                <w:kern w:val="0"/>
                <w:sz w:val="26"/>
                <w:szCs w:val="26"/>
                <w:lang w:val="vi-VN"/>
                <w14:ligatures w14:val="none"/>
              </w:rPr>
              <w:t>. Kết quả thực hiện hợp đồng của nhà thầu theo quy định tại Điều 19 và 20 của Nghị định số 214/2025/NĐ-CP</w:t>
            </w:r>
          </w:p>
        </w:tc>
      </w:tr>
      <w:tr w:rsidR="009D4D34" w:rsidRPr="009D4D34" w14:paraId="10C32C83" w14:textId="77777777" w:rsidTr="009D4D34">
        <w:trPr>
          <w:jc w:val="center"/>
        </w:trPr>
        <w:tc>
          <w:tcPr>
            <w:tcW w:w="2398" w:type="dxa"/>
          </w:tcPr>
          <w:p w14:paraId="6A969707"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3F354A25" w14:textId="77777777" w:rsidR="009D4D34" w:rsidRDefault="009D4D34" w:rsidP="009D4D34">
            <w:pPr>
              <w:spacing w:before="60" w:after="60" w:line="276" w:lineRule="auto"/>
              <w:ind w:right="80"/>
              <w:jc w:val="both"/>
              <w:rPr>
                <w:rFonts w:eastAsia="Calibri" w:cs="Times New Roman"/>
                <w:kern w:val="0"/>
                <w:sz w:val="26"/>
                <w:szCs w:val="26"/>
                <w14:ligatures w14:val="none"/>
              </w:rPr>
            </w:pPr>
            <w:r>
              <w:rPr>
                <w:rFonts w:eastAsia="Calibri" w:cs="Times New Roman"/>
                <w:kern w:val="0"/>
                <w:sz w:val="26"/>
                <w:szCs w:val="26"/>
                <w14:ligatures w14:val="none"/>
              </w:rPr>
              <w:t>Nhà thầu cam kết tất cả các</w:t>
            </w:r>
            <w:r w:rsidRPr="009D4D34">
              <w:rPr>
                <w:rFonts w:eastAsia="Calibri" w:cs="Times New Roman"/>
                <w:kern w:val="0"/>
                <w:sz w:val="26"/>
                <w:szCs w:val="26"/>
                <w14:ligatures w14:val="none"/>
              </w:rPr>
              <w:t xml:space="preserve"> hợp đồng mua bán</w:t>
            </w:r>
            <w:r>
              <w:rPr>
                <w:rFonts w:eastAsia="Calibri" w:cs="Times New Roman"/>
                <w:kern w:val="0"/>
                <w:sz w:val="26"/>
                <w:szCs w:val="26"/>
                <w14:ligatures w14:val="none"/>
              </w:rPr>
              <w:t xml:space="preserve"> hàng hóa tương tự gói thầu</w:t>
            </w:r>
            <w:r w:rsidRPr="009D4D34">
              <w:rPr>
                <w:rFonts w:eastAsia="Calibri" w:cs="Times New Roman"/>
                <w:kern w:val="0"/>
                <w:sz w:val="26"/>
                <w:szCs w:val="26"/>
                <w14:ligatures w14:val="none"/>
              </w:rPr>
              <w:t xml:space="preserve"> và được nghiệm thu, thanh lý đúng quy định.</w:t>
            </w:r>
          </w:p>
          <w:p w14:paraId="2E2CC714" w14:textId="3197A538" w:rsidR="009D4D34" w:rsidRPr="009D4D34" w:rsidRDefault="009D4D34" w:rsidP="009D4D34">
            <w:pPr>
              <w:spacing w:before="60" w:after="60" w:line="276" w:lineRule="auto"/>
              <w:ind w:right="80"/>
              <w:jc w:val="both"/>
              <w:rPr>
                <w:rFonts w:eastAsia="Calibri" w:cs="Times New Roman"/>
                <w:kern w:val="0"/>
                <w:sz w:val="26"/>
                <w:szCs w:val="26"/>
                <w14:ligatures w14:val="none"/>
              </w:rPr>
            </w:pPr>
            <w:r>
              <w:rPr>
                <w:rFonts w:eastAsia="Calibri" w:cs="Times New Roman"/>
                <w:kern w:val="0"/>
                <w:sz w:val="26"/>
                <w:szCs w:val="26"/>
                <w14:ligatures w14:val="none"/>
              </w:rPr>
              <w:lastRenderedPageBreak/>
              <w:t xml:space="preserve">Nhà thầu cam kết đáp ứng </w:t>
            </w:r>
            <w:r w:rsidRPr="009D4D34">
              <w:rPr>
                <w:rFonts w:eastAsia="Calibri" w:cs="Times New Roman"/>
                <w:kern w:val="0"/>
                <w:sz w:val="26"/>
                <w:szCs w:val="26"/>
                <w14:ligatures w14:val="none"/>
              </w:rPr>
              <w:t>quy định tại Điều 19 và 20 của Nghị định số 214/2025/NĐ-CP</w:t>
            </w:r>
          </w:p>
        </w:tc>
        <w:tc>
          <w:tcPr>
            <w:tcW w:w="1984" w:type="dxa"/>
            <w:vAlign w:val="center"/>
          </w:tcPr>
          <w:p w14:paraId="06DE1473"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r w:rsidRPr="009D4D34">
              <w:rPr>
                <w:rFonts w:eastAsia="Calibri" w:cs="Times New Roman"/>
                <w:b/>
                <w:bCs/>
                <w:kern w:val="0"/>
                <w:sz w:val="26"/>
                <w:szCs w:val="26"/>
                <w:lang w:val="vi-VN"/>
                <w14:ligatures w14:val="none"/>
              </w:rPr>
              <w:lastRenderedPageBreak/>
              <w:t>Đạt</w:t>
            </w:r>
          </w:p>
        </w:tc>
      </w:tr>
      <w:tr w:rsidR="009D4D34" w:rsidRPr="009D4D34" w14:paraId="2564968E" w14:textId="77777777" w:rsidTr="009D4D34">
        <w:trPr>
          <w:jc w:val="center"/>
        </w:trPr>
        <w:tc>
          <w:tcPr>
            <w:tcW w:w="2398" w:type="dxa"/>
          </w:tcPr>
          <w:p w14:paraId="2A8F61ED"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59AC8DC0" w14:textId="61EBC830" w:rsidR="009D4D34" w:rsidRPr="009D4D34" w:rsidRDefault="009D4D34" w:rsidP="009D4D34">
            <w:pPr>
              <w:spacing w:before="60" w:after="60" w:line="276" w:lineRule="auto"/>
              <w:ind w:right="80"/>
              <w:jc w:val="both"/>
              <w:rPr>
                <w:rFonts w:eastAsia="Calibri" w:cs="Times New Roman"/>
                <w:kern w:val="0"/>
                <w:sz w:val="26"/>
                <w:szCs w:val="26"/>
                <w14:ligatures w14:val="none"/>
              </w:rPr>
            </w:pPr>
            <w:r>
              <w:rPr>
                <w:rFonts w:eastAsia="Calibri" w:cs="Times New Roman"/>
                <w:kern w:val="0"/>
                <w:sz w:val="26"/>
                <w:szCs w:val="26"/>
                <w:lang w:val="vi-VN"/>
                <w14:ligatures w14:val="none"/>
              </w:rPr>
              <w:t>Kh</w:t>
            </w:r>
            <w:r>
              <w:rPr>
                <w:rFonts w:eastAsia="Calibri" w:cs="Times New Roman"/>
                <w:kern w:val="0"/>
                <w:sz w:val="26"/>
                <w:szCs w:val="26"/>
                <w14:ligatures w14:val="none"/>
              </w:rPr>
              <w:t>ông đáp ứng một trong các yêu cầu hoặc không có cam kết hoặc cam kết có điều kiện</w:t>
            </w:r>
          </w:p>
        </w:tc>
        <w:tc>
          <w:tcPr>
            <w:tcW w:w="1984" w:type="dxa"/>
            <w:vAlign w:val="center"/>
          </w:tcPr>
          <w:p w14:paraId="4BC6D19F"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r w:rsidRPr="009D4D34">
              <w:rPr>
                <w:rFonts w:eastAsia="Calibri" w:cs="Times New Roman"/>
                <w:b/>
                <w:bCs/>
                <w:kern w:val="0"/>
                <w:sz w:val="26"/>
                <w:szCs w:val="26"/>
                <w:lang w:val="vi-VN"/>
                <w14:ligatures w14:val="none"/>
              </w:rPr>
              <w:t>Không đạt</w:t>
            </w:r>
          </w:p>
        </w:tc>
      </w:tr>
      <w:tr w:rsidR="009D4D34" w:rsidRPr="009D4D34" w14:paraId="1897E832" w14:textId="77777777" w:rsidTr="009D4D34">
        <w:trPr>
          <w:jc w:val="center"/>
        </w:trPr>
        <w:tc>
          <w:tcPr>
            <w:tcW w:w="12895" w:type="dxa"/>
            <w:gridSpan w:val="2"/>
          </w:tcPr>
          <w:p w14:paraId="462210A1" w14:textId="77777777" w:rsidR="009D4D34" w:rsidRPr="009D4D34" w:rsidRDefault="009D4D34" w:rsidP="009D4D34">
            <w:pPr>
              <w:spacing w:before="60" w:after="60" w:line="276" w:lineRule="auto"/>
              <w:ind w:right="80"/>
              <w:jc w:val="both"/>
              <w:rPr>
                <w:rFonts w:eastAsia="Calibri" w:cs="Times New Roman"/>
                <w:b/>
                <w:kern w:val="0"/>
                <w:sz w:val="26"/>
                <w:szCs w:val="26"/>
                <w14:ligatures w14:val="none"/>
              </w:rPr>
            </w:pPr>
            <w:r w:rsidRPr="009D4D34">
              <w:rPr>
                <w:rFonts w:eastAsia="Calibri" w:cs="Times New Roman"/>
                <w:b/>
                <w:kern w:val="0"/>
                <w:sz w:val="26"/>
                <w:szCs w:val="26"/>
                <w14:ligatures w14:val="none"/>
              </w:rPr>
              <w:t xml:space="preserve">6. </w:t>
            </w:r>
            <w:r w:rsidRPr="009D4D34">
              <w:rPr>
                <w:rFonts w:eastAsia="Times New Roman" w:cs="Times New Roman"/>
                <w:b/>
                <w:bCs/>
                <w:kern w:val="0"/>
                <w:sz w:val="26"/>
                <w:szCs w:val="26"/>
                <w:lang w:val="vi-VN"/>
                <w14:ligatures w14:val="none"/>
              </w:rPr>
              <w:t>Các yếu tố cần thiết khác</w:t>
            </w:r>
          </w:p>
        </w:tc>
        <w:tc>
          <w:tcPr>
            <w:tcW w:w="1984" w:type="dxa"/>
            <w:vAlign w:val="center"/>
          </w:tcPr>
          <w:p w14:paraId="23E4B8F2"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p>
        </w:tc>
      </w:tr>
      <w:tr w:rsidR="009D4D34" w:rsidRPr="009D4D34" w14:paraId="390288C4" w14:textId="77777777" w:rsidTr="009D4D34">
        <w:trPr>
          <w:jc w:val="center"/>
        </w:trPr>
        <w:tc>
          <w:tcPr>
            <w:tcW w:w="2398" w:type="dxa"/>
            <w:vMerge w:val="restart"/>
          </w:tcPr>
          <w:p w14:paraId="16B37632"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bCs/>
                <w:kern w:val="0"/>
                <w:sz w:val="26"/>
                <w:szCs w:val="26"/>
                <w14:ligatures w14:val="none"/>
              </w:rPr>
              <w:t>Công khai, minh bạch số liệu</w:t>
            </w:r>
          </w:p>
        </w:tc>
        <w:tc>
          <w:tcPr>
            <w:tcW w:w="10497" w:type="dxa"/>
          </w:tcPr>
          <w:p w14:paraId="7DCA2032"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Cam kết cung cấp các tài liệu theo quy định như sau để chứng minh tài liệu công khai, minh bạch và hợp pháp:</w:t>
            </w:r>
          </w:p>
          <w:p w14:paraId="4E421BAB"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Nếu báo cáo tài chính đã được kiểm toán: Hợp đồng kiểm toán báo cáo tài chính 03 năm gần đây; Hóa đơn của hợp đồng kiểm toán; tài liệu chứng minh giao dịch thanh toán phí kiểm toán; Các Biên bản đối chiếu công nợ;</w:t>
            </w:r>
          </w:p>
          <w:p w14:paraId="592C528D"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Nếu sử dụng báo cáo tài chính kê khai qua mạng: cung cấp file BCTC định dạng XML, file gốc định dạng pdf có thể xác thực chữ ký số và bản Cam kết sẵn sàng cùng Chủ đầu tư kiểm tra trên hệ thống thuedientu.gdt.gov.vn;</w:t>
            </w:r>
          </w:p>
          <w:p w14:paraId="1467C67D" w14:textId="77777777" w:rsidR="009D4D34" w:rsidRPr="009D4D34" w:rsidRDefault="009D4D34" w:rsidP="009D4D34">
            <w:pPr>
              <w:spacing w:before="60" w:after="60" w:line="240" w:lineRule="auto"/>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 Hợp đồng cung cấp hàng hóa tương tự: Hợp đồng, biên bản nghiệm thu bàn giao hàng hóa, bản gốc file định dạng pdf hóa đơn gia trị gia tăng có thể xác thực được chữ ký số, file định dạng XML của hóa đơn giá trị gia tăng, tài liệu chứng minh giao dịch thanh toán với bên mua hàng;</w:t>
            </w:r>
          </w:p>
          <w:p w14:paraId="6C366606" w14:textId="2D6BB4B4"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Times New Roman" w:cs="Times New Roman"/>
                <w:kern w:val="0"/>
                <w:sz w:val="26"/>
                <w:szCs w:val="26"/>
                <w14:ligatures w14:val="none"/>
              </w:rPr>
              <w:t>- Cam kết số liệu tài chính kê khai trong E-HSDT đúng với số liệu đã kê khai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Luật Đấu thầu.</w:t>
            </w:r>
          </w:p>
        </w:tc>
        <w:tc>
          <w:tcPr>
            <w:tcW w:w="1984" w:type="dxa"/>
            <w:vAlign w:val="center"/>
          </w:tcPr>
          <w:p w14:paraId="7DF4F25B"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Đạt</w:t>
            </w:r>
          </w:p>
        </w:tc>
      </w:tr>
      <w:tr w:rsidR="009D4D34" w:rsidRPr="009D4D34" w14:paraId="39B96D76" w14:textId="77777777" w:rsidTr="009D4D34">
        <w:trPr>
          <w:jc w:val="center"/>
        </w:trPr>
        <w:tc>
          <w:tcPr>
            <w:tcW w:w="2398" w:type="dxa"/>
            <w:vMerge/>
          </w:tcPr>
          <w:p w14:paraId="31459CD9"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569EFBE9"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Calibri" w:cs="Times New Roman"/>
                <w:kern w:val="0"/>
                <w:sz w:val="26"/>
                <w:szCs w:val="26"/>
                <w14:ligatures w14:val="none"/>
              </w:rPr>
              <w:t>Không cam kết hoặc không cung cấp tài liệu khi có công văn làm rõ E-HSDT</w:t>
            </w:r>
          </w:p>
        </w:tc>
        <w:tc>
          <w:tcPr>
            <w:tcW w:w="1984" w:type="dxa"/>
            <w:vAlign w:val="center"/>
          </w:tcPr>
          <w:p w14:paraId="2C32F3A3"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Không Đạt</w:t>
            </w:r>
          </w:p>
        </w:tc>
      </w:tr>
      <w:tr w:rsidR="009D4D34" w:rsidRPr="009D4D34" w14:paraId="3E6AF49D" w14:textId="77777777" w:rsidTr="009D4D34">
        <w:trPr>
          <w:jc w:val="center"/>
        </w:trPr>
        <w:tc>
          <w:tcPr>
            <w:tcW w:w="2398" w:type="dxa"/>
            <w:vMerge w:val="restart"/>
          </w:tcPr>
          <w:p w14:paraId="19A91904"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kern w:val="0"/>
                <w:sz w:val="26"/>
                <w:szCs w:val="26"/>
                <w14:ligatures w14:val="none"/>
              </w:rPr>
              <w:t>Tuân thủ pháp luật về lựa chọn nhà thầu</w:t>
            </w:r>
          </w:p>
        </w:tc>
        <w:tc>
          <w:tcPr>
            <w:tcW w:w="10497" w:type="dxa"/>
          </w:tcPr>
          <w:p w14:paraId="07317D6E"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Times New Roman" w:cs="Times New Roman"/>
                <w:kern w:val="0"/>
                <w:sz w:val="26"/>
                <w:szCs w:val="26"/>
                <w14:ligatures w14:val="none"/>
              </w:rPr>
              <w:t>Trong vòng 5 năm gần nhất không bị Chủ đầu tư hoặc Cơ quan nhà nước có thẩm quyền cấm tham gia dự thầu hoặc không có tên trong danh sách các nhà thầu vi phạm trên website Hệ thống mạng đấu thầu quốc gia</w:t>
            </w:r>
          </w:p>
        </w:tc>
        <w:tc>
          <w:tcPr>
            <w:tcW w:w="1984" w:type="dxa"/>
            <w:vAlign w:val="center"/>
          </w:tcPr>
          <w:p w14:paraId="10A5A9AC"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Đạt</w:t>
            </w:r>
          </w:p>
        </w:tc>
      </w:tr>
      <w:tr w:rsidR="009D4D34" w:rsidRPr="009D4D34" w14:paraId="69A59AFB" w14:textId="77777777" w:rsidTr="009D4D34">
        <w:trPr>
          <w:jc w:val="center"/>
        </w:trPr>
        <w:tc>
          <w:tcPr>
            <w:tcW w:w="2398" w:type="dxa"/>
            <w:vMerge/>
          </w:tcPr>
          <w:p w14:paraId="28370FAA"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6360C46C" w14:textId="77777777" w:rsidR="009D4D34" w:rsidRPr="009D4D34" w:rsidRDefault="009D4D34" w:rsidP="009D4D34">
            <w:pPr>
              <w:widowControl w:val="0"/>
              <w:spacing w:before="120" w:after="120" w:line="240" w:lineRule="auto"/>
              <w:ind w:right="43"/>
              <w:jc w:val="both"/>
              <w:rPr>
                <w:rFonts w:eastAsia="Times New Roman" w:cs="Times New Roman"/>
                <w:b/>
                <w:kern w:val="0"/>
                <w:sz w:val="26"/>
                <w:szCs w:val="26"/>
                <w14:ligatures w14:val="none"/>
              </w:rPr>
            </w:pPr>
            <w:r w:rsidRPr="009D4D34">
              <w:rPr>
                <w:rFonts w:eastAsia="Times New Roman" w:cs="Times New Roman"/>
                <w:kern w:val="0"/>
                <w:sz w:val="26"/>
                <w:szCs w:val="26"/>
                <w14:ligatures w14:val="none"/>
              </w:rPr>
              <w:t xml:space="preserve">Trong vòng 5 năm gần nhất đã từng bị Chủ đầu tư hoặc Cơ quan nhà nước có thẩm quyền cấm tham gia dự thầu </w:t>
            </w:r>
          </w:p>
          <w:p w14:paraId="125C5102" w14:textId="77777777" w:rsidR="009D4D34" w:rsidRPr="009D4D34" w:rsidRDefault="009D4D34" w:rsidP="009D4D34">
            <w:pPr>
              <w:widowControl w:val="0"/>
              <w:spacing w:before="120" w:after="120" w:line="240" w:lineRule="auto"/>
              <w:ind w:right="43"/>
              <w:jc w:val="both"/>
              <w:rPr>
                <w:rFonts w:eastAsia="Times New Roman" w:cs="Times New Roman"/>
                <w:b/>
                <w:kern w:val="0"/>
                <w:sz w:val="26"/>
                <w:szCs w:val="26"/>
                <w14:ligatures w14:val="none"/>
              </w:rPr>
            </w:pPr>
            <w:r w:rsidRPr="009D4D34">
              <w:rPr>
                <w:rFonts w:eastAsia="Times New Roman" w:cs="Times New Roman"/>
                <w:kern w:val="0"/>
                <w:sz w:val="26"/>
                <w:szCs w:val="26"/>
                <w14:ligatures w14:val="none"/>
              </w:rPr>
              <w:t>Hoặc</w:t>
            </w:r>
          </w:p>
          <w:p w14:paraId="7A9C712C" w14:textId="77777777" w:rsidR="009D4D34" w:rsidRPr="009D4D34" w:rsidRDefault="009D4D34" w:rsidP="009D4D34">
            <w:pPr>
              <w:spacing w:before="60" w:after="60" w:line="276" w:lineRule="auto"/>
              <w:ind w:right="80"/>
              <w:jc w:val="both"/>
              <w:rPr>
                <w:rFonts w:eastAsia="Calibri" w:cs="Times New Roman"/>
                <w:kern w:val="0"/>
                <w:sz w:val="26"/>
                <w:szCs w:val="26"/>
                <w14:ligatures w14:val="none"/>
              </w:rPr>
            </w:pPr>
            <w:r w:rsidRPr="009D4D34">
              <w:rPr>
                <w:rFonts w:eastAsia="Times New Roman" w:cs="Times New Roman"/>
                <w:kern w:val="0"/>
                <w:sz w:val="26"/>
                <w:szCs w:val="26"/>
                <w14:ligatures w14:val="none"/>
              </w:rPr>
              <w:t>Có tên trong danh sách các nhà thầu vi phạm trên website Hệ thống mạng đấu thầu quốc gia</w:t>
            </w:r>
          </w:p>
        </w:tc>
        <w:tc>
          <w:tcPr>
            <w:tcW w:w="1984" w:type="dxa"/>
            <w:vAlign w:val="center"/>
          </w:tcPr>
          <w:p w14:paraId="5EAE8EB5"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Không Đạt</w:t>
            </w:r>
          </w:p>
        </w:tc>
      </w:tr>
      <w:tr w:rsidR="009D4D34" w:rsidRPr="009D4D34" w14:paraId="6BC491E0" w14:textId="77777777" w:rsidTr="009D4D34">
        <w:trPr>
          <w:jc w:val="center"/>
        </w:trPr>
        <w:tc>
          <w:tcPr>
            <w:tcW w:w="2398" w:type="dxa"/>
            <w:vMerge w:val="restart"/>
            <w:vAlign w:val="center"/>
          </w:tcPr>
          <w:p w14:paraId="1137783C" w14:textId="77777777" w:rsidR="009D4D34" w:rsidRPr="009D4D34" w:rsidRDefault="009D4D34" w:rsidP="009D4D34">
            <w:pPr>
              <w:widowControl w:val="0"/>
              <w:spacing w:before="120" w:after="120" w:line="240" w:lineRule="auto"/>
              <w:ind w:right="43"/>
              <w:jc w:val="both"/>
              <w:rPr>
                <w:rFonts w:eastAsia="Calibri" w:cs="Times New Roman"/>
                <w:kern w:val="0"/>
                <w:sz w:val="26"/>
                <w:szCs w:val="26"/>
                <w:lang w:val="vi-VN"/>
                <w14:ligatures w14:val="none"/>
              </w:rPr>
            </w:pPr>
            <w:r w:rsidRPr="009D4D34">
              <w:rPr>
                <w:rFonts w:eastAsia="Times New Roman" w:cs="Times New Roman"/>
                <w:kern w:val="0"/>
                <w:sz w:val="26"/>
                <w:szCs w:val="26"/>
                <w:lang w:val="vi-VN"/>
                <w14:ligatures w14:val="none"/>
              </w:rPr>
              <w:t>Tuân thủ công tác soạn thảo, ký ban hành văn bản theo Nghị định 30/2020/NĐ-CP</w:t>
            </w:r>
          </w:p>
        </w:tc>
        <w:tc>
          <w:tcPr>
            <w:tcW w:w="10497" w:type="dxa"/>
          </w:tcPr>
          <w:p w14:paraId="180C629A" w14:textId="77777777" w:rsidR="009D4D34" w:rsidRPr="009D4D34" w:rsidRDefault="009D4D34" w:rsidP="009D4D34">
            <w:pPr>
              <w:widowControl w:val="0"/>
              <w:spacing w:before="120" w:after="120" w:line="240" w:lineRule="auto"/>
              <w:ind w:right="43"/>
              <w:jc w:val="both"/>
              <w:rPr>
                <w:rFonts w:eastAsia="Times New Roman" w:cs="Times New Roman"/>
                <w:kern w:val="0"/>
                <w:sz w:val="26"/>
                <w:szCs w:val="26"/>
                <w14:ligatures w14:val="none"/>
              </w:rPr>
            </w:pPr>
            <w:r w:rsidRPr="009D4D34">
              <w:rPr>
                <w:rFonts w:eastAsia="Times New Roman" w:cs="Times New Roman"/>
                <w:kern w:val="0"/>
                <w:sz w:val="26"/>
                <w:szCs w:val="26"/>
                <w:lang w:val="vi-VN"/>
                <w14:ligatures w14:val="none"/>
              </w:rPr>
              <w:t>Các tài liệu được quét (scan) từ bản gốc (theo đúng quy định tại Khoản 8 Điều 3 của Nghị định 30/2020/NĐ-CP)</w:t>
            </w:r>
          </w:p>
        </w:tc>
        <w:tc>
          <w:tcPr>
            <w:tcW w:w="1984" w:type="dxa"/>
            <w:vAlign w:val="center"/>
          </w:tcPr>
          <w:p w14:paraId="2E2F6864"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Đạt</w:t>
            </w:r>
          </w:p>
        </w:tc>
      </w:tr>
      <w:tr w:rsidR="009D4D34" w:rsidRPr="009D4D34" w14:paraId="37E277F1" w14:textId="77777777" w:rsidTr="009D4D34">
        <w:trPr>
          <w:jc w:val="center"/>
        </w:trPr>
        <w:tc>
          <w:tcPr>
            <w:tcW w:w="2398" w:type="dxa"/>
            <w:vMerge/>
          </w:tcPr>
          <w:p w14:paraId="6F1D3E80"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Pr>
          <w:p w14:paraId="4FF3A5B7" w14:textId="74F63030" w:rsidR="009D4D34" w:rsidRPr="009D4D34" w:rsidRDefault="009D4D34" w:rsidP="009D4D34">
            <w:pPr>
              <w:widowControl w:val="0"/>
              <w:spacing w:before="120" w:after="120" w:line="240" w:lineRule="auto"/>
              <w:ind w:right="43"/>
              <w:jc w:val="both"/>
              <w:rPr>
                <w:rFonts w:eastAsia="Times New Roman" w:cs="Times New Roman"/>
                <w:kern w:val="0"/>
                <w:sz w:val="26"/>
                <w:szCs w:val="26"/>
                <w14:ligatures w14:val="none"/>
              </w:rPr>
            </w:pPr>
            <w:r w:rsidRPr="009D4D34">
              <w:rPr>
                <w:rFonts w:eastAsia="Times New Roman" w:cs="Times New Roman"/>
                <w:kern w:val="0"/>
                <w:sz w:val="26"/>
                <w:szCs w:val="26"/>
                <w14:ligatures w14:val="none"/>
              </w:rPr>
              <w:t>K</w:t>
            </w:r>
            <w:r w:rsidRPr="009D4D34">
              <w:rPr>
                <w:rFonts w:eastAsia="Times New Roman" w:cs="Times New Roman"/>
                <w:kern w:val="0"/>
                <w:sz w:val="26"/>
                <w:szCs w:val="26"/>
                <w:lang w:val="vi-VN"/>
                <w14:ligatures w14:val="none"/>
              </w:rPr>
              <w:t xml:space="preserve">hông đáp ứng </w:t>
            </w:r>
            <w:r w:rsidRPr="009D4D34">
              <w:rPr>
                <w:rFonts w:eastAsia="Times New Roman" w:cs="Times New Roman"/>
                <w:kern w:val="0"/>
                <w:sz w:val="26"/>
                <w:szCs w:val="26"/>
                <w14:ligatures w14:val="none"/>
              </w:rPr>
              <w:t xml:space="preserve">một trong các </w:t>
            </w:r>
            <w:r w:rsidRPr="009D4D34">
              <w:rPr>
                <w:rFonts w:eastAsia="Times New Roman" w:cs="Times New Roman"/>
                <w:kern w:val="0"/>
                <w:sz w:val="26"/>
                <w:szCs w:val="26"/>
                <w:lang w:val="vi-VN"/>
                <w14:ligatures w14:val="none"/>
              </w:rPr>
              <w:t>yêu cầu</w:t>
            </w:r>
            <w:r>
              <w:rPr>
                <w:rFonts w:eastAsia="Times New Roman" w:cs="Times New Roman"/>
                <w:kern w:val="0"/>
                <w:sz w:val="26"/>
                <w:szCs w:val="26"/>
                <w14:ligatures w14:val="none"/>
              </w:rPr>
              <w:t xml:space="preserve"> hoặc tài liệu có dấu hiện dùng phần mềm để chèn, cắt dán dấu và/hoặc chữ ký</w:t>
            </w:r>
          </w:p>
        </w:tc>
        <w:tc>
          <w:tcPr>
            <w:tcW w:w="1984" w:type="dxa"/>
            <w:vAlign w:val="center"/>
          </w:tcPr>
          <w:p w14:paraId="51294900" w14:textId="77777777" w:rsidR="009D4D34" w:rsidRPr="009D4D34" w:rsidRDefault="009D4D34" w:rsidP="009D4D34">
            <w:pPr>
              <w:spacing w:before="60" w:after="60" w:line="276" w:lineRule="auto"/>
              <w:ind w:left="206" w:right="80"/>
              <w:jc w:val="center"/>
              <w:rPr>
                <w:rFonts w:eastAsia="Calibri" w:cs="Times New Roman"/>
                <w:b/>
                <w:bCs/>
                <w:kern w:val="0"/>
                <w:sz w:val="26"/>
                <w:szCs w:val="26"/>
                <w14:ligatures w14:val="none"/>
              </w:rPr>
            </w:pPr>
            <w:r w:rsidRPr="009D4D34">
              <w:rPr>
                <w:rFonts w:eastAsia="Calibri" w:cs="Times New Roman"/>
                <w:b/>
                <w:bCs/>
                <w:kern w:val="0"/>
                <w:sz w:val="26"/>
                <w:szCs w:val="26"/>
                <w14:ligatures w14:val="none"/>
              </w:rPr>
              <w:t>Không Đạt</w:t>
            </w:r>
          </w:p>
        </w:tc>
      </w:tr>
      <w:tr w:rsidR="009D4D34" w:rsidRPr="009D4D34" w14:paraId="6F2611D6" w14:textId="77777777" w:rsidTr="009D4D34">
        <w:trPr>
          <w:jc w:val="center"/>
        </w:trPr>
        <w:tc>
          <w:tcPr>
            <w:tcW w:w="2398" w:type="dxa"/>
            <w:vMerge w:val="restart"/>
            <w:vAlign w:val="center"/>
          </w:tcPr>
          <w:p w14:paraId="06202475"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r w:rsidRPr="009D4D34">
              <w:rPr>
                <w:rFonts w:eastAsia="Calibri" w:cs="Times New Roman"/>
                <w:b/>
                <w:bCs/>
                <w:kern w:val="0"/>
                <w:sz w:val="26"/>
                <w:szCs w:val="26"/>
                <w:lang w:val="vi-VN"/>
                <w14:ligatures w14:val="none"/>
              </w:rPr>
              <w:t>Kết luận</w:t>
            </w:r>
          </w:p>
        </w:tc>
        <w:tc>
          <w:tcPr>
            <w:tcW w:w="10497" w:type="dxa"/>
            <w:tcBorders>
              <w:top w:val="single" w:sz="4" w:space="0" w:color="auto"/>
            </w:tcBorders>
            <w:vAlign w:val="center"/>
          </w:tcPr>
          <w:p w14:paraId="1A23500F" w14:textId="77777777" w:rsidR="009D4D34" w:rsidRPr="009D4D34" w:rsidRDefault="009D4D34" w:rsidP="009D4D34">
            <w:pPr>
              <w:widowControl w:val="0"/>
              <w:tabs>
                <w:tab w:val="left" w:pos="851"/>
              </w:tabs>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b/>
                <w:kern w:val="0"/>
                <w:sz w:val="26"/>
                <w:szCs w:val="26"/>
                <w:lang w:val="es-ES"/>
                <w14:ligatures w14:val="none"/>
              </w:rPr>
              <w:t>“Đạt” tất cả các nội dung nêu trên</w:t>
            </w:r>
          </w:p>
        </w:tc>
        <w:tc>
          <w:tcPr>
            <w:tcW w:w="1984" w:type="dxa"/>
            <w:tcBorders>
              <w:top w:val="single" w:sz="4" w:space="0" w:color="auto"/>
            </w:tcBorders>
            <w:vAlign w:val="center"/>
          </w:tcPr>
          <w:p w14:paraId="57C301BA"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p>
        </w:tc>
      </w:tr>
      <w:tr w:rsidR="009D4D34" w:rsidRPr="009D4D34" w14:paraId="6503F1CD" w14:textId="77777777" w:rsidTr="009D4D34">
        <w:trPr>
          <w:jc w:val="center"/>
        </w:trPr>
        <w:tc>
          <w:tcPr>
            <w:tcW w:w="2398" w:type="dxa"/>
            <w:vMerge/>
            <w:vAlign w:val="center"/>
          </w:tcPr>
          <w:p w14:paraId="228733B5" w14:textId="77777777" w:rsidR="009D4D34" w:rsidRPr="009D4D34" w:rsidRDefault="009D4D34" w:rsidP="009D4D34">
            <w:pPr>
              <w:spacing w:before="60" w:after="60" w:line="276" w:lineRule="auto"/>
              <w:ind w:left="206" w:right="80"/>
              <w:jc w:val="both"/>
              <w:rPr>
                <w:rFonts w:eastAsia="Calibri" w:cs="Times New Roman"/>
                <w:kern w:val="0"/>
                <w:sz w:val="26"/>
                <w:szCs w:val="26"/>
                <w:lang w:val="vi-VN"/>
                <w14:ligatures w14:val="none"/>
              </w:rPr>
            </w:pPr>
          </w:p>
        </w:tc>
        <w:tc>
          <w:tcPr>
            <w:tcW w:w="10497" w:type="dxa"/>
            <w:tcBorders>
              <w:top w:val="single" w:sz="4" w:space="0" w:color="auto"/>
            </w:tcBorders>
            <w:vAlign w:val="center"/>
          </w:tcPr>
          <w:p w14:paraId="37D76F0F" w14:textId="77777777" w:rsidR="009D4D34" w:rsidRPr="009D4D34" w:rsidRDefault="009D4D34" w:rsidP="009D4D34">
            <w:pPr>
              <w:widowControl w:val="0"/>
              <w:tabs>
                <w:tab w:val="left" w:pos="851"/>
              </w:tabs>
              <w:spacing w:before="60" w:after="60" w:line="276" w:lineRule="auto"/>
              <w:ind w:left="206" w:right="80"/>
              <w:jc w:val="both"/>
              <w:rPr>
                <w:rFonts w:eastAsia="Calibri" w:cs="Times New Roman"/>
                <w:kern w:val="0"/>
                <w:sz w:val="26"/>
                <w:szCs w:val="26"/>
                <w:lang w:val="vi-VN"/>
                <w14:ligatures w14:val="none"/>
              </w:rPr>
            </w:pPr>
            <w:r w:rsidRPr="009D4D34">
              <w:rPr>
                <w:rFonts w:eastAsia="Times New Roman" w:cs="Times New Roman"/>
                <w:b/>
                <w:kern w:val="0"/>
                <w:sz w:val="26"/>
                <w:szCs w:val="26"/>
                <w:lang w:val="es-ES"/>
                <w14:ligatures w14:val="none"/>
              </w:rPr>
              <w:t>“Không đạt” 1 trong các nội dung nào nêu trên</w:t>
            </w:r>
          </w:p>
        </w:tc>
        <w:tc>
          <w:tcPr>
            <w:tcW w:w="1984" w:type="dxa"/>
            <w:tcBorders>
              <w:top w:val="single" w:sz="4" w:space="0" w:color="auto"/>
            </w:tcBorders>
            <w:vAlign w:val="center"/>
          </w:tcPr>
          <w:p w14:paraId="5ECC7727" w14:textId="77777777" w:rsidR="009D4D34" w:rsidRPr="009D4D34" w:rsidRDefault="009D4D34" w:rsidP="009D4D34">
            <w:pPr>
              <w:spacing w:before="60" w:after="60" w:line="276" w:lineRule="auto"/>
              <w:ind w:left="206" w:right="80"/>
              <w:jc w:val="center"/>
              <w:rPr>
                <w:rFonts w:eastAsia="Calibri" w:cs="Times New Roman"/>
                <w:b/>
                <w:bCs/>
                <w:kern w:val="0"/>
                <w:sz w:val="26"/>
                <w:szCs w:val="26"/>
                <w:lang w:val="vi-VN"/>
                <w14:ligatures w14:val="none"/>
              </w:rPr>
            </w:pPr>
          </w:p>
        </w:tc>
      </w:tr>
    </w:tbl>
    <w:p w14:paraId="3C5ABA3D" w14:textId="77777777" w:rsidR="00370FFC" w:rsidRDefault="00370FFC"/>
    <w:sectPr w:rsidR="00370FFC" w:rsidSect="009D4D34">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34"/>
    <w:rsid w:val="00137B6E"/>
    <w:rsid w:val="001425B2"/>
    <w:rsid w:val="00370FFC"/>
    <w:rsid w:val="003E6B1C"/>
    <w:rsid w:val="00413C4D"/>
    <w:rsid w:val="0046660E"/>
    <w:rsid w:val="004943EA"/>
    <w:rsid w:val="00711E31"/>
    <w:rsid w:val="009D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F8B0"/>
  <w15:chartTrackingRefBased/>
  <w15:docId w15:val="{A39F2CCA-ADA4-4E94-9513-A2AB79C7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D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D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4D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4D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D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D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D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D3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D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4D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4D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D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D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D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D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D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D34"/>
    <w:pPr>
      <w:spacing w:before="160"/>
      <w:jc w:val="center"/>
    </w:pPr>
    <w:rPr>
      <w:i/>
      <w:iCs/>
      <w:color w:val="404040" w:themeColor="text1" w:themeTint="BF"/>
    </w:rPr>
  </w:style>
  <w:style w:type="character" w:customStyle="1" w:styleId="QuoteChar">
    <w:name w:val="Quote Char"/>
    <w:basedOn w:val="DefaultParagraphFont"/>
    <w:link w:val="Quote"/>
    <w:uiPriority w:val="29"/>
    <w:rsid w:val="009D4D34"/>
    <w:rPr>
      <w:i/>
      <w:iCs/>
      <w:color w:val="404040" w:themeColor="text1" w:themeTint="BF"/>
    </w:rPr>
  </w:style>
  <w:style w:type="paragraph" w:styleId="ListParagraph">
    <w:name w:val="List Paragraph"/>
    <w:basedOn w:val="Normal"/>
    <w:uiPriority w:val="34"/>
    <w:qFormat/>
    <w:rsid w:val="009D4D34"/>
    <w:pPr>
      <w:ind w:left="720"/>
      <w:contextualSpacing/>
    </w:pPr>
  </w:style>
  <w:style w:type="character" w:styleId="IntenseEmphasis">
    <w:name w:val="Intense Emphasis"/>
    <w:basedOn w:val="DefaultParagraphFont"/>
    <w:uiPriority w:val="21"/>
    <w:qFormat/>
    <w:rsid w:val="009D4D34"/>
    <w:rPr>
      <w:i/>
      <w:iCs/>
      <w:color w:val="2F5496" w:themeColor="accent1" w:themeShade="BF"/>
    </w:rPr>
  </w:style>
  <w:style w:type="paragraph" w:styleId="IntenseQuote">
    <w:name w:val="Intense Quote"/>
    <w:basedOn w:val="Normal"/>
    <w:next w:val="Normal"/>
    <w:link w:val="IntenseQuoteChar"/>
    <w:uiPriority w:val="30"/>
    <w:qFormat/>
    <w:rsid w:val="009D4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D34"/>
    <w:rPr>
      <w:i/>
      <w:iCs/>
      <w:color w:val="2F5496" w:themeColor="accent1" w:themeShade="BF"/>
    </w:rPr>
  </w:style>
  <w:style w:type="character" w:styleId="IntenseReference">
    <w:name w:val="Intense Reference"/>
    <w:basedOn w:val="DefaultParagraphFont"/>
    <w:uiPriority w:val="32"/>
    <w:qFormat/>
    <w:rsid w:val="009D4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Dinh Hung</dc:creator>
  <cp:keywords/>
  <dc:description/>
  <cp:lastModifiedBy>Tran Dinh Hung</cp:lastModifiedBy>
  <cp:revision>2</cp:revision>
  <dcterms:created xsi:type="dcterms:W3CDTF">2025-11-09T03:27:00Z</dcterms:created>
  <dcterms:modified xsi:type="dcterms:W3CDTF">2025-11-13T08:33:00Z</dcterms:modified>
</cp:coreProperties>
</file>