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4D668E3D" w14:textId="77777777" w:rsidR="00A00CD1" w:rsidRPr="00A00CD1" w:rsidRDefault="00A00CD1" w:rsidP="00A00CD1">
      <w:pPr>
        <w:tabs>
          <w:tab w:val="left" w:pos="851"/>
          <w:tab w:val="left" w:pos="1418"/>
        </w:tabs>
        <w:spacing w:after="120" w:line="300" w:lineRule="exact"/>
        <w:ind w:firstLine="709"/>
        <w:rPr>
          <w:rFonts w:ascii="Times New Roman" w:eastAsia="Times New Roman" w:hAnsi="Times New Roman" w:cs="Times New Roman"/>
          <w:color w:val="000000"/>
          <w:sz w:val="26"/>
          <w:szCs w:val="26"/>
          <w:lang w:val="nl-NL"/>
        </w:rPr>
      </w:pPr>
      <w:r>
        <w:rPr>
          <w:lang w:val="nl-NL"/>
        </w:rPr>
        <w:tab/>
      </w:r>
      <w:r w:rsidRPr="00A00CD1">
        <w:rPr>
          <w:rFonts w:ascii="Times New Roman" w:eastAsia="Times New Roman" w:hAnsi="Times New Roman" w:cs="Times New Roman"/>
          <w:color w:val="000000"/>
          <w:sz w:val="26"/>
          <w:szCs w:val="26"/>
          <w:lang w:val="nl-NL"/>
        </w:rPr>
        <w:t>Sử dụng tiêu chí đạt, không đạt hoặc phương pháp chấm điểm để xây dựng tiêu chuẩn đánh giá về kỹ thuật.</w:t>
      </w:r>
    </w:p>
    <w:p w14:paraId="726B8DB4"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bookmarkStart w:id="0" w:name="_Hlk202140161"/>
      <w:r w:rsidRPr="00A00CD1">
        <w:rPr>
          <w:rFonts w:ascii="Times New Roman" w:eastAsia="Times New Roman" w:hAnsi="Times New Roman" w:cs="Times New Roman"/>
          <w:color w:val="000000"/>
          <w:sz w:val="26"/>
          <w:szCs w:val="26"/>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A00CD1">
        <w:rPr>
          <w:rFonts w:ascii="Times New Roman" w:eastAsia="Calibri" w:hAnsi="Times New Roman" w:cs="Times New Roman"/>
          <w:color w:val="000000"/>
          <w:spacing w:val="2"/>
          <w:sz w:val="26"/>
          <w:szCs w:val="26"/>
          <w:lang w:val="nl-NL"/>
        </w:rPr>
        <w:t>Điều 19 và</w:t>
      </w:r>
      <w:r w:rsidRPr="00A00CD1" w:rsidDel="006436F8">
        <w:rPr>
          <w:rFonts w:ascii="Times New Roman" w:eastAsia="Times New Roman" w:hAnsi="Times New Roman" w:cs="Times New Roman"/>
          <w:color w:val="000000"/>
          <w:sz w:val="26"/>
          <w:szCs w:val="26"/>
          <w:lang w:val="nl-NL"/>
        </w:rPr>
        <w:t xml:space="preserve"> </w:t>
      </w:r>
      <w:r w:rsidRPr="00A00CD1">
        <w:rPr>
          <w:rFonts w:ascii="Times New Roman" w:eastAsia="Times New Roman" w:hAnsi="Times New Roman" w:cs="Times New Roman"/>
          <w:color w:val="000000"/>
          <w:sz w:val="26"/>
          <w:szCs w:val="26"/>
          <w:lang w:val="nl-NL"/>
        </w:rPr>
        <w:t>Điều 20 của Nghị định số 214/2025/NĐ-CP</w:t>
      </w:r>
      <w:r w:rsidRPr="00A00CD1" w:rsidDel="00391D04">
        <w:rPr>
          <w:rFonts w:ascii="Times New Roman" w:eastAsia="Times New Roman" w:hAnsi="Times New Roman" w:cs="Times New Roman"/>
          <w:color w:val="000000"/>
          <w:sz w:val="26"/>
          <w:szCs w:val="26"/>
          <w:lang w:val="nl-NL"/>
        </w:rPr>
        <w:t xml:space="preserve"> </w:t>
      </w:r>
      <w:bookmarkEnd w:id="1"/>
      <w:r w:rsidRPr="00A00CD1">
        <w:rPr>
          <w:rFonts w:ascii="Times New Roman" w:eastAsia="Times New Roman" w:hAnsi="Times New Roman" w:cs="Times New Roman"/>
          <w:color w:val="000000"/>
          <w:sz w:val="26"/>
          <w:szCs w:val="26"/>
          <w:lang w:val="nl-NL"/>
        </w:rPr>
        <w:t>và các yêu cầu khác nêu trong E-HSMT. Căn cứ vào từng gói thầu cụ thể, khi lập E-HSMT phải cụ thể hóa các tiêu chí làm cơ sở để đánh giá về kỹ thuật bao gồm:</w:t>
      </w:r>
    </w:p>
    <w:p w14:paraId="2328208A"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r w:rsidRPr="00A00CD1">
        <w:rPr>
          <w:rFonts w:ascii="Times New Roman" w:eastAsia="Times New Roman" w:hAnsi="Times New Roman" w:cs="Times New Roman"/>
          <w:color w:val="000000"/>
          <w:sz w:val="26"/>
          <w:szCs w:val="26"/>
          <w:lang w:val="nl-NL"/>
        </w:rPr>
        <w:t>- T</w:t>
      </w:r>
      <w:r w:rsidRPr="00A00CD1">
        <w:rPr>
          <w:rFonts w:ascii="Times New Roman" w:eastAsia="Times New Roman" w:hAnsi="Times New Roman" w:cs="Times New Roman"/>
          <w:color w:val="000000"/>
          <w:sz w:val="26"/>
          <w:szCs w:val="26"/>
          <w:lang w:val="vi-VN"/>
        </w:rPr>
        <w:t>ính hợp lý và khả thi của các giải pháp kỹ thuật, biện pháp tổ chức thi công phù hợp với đề xuất về tiến độ thi công</w:t>
      </w:r>
      <w:r w:rsidRPr="00A00CD1">
        <w:rPr>
          <w:rFonts w:ascii="Times New Roman" w:eastAsia="Times New Roman" w:hAnsi="Times New Roman" w:cs="Times New Roman"/>
          <w:color w:val="000000"/>
          <w:sz w:val="26"/>
          <w:szCs w:val="26"/>
          <w:lang w:val="nl-NL"/>
        </w:rPr>
        <w:t>;</w:t>
      </w:r>
      <w:r w:rsidRPr="00A00CD1">
        <w:rPr>
          <w:rFonts w:ascii="Times New Roman" w:eastAsia="Times New Roman" w:hAnsi="Times New Roman" w:cs="Times New Roman"/>
          <w:color w:val="000000"/>
          <w:sz w:val="26"/>
          <w:szCs w:val="26"/>
          <w:lang w:val="vi-VN"/>
        </w:rPr>
        <w:t xml:space="preserve"> </w:t>
      </w:r>
    </w:p>
    <w:p w14:paraId="5575020F"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r w:rsidRPr="00A00CD1">
        <w:rPr>
          <w:rFonts w:ascii="Times New Roman" w:eastAsia="Times New Roman" w:hAnsi="Times New Roman" w:cs="Times New Roman"/>
          <w:color w:val="000000"/>
          <w:sz w:val="26"/>
          <w:szCs w:val="26"/>
          <w:lang w:val="nl-NL"/>
        </w:rPr>
        <w:t>- T</w:t>
      </w:r>
      <w:r w:rsidRPr="00A00CD1">
        <w:rPr>
          <w:rFonts w:ascii="Times New Roman" w:eastAsia="Times New Roman" w:hAnsi="Times New Roman" w:cs="Times New Roman"/>
          <w:color w:val="000000"/>
          <w:sz w:val="26"/>
          <w:szCs w:val="26"/>
          <w:lang w:val="vi-VN"/>
        </w:rPr>
        <w:t xml:space="preserve">iến độ thi công; </w:t>
      </w:r>
    </w:p>
    <w:p w14:paraId="04DCCE92"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r w:rsidRPr="00A00CD1">
        <w:rPr>
          <w:rFonts w:ascii="Times New Roman" w:eastAsia="Times New Roman" w:hAnsi="Times New Roman" w:cs="Times New Roman"/>
          <w:color w:val="000000"/>
          <w:sz w:val="26"/>
          <w:szCs w:val="26"/>
          <w:lang w:val="nl-NL"/>
        </w:rPr>
        <w:t>- C</w:t>
      </w:r>
      <w:r w:rsidRPr="00A00CD1">
        <w:rPr>
          <w:rFonts w:ascii="Times New Roman" w:eastAsia="Times New Roman" w:hAnsi="Times New Roman" w:cs="Times New Roman"/>
          <w:color w:val="000000"/>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5ED77B4"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r w:rsidRPr="00A00CD1">
        <w:rPr>
          <w:rFonts w:ascii="Times New Roman" w:eastAsia="Times New Roman" w:hAnsi="Times New Roman" w:cs="Times New Roman"/>
          <w:color w:val="000000"/>
          <w:sz w:val="26"/>
          <w:szCs w:val="26"/>
          <w:lang w:val="nl-NL"/>
        </w:rPr>
        <w:t>- Mức</w:t>
      </w:r>
      <w:r w:rsidRPr="00A00CD1">
        <w:rPr>
          <w:rFonts w:ascii="Times New Roman" w:eastAsia="Times New Roman" w:hAnsi="Times New Roman" w:cs="Times New Roman"/>
          <w:color w:val="000000"/>
          <w:sz w:val="26"/>
          <w:szCs w:val="26"/>
          <w:lang w:val="vi-VN"/>
        </w:rPr>
        <w:t xml:space="preserve"> độ đáp ứng các yêu cầu về bảo hành, bảo trì; </w:t>
      </w:r>
    </w:p>
    <w:p w14:paraId="221604DE"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r w:rsidRPr="00A00CD1">
        <w:rPr>
          <w:rFonts w:ascii="Times New Roman" w:eastAsia="Times New Roman" w:hAnsi="Times New Roman" w:cs="Times New Roman"/>
          <w:color w:val="000000"/>
          <w:sz w:val="26"/>
          <w:szCs w:val="26"/>
          <w:lang w:val="nl-NL"/>
        </w:rPr>
        <w:t>- C</w:t>
      </w:r>
      <w:r w:rsidRPr="00A00CD1">
        <w:rPr>
          <w:rFonts w:ascii="Times New Roman" w:eastAsia="Times New Roman" w:hAnsi="Times New Roman" w:cs="Times New Roman"/>
          <w:color w:val="000000"/>
          <w:sz w:val="26"/>
          <w:szCs w:val="26"/>
          <w:lang w:val="vi-VN"/>
        </w:rPr>
        <w:t>ác yếu tố thân thiện môi trường (nếu có)</w:t>
      </w:r>
      <w:r w:rsidRPr="00A00CD1">
        <w:rPr>
          <w:rFonts w:ascii="Times New Roman" w:eastAsia="Times New Roman" w:hAnsi="Times New Roman" w:cs="Times New Roman"/>
          <w:color w:val="000000"/>
          <w:sz w:val="26"/>
          <w:szCs w:val="26"/>
          <w:lang w:val="nl-NL"/>
        </w:rPr>
        <w:t xml:space="preserve"> gồm</w:t>
      </w:r>
      <w:r w:rsidRPr="00A00CD1">
        <w:rPr>
          <w:rFonts w:ascii="Times New Roman" w:eastAsia="Times New Roman" w:hAnsi="Times New Roman" w:cs="Times New Roman"/>
          <w:color w:val="000000"/>
          <w:sz w:val="26"/>
          <w:szCs w:val="26"/>
          <w:lang w:val="vi-VN"/>
        </w:rPr>
        <w:t xml:space="preserve"> việc sử dụng các vật tư, vật liệu</w:t>
      </w:r>
      <w:r w:rsidRPr="00A00CD1">
        <w:rPr>
          <w:rFonts w:ascii="Times New Roman" w:eastAsia="Times New Roman" w:hAnsi="Times New Roman" w:cs="Times New Roman"/>
          <w:color w:val="000000"/>
          <w:sz w:val="26"/>
          <w:szCs w:val="26"/>
          <w:lang w:val="nl-NL"/>
        </w:rPr>
        <w:t>,</w:t>
      </w:r>
      <w:r w:rsidRPr="00A00CD1">
        <w:rPr>
          <w:rFonts w:ascii="Times New Roman" w:eastAsia="Times New Roman" w:hAnsi="Times New Roman" w:cs="Times New Roman"/>
          <w:color w:val="000000"/>
          <w:sz w:val="26"/>
          <w:szCs w:val="26"/>
          <w:lang w:val="vi-VN"/>
        </w:rPr>
        <w:t xml:space="preserve"> biện pháp tổ chức thi công</w:t>
      </w:r>
      <w:r w:rsidRPr="00A00CD1">
        <w:rPr>
          <w:rFonts w:ascii="Times New Roman" w:eastAsia="Times New Roman" w:hAnsi="Times New Roman" w:cs="Times New Roman"/>
          <w:color w:val="000000"/>
          <w:sz w:val="26"/>
          <w:szCs w:val="26"/>
          <w:lang w:val="nl-NL"/>
        </w:rPr>
        <w:t>,</w:t>
      </w:r>
      <w:r w:rsidRPr="00A00CD1">
        <w:rPr>
          <w:rFonts w:ascii="Times New Roman" w:eastAsia="Times New Roman" w:hAnsi="Times New Roman" w:cs="Times New Roman"/>
          <w:color w:val="000000"/>
          <w:sz w:val="26"/>
          <w:szCs w:val="26"/>
          <w:lang w:val="vi-VN"/>
        </w:rPr>
        <w:t xml:space="preserve"> dây chuyền, công nghệ thi công và các yếu tố khác (nếu có);</w:t>
      </w:r>
    </w:p>
    <w:p w14:paraId="41C56F45"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r w:rsidRPr="00A00CD1">
        <w:rPr>
          <w:rFonts w:ascii="Times New Roman" w:eastAsia="Times New Roman" w:hAnsi="Times New Roman" w:cs="Times New Roman"/>
          <w:color w:val="000000"/>
          <w:sz w:val="26"/>
          <w:szCs w:val="26"/>
          <w:lang w:val="nl-NL"/>
        </w:rPr>
        <w:t>- Thông tin về</w:t>
      </w:r>
      <w:r w:rsidRPr="00A00CD1">
        <w:rPr>
          <w:rFonts w:ascii="Times New Roman" w:eastAsia="Times New Roman" w:hAnsi="Times New Roman" w:cs="Times New Roman"/>
          <w:color w:val="000000"/>
          <w:sz w:val="26"/>
          <w:szCs w:val="26"/>
          <w:lang w:val="vi-VN"/>
        </w:rPr>
        <w:t xml:space="preserve"> kết quả thực hiện hợp đồng của nhà thầu theo quy định tại </w:t>
      </w:r>
      <w:r w:rsidRPr="00A00CD1">
        <w:rPr>
          <w:rFonts w:ascii="Times New Roman" w:eastAsia="Calibri" w:hAnsi="Times New Roman" w:cs="Times New Roman"/>
          <w:color w:val="000000"/>
          <w:spacing w:val="2"/>
          <w:sz w:val="26"/>
          <w:szCs w:val="26"/>
          <w:lang w:val="nl-NL"/>
        </w:rPr>
        <w:t>Điều 19 và</w:t>
      </w:r>
      <w:r w:rsidRPr="00A00CD1" w:rsidDel="006436F8">
        <w:rPr>
          <w:rFonts w:ascii="Times New Roman" w:eastAsia="Times New Roman" w:hAnsi="Times New Roman" w:cs="Times New Roman"/>
          <w:color w:val="000000"/>
          <w:sz w:val="26"/>
          <w:szCs w:val="26"/>
          <w:lang w:val="nl-NL"/>
        </w:rPr>
        <w:t xml:space="preserve"> </w:t>
      </w:r>
      <w:r w:rsidRPr="00A00CD1">
        <w:rPr>
          <w:rFonts w:ascii="Times New Roman" w:eastAsia="Times New Roman" w:hAnsi="Times New Roman" w:cs="Times New Roman"/>
          <w:color w:val="000000"/>
          <w:sz w:val="26"/>
          <w:szCs w:val="26"/>
          <w:lang w:val="nl-NL"/>
        </w:rPr>
        <w:t>Đ</w:t>
      </w:r>
      <w:r w:rsidRPr="00A00CD1">
        <w:rPr>
          <w:rFonts w:ascii="Times New Roman" w:eastAsia="Times New Roman" w:hAnsi="Times New Roman" w:cs="Times New Roman"/>
          <w:color w:val="000000"/>
          <w:sz w:val="26"/>
          <w:szCs w:val="26"/>
          <w:lang w:val="vi-VN"/>
        </w:rPr>
        <w:t xml:space="preserve">iều </w:t>
      </w:r>
      <w:r w:rsidRPr="00A00CD1">
        <w:rPr>
          <w:rFonts w:ascii="Times New Roman" w:eastAsia="Times New Roman" w:hAnsi="Times New Roman" w:cs="Times New Roman"/>
          <w:color w:val="000000"/>
          <w:sz w:val="26"/>
          <w:szCs w:val="26"/>
          <w:lang w:val="nl-NL"/>
        </w:rPr>
        <w:t>20</w:t>
      </w:r>
      <w:r w:rsidRPr="00A00CD1">
        <w:rPr>
          <w:rFonts w:ascii="Times New Roman" w:eastAsia="Times New Roman" w:hAnsi="Times New Roman" w:cs="Times New Roman"/>
          <w:color w:val="000000"/>
          <w:sz w:val="26"/>
          <w:szCs w:val="26"/>
          <w:lang w:val="vi-VN"/>
        </w:rPr>
        <w:t xml:space="preserve"> của </w:t>
      </w:r>
      <w:r w:rsidRPr="00A00CD1">
        <w:rPr>
          <w:rFonts w:ascii="Times New Roman" w:eastAsia="Times New Roman" w:hAnsi="Times New Roman" w:cs="Times New Roman"/>
          <w:color w:val="000000"/>
          <w:sz w:val="26"/>
          <w:szCs w:val="26"/>
          <w:lang w:val="nl-NL"/>
        </w:rPr>
        <w:t>Nghị định số 214/2025/NĐ-CP</w:t>
      </w:r>
      <w:r w:rsidRPr="00A00CD1">
        <w:rPr>
          <w:rFonts w:ascii="Times New Roman" w:eastAsia="Times New Roman" w:hAnsi="Times New Roman" w:cs="Times New Roman"/>
          <w:color w:val="000000"/>
          <w:sz w:val="26"/>
          <w:szCs w:val="26"/>
          <w:lang w:val="vi-VN"/>
        </w:rPr>
        <w:t xml:space="preserve">; </w:t>
      </w:r>
    </w:p>
    <w:p w14:paraId="4E4A93DD"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r w:rsidRPr="00A00CD1">
        <w:rPr>
          <w:rFonts w:ascii="Times New Roman" w:eastAsia="Times New Roman" w:hAnsi="Times New Roman" w:cs="Times New Roman"/>
          <w:color w:val="000000"/>
          <w:sz w:val="26"/>
          <w:szCs w:val="26"/>
          <w:lang w:val="nl-NL"/>
        </w:rPr>
        <w:t>- C</w:t>
      </w:r>
      <w:r w:rsidRPr="00A00CD1">
        <w:rPr>
          <w:rFonts w:ascii="Times New Roman" w:eastAsia="Times New Roman" w:hAnsi="Times New Roman" w:cs="Times New Roman"/>
          <w:color w:val="000000"/>
          <w:sz w:val="26"/>
          <w:szCs w:val="26"/>
          <w:lang w:val="vi-VN"/>
        </w:rPr>
        <w:t>ác yếu tố cần thiết khác</w:t>
      </w:r>
      <w:r w:rsidRPr="00A00CD1">
        <w:rPr>
          <w:rFonts w:ascii="Times New Roman" w:eastAsia="Times New Roman" w:hAnsi="Times New Roman" w:cs="Times New Roman"/>
          <w:color w:val="000000"/>
          <w:sz w:val="26"/>
          <w:szCs w:val="26"/>
          <w:lang w:val="nl-NL"/>
        </w:rPr>
        <w:t xml:space="preserve">; </w:t>
      </w:r>
    </w:p>
    <w:p w14:paraId="1E177169"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z w:val="26"/>
          <w:szCs w:val="26"/>
          <w:lang w:val="nl-NL"/>
        </w:rPr>
      </w:pPr>
      <w:bookmarkStart w:id="2" w:name="_Hlk201336606"/>
      <w:r w:rsidRPr="00A00CD1">
        <w:rPr>
          <w:rFonts w:ascii="Times New Roman" w:eastAsia="Times New Roman" w:hAnsi="Times New Roman" w:cs="Times New Roman"/>
          <w:color w:val="000000"/>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A00CD1">
        <w:rPr>
          <w:rFonts w:ascii="Times New Roman" w:eastAsia="Times New Roman" w:hAnsi="Times New Roman" w:cs="Times New Roman"/>
          <w:color w:val="000000"/>
          <w:sz w:val="26"/>
          <w:szCs w:val="26"/>
          <w:lang w:val="nl-NL"/>
        </w:rPr>
        <w:t>.</w:t>
      </w:r>
    </w:p>
    <w:bookmarkEnd w:id="0"/>
    <w:p w14:paraId="046680BF" w14:textId="77777777" w:rsidR="00A00CD1" w:rsidRPr="00A00CD1" w:rsidRDefault="00A00CD1" w:rsidP="00A00CD1">
      <w:pPr>
        <w:tabs>
          <w:tab w:val="left" w:pos="851"/>
          <w:tab w:val="left" w:pos="1418"/>
        </w:tabs>
        <w:spacing w:after="120" w:line="300" w:lineRule="exact"/>
        <w:ind w:firstLine="709"/>
        <w:jc w:val="both"/>
        <w:rPr>
          <w:rFonts w:ascii="Times New Roman" w:eastAsia="Times New Roman" w:hAnsi="Times New Roman" w:cs="Times New Roman"/>
          <w:color w:val="000000"/>
          <w:spacing w:val="2"/>
          <w:sz w:val="26"/>
          <w:szCs w:val="26"/>
          <w:lang w:val="nl-NL"/>
        </w:rPr>
      </w:pPr>
      <w:r w:rsidRPr="00A00CD1">
        <w:rPr>
          <w:rFonts w:ascii="Times New Roman" w:eastAsia="Times New Roman" w:hAnsi="Times New Roman" w:cs="Times New Roman"/>
          <w:color w:val="000000"/>
          <w:spacing w:val="2"/>
          <w:sz w:val="26"/>
          <w:szCs w:val="26"/>
          <w:lang w:val="nl-NL"/>
        </w:rPr>
        <w:t>-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p w14:paraId="79D57587" w14:textId="6B65CA51" w:rsidR="00A00CD1" w:rsidRPr="00A00CD1" w:rsidRDefault="00A00CD1" w:rsidP="007314EA">
      <w:pPr>
        <w:ind w:firstLine="709"/>
        <w:rPr>
          <w:lang w:val="nl-NL"/>
        </w:rPr>
      </w:pPr>
      <w:r w:rsidRPr="00A00CD1">
        <w:rPr>
          <w:rFonts w:ascii="Times New Roman" w:eastAsia="Times New Roman" w:hAnsi="Times New Roman" w:cs="Times New Roman"/>
          <w:color w:val="000000"/>
          <w:spacing w:val="2"/>
          <w:sz w:val="26"/>
          <w:szCs w:val="26"/>
          <w:lang w:val="nl-NL"/>
        </w:rPr>
        <w:t>- Các loại chứng chỉ liên quan đến gói thầu được thực hiện đánh giá giống chứng chỉ năng lực hoạt động xây dựng công trình là:</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804"/>
      </w:tblGrid>
      <w:tr w:rsidR="00A00CD1" w:rsidRPr="00A00CD1" w14:paraId="62F4D75F" w14:textId="77777777" w:rsidTr="00A00CD1">
        <w:trPr>
          <w:trHeight w:val="336"/>
        </w:trPr>
        <w:tc>
          <w:tcPr>
            <w:tcW w:w="10065" w:type="dxa"/>
            <w:gridSpan w:val="2"/>
            <w:shd w:val="clear" w:color="auto" w:fill="auto"/>
            <w:vAlign w:val="center"/>
            <w:hideMark/>
          </w:tcPr>
          <w:p w14:paraId="0B5F52B6" w14:textId="61E9E1CA" w:rsidR="00A00CD1" w:rsidRPr="00A00CD1" w:rsidRDefault="00A00CD1" w:rsidP="00A00CD1">
            <w:pPr>
              <w:widowControl w:val="0"/>
              <w:spacing w:after="0" w:line="264" w:lineRule="auto"/>
              <w:rPr>
                <w:rFonts w:ascii="Times New Roman" w:eastAsia="Times New Roman" w:hAnsi="Times New Roman" w:cs="Times New Roman"/>
                <w:b/>
                <w:bCs/>
                <w:spacing w:val="2"/>
                <w:sz w:val="26"/>
                <w:szCs w:val="26"/>
                <w:vertAlign w:val="superscript"/>
                <w:lang w:val="nl-NL"/>
              </w:rPr>
            </w:pPr>
            <w:r w:rsidRPr="00A00CD1">
              <w:rPr>
                <w:rFonts w:ascii="Times New Roman" w:eastAsia="Times New Roman" w:hAnsi="Times New Roman" w:cs="Times New Roman"/>
                <w:b/>
                <w:bCs/>
                <w:spacing w:val="2"/>
                <w:sz w:val="26"/>
                <w:szCs w:val="26"/>
                <w:lang w:val="nl-NL"/>
              </w:rPr>
              <w:t>An toàn lao động</w:t>
            </w:r>
          </w:p>
        </w:tc>
      </w:tr>
      <w:tr w:rsidR="00A00CD1" w:rsidRPr="00BC106F" w14:paraId="05F49373" w14:textId="77777777" w:rsidTr="00A00CD1">
        <w:trPr>
          <w:trHeight w:val="742"/>
        </w:trPr>
        <w:tc>
          <w:tcPr>
            <w:tcW w:w="3261" w:type="dxa"/>
            <w:shd w:val="clear" w:color="auto" w:fill="auto"/>
            <w:vAlign w:val="center"/>
            <w:hideMark/>
          </w:tcPr>
          <w:p w14:paraId="65F74DBF" w14:textId="77777777" w:rsidR="00A00CD1" w:rsidRPr="00A00CD1" w:rsidRDefault="00A00CD1" w:rsidP="00A00CD1">
            <w:pPr>
              <w:widowControl w:val="0"/>
              <w:spacing w:after="0" w:line="264" w:lineRule="auto"/>
              <w:jc w:val="both"/>
              <w:rPr>
                <w:rFonts w:ascii="Times New Roman" w:eastAsia="Times New Roman" w:hAnsi="Times New Roman" w:cs="Times New Roman"/>
                <w:spacing w:val="2"/>
                <w:sz w:val="26"/>
                <w:szCs w:val="26"/>
                <w:lang w:val="nl-NL"/>
              </w:rPr>
            </w:pPr>
            <w:r w:rsidRPr="00A00CD1">
              <w:rPr>
                <w:rFonts w:ascii="Times New Roman" w:eastAsia="Times New Roman" w:hAnsi="Times New Roman" w:cs="Times New Roman"/>
                <w:spacing w:val="2"/>
                <w:sz w:val="26"/>
                <w:szCs w:val="26"/>
                <w:lang w:val="nl-NL"/>
              </w:rPr>
              <w:t>An toàn lao động:  Đối với công việc xây lắp các công trình điện tại EVNHANOI.</w:t>
            </w:r>
            <w:r w:rsidRPr="00A00CD1">
              <w:rPr>
                <w:rFonts w:ascii="Times New Roman" w:eastAsia="Times New Roman" w:hAnsi="Times New Roman" w:cs="Times New Roman"/>
                <w:spacing w:val="2"/>
                <w:sz w:val="26"/>
                <w:szCs w:val="26"/>
                <w:lang w:val="nl-NL"/>
              </w:rPr>
              <w:br/>
              <w:t>Biện pháp an toàn lao động hợp lý, khả thi phù hợp với đề xuất về biện pháp tổ chức thi công</w:t>
            </w:r>
          </w:p>
        </w:tc>
        <w:tc>
          <w:tcPr>
            <w:tcW w:w="6804" w:type="dxa"/>
            <w:shd w:val="clear" w:color="auto" w:fill="auto"/>
            <w:vAlign w:val="center"/>
            <w:hideMark/>
          </w:tcPr>
          <w:p w14:paraId="5B6E8A5A" w14:textId="77777777" w:rsidR="00A00CD1" w:rsidRPr="00A00CD1" w:rsidRDefault="00A00CD1" w:rsidP="00A00CD1">
            <w:pPr>
              <w:tabs>
                <w:tab w:val="left" w:pos="177"/>
              </w:tabs>
              <w:spacing w:after="0" w:line="240" w:lineRule="auto"/>
              <w:jc w:val="both"/>
              <w:rPr>
                <w:rFonts w:ascii="Times New Roman" w:eastAsia="Times New Roman" w:hAnsi="Times New Roman" w:cs="Times New Roman"/>
                <w:sz w:val="26"/>
                <w:szCs w:val="26"/>
                <w:lang w:val="nl-NL"/>
              </w:rPr>
            </w:pPr>
            <w:r w:rsidRPr="00A00CD1">
              <w:rPr>
                <w:rFonts w:ascii="Times New Roman" w:eastAsia="Times New Roman" w:hAnsi="Times New Roman" w:cs="Times New Roman"/>
                <w:sz w:val="26"/>
                <w:szCs w:val="26"/>
                <w:lang w:val="nl-NL"/>
              </w:rPr>
              <w:t xml:space="preserve">1. Người lao động phải được huấn luyện ATVSLĐ và cấp chứng nhận, thẻ an toàn lao động tại </w:t>
            </w:r>
            <w:r w:rsidRPr="00A00CD1">
              <w:rPr>
                <w:rFonts w:ascii="Times New Roman" w:eastAsia="Times New Roman" w:hAnsi="Times New Roman" w:cs="Times New Roman"/>
                <w:sz w:val="26"/>
                <w:szCs w:val="26"/>
                <w:lang w:val="vi-VN"/>
              </w:rPr>
              <w:t>Điều 1</w:t>
            </w:r>
            <w:r w:rsidRPr="00A00CD1">
              <w:rPr>
                <w:rFonts w:ascii="Times New Roman" w:eastAsia="Times New Roman" w:hAnsi="Times New Roman" w:cs="Times New Roman"/>
                <w:sz w:val="26"/>
                <w:szCs w:val="26"/>
                <w:lang w:val="nl-NL"/>
              </w:rPr>
              <w:t xml:space="preserve"> Nghị định số </w:t>
            </w:r>
            <w:r w:rsidRPr="00A00CD1">
              <w:rPr>
                <w:rFonts w:ascii="Times New Roman" w:eastAsia="Times New Roman" w:hAnsi="Times New Roman" w:cs="Times New Roman"/>
                <w:sz w:val="26"/>
                <w:szCs w:val="26"/>
                <w:lang w:val="vi-VN"/>
              </w:rPr>
              <w:t>140/2018/NĐ-CP</w:t>
            </w:r>
            <w:r w:rsidRPr="00A00CD1">
              <w:rPr>
                <w:rFonts w:ascii="Times New Roman" w:eastAsia="Times New Roman" w:hAnsi="Times New Roman" w:cs="Times New Roman"/>
                <w:sz w:val="26"/>
                <w:szCs w:val="26"/>
                <w:lang w:val="nl-NL"/>
              </w:rPr>
              <w:t xml:space="preserve"> n</w:t>
            </w:r>
            <w:r w:rsidRPr="00A00CD1">
              <w:rPr>
                <w:rFonts w:ascii="Times New Roman" w:eastAsia="Times New Roman" w:hAnsi="Times New Roman" w:cs="Times New Roman"/>
                <w:iCs/>
                <w:sz w:val="26"/>
                <w:szCs w:val="26"/>
                <w:lang w:val="vi-VN"/>
              </w:rPr>
              <w:t>gày </w:t>
            </w:r>
            <w:r w:rsidRPr="00A00CD1">
              <w:rPr>
                <w:rFonts w:ascii="Times New Roman" w:eastAsia="Times New Roman" w:hAnsi="Times New Roman" w:cs="Times New Roman"/>
                <w:iCs/>
                <w:sz w:val="26"/>
                <w:szCs w:val="26"/>
                <w:lang w:val="nl-NL"/>
              </w:rPr>
              <w:t>08</w:t>
            </w:r>
            <w:r w:rsidRPr="00A00CD1">
              <w:rPr>
                <w:rFonts w:ascii="Times New Roman" w:eastAsia="Times New Roman" w:hAnsi="Times New Roman" w:cs="Times New Roman"/>
                <w:iCs/>
                <w:sz w:val="26"/>
                <w:szCs w:val="26"/>
                <w:lang w:val="vi-VN"/>
              </w:rPr>
              <w:t> </w:t>
            </w:r>
            <w:r w:rsidRPr="00A00CD1">
              <w:rPr>
                <w:rFonts w:ascii="Times New Roman" w:eastAsia="Times New Roman" w:hAnsi="Times New Roman" w:cs="Times New Roman"/>
                <w:iCs/>
                <w:sz w:val="26"/>
                <w:szCs w:val="26"/>
                <w:lang w:val="nl-NL"/>
              </w:rPr>
              <w:t>/10/2018</w:t>
            </w:r>
            <w:r w:rsidRPr="00A00CD1">
              <w:rPr>
                <w:rFonts w:ascii="Times New Roman" w:eastAsia="Times New Roman" w:hAnsi="Times New Roman" w:cs="Times New Roman"/>
                <w:iCs/>
                <w:sz w:val="26"/>
                <w:szCs w:val="26"/>
                <w:lang w:val="vi-VN"/>
              </w:rPr>
              <w:t> </w:t>
            </w:r>
            <w:r w:rsidRPr="00A00CD1">
              <w:rPr>
                <w:rFonts w:ascii="Times New Roman" w:eastAsia="Times New Roman" w:hAnsi="Times New Roman" w:cs="Times New Roman"/>
                <w:sz w:val="26"/>
                <w:szCs w:val="26"/>
                <w:lang w:val="vi-VN"/>
              </w:rPr>
              <w:t xml:space="preserve">và Điều 24 Nghị định 44/NĐ-2016 ngày 15/5/2016; </w:t>
            </w:r>
          </w:p>
          <w:p w14:paraId="39B83F35" w14:textId="6D79FC71" w:rsidR="00A00CD1" w:rsidRPr="00A00CD1" w:rsidRDefault="00AA3418" w:rsidP="00A00CD1">
            <w:pPr>
              <w:spacing w:before="120" w:after="120" w:line="234" w:lineRule="atLeast"/>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r w:rsidR="00A00CD1" w:rsidRPr="00A00CD1">
              <w:rPr>
                <w:rFonts w:ascii="Times New Roman" w:eastAsia="Times New Roman" w:hAnsi="Times New Roman" w:cs="Times New Roman"/>
                <w:sz w:val="26"/>
                <w:szCs w:val="26"/>
                <w:lang w:val="nl-NL"/>
              </w:rPr>
              <w:t xml:space="preserve">. Nếu gói thầu có máy móc, thiết bị vật tư, chất có yêu cầu nghiêm ngặt về an toàn vệ sinh lao động: </w:t>
            </w:r>
          </w:p>
          <w:p w14:paraId="6C5DA805" w14:textId="77777777" w:rsidR="00A00CD1" w:rsidRPr="00A00CD1" w:rsidRDefault="00A00CD1" w:rsidP="00A00CD1">
            <w:pPr>
              <w:spacing w:before="120" w:after="120" w:line="234" w:lineRule="atLeast"/>
              <w:jc w:val="both"/>
              <w:rPr>
                <w:rFonts w:ascii="Times New Roman" w:eastAsia="Times New Roman" w:hAnsi="Times New Roman" w:cs="Times New Roman"/>
                <w:sz w:val="26"/>
                <w:szCs w:val="26"/>
                <w:lang w:val="nl-NL"/>
              </w:rPr>
            </w:pPr>
            <w:r w:rsidRPr="00A00CD1">
              <w:rPr>
                <w:rFonts w:ascii="Times New Roman" w:eastAsia="Times New Roman" w:hAnsi="Times New Roman" w:cs="Times New Roman"/>
                <w:sz w:val="26"/>
                <w:szCs w:val="26"/>
                <w:lang w:val="nl-NL"/>
              </w:rPr>
              <w:t xml:space="preserve">- Phải được kiểm định theo Điều 31 Luật an toàn vệ sinh lao động số 84/2015/QH13 ngày 25/6/2015; Thông tư số </w:t>
            </w:r>
            <w:r w:rsidRPr="00A00CD1">
              <w:rPr>
                <w:rFonts w:ascii="Times New Roman" w:eastAsia="Times New Roman" w:hAnsi="Times New Roman" w:cs="Times New Roman"/>
                <w:sz w:val="26"/>
                <w:szCs w:val="26"/>
                <w:lang w:val="nl-NL"/>
              </w:rPr>
              <w:lastRenderedPageBreak/>
              <w:t>36/2019/TT-BLĐTBXH ngày 30 tháng 12 năm 2019.</w:t>
            </w:r>
          </w:p>
          <w:p w14:paraId="6003CADD" w14:textId="77777777" w:rsidR="00A00CD1" w:rsidRPr="00A00CD1" w:rsidRDefault="00A00CD1" w:rsidP="00A00CD1">
            <w:pPr>
              <w:spacing w:before="120" w:after="120" w:line="234" w:lineRule="atLeast"/>
              <w:jc w:val="both"/>
              <w:rPr>
                <w:rFonts w:ascii="Times New Roman" w:eastAsia="Times New Roman" w:hAnsi="Times New Roman" w:cs="Times New Roman"/>
                <w:sz w:val="26"/>
                <w:szCs w:val="26"/>
                <w:lang w:val="nl-NL"/>
              </w:rPr>
            </w:pPr>
            <w:r w:rsidRPr="00A00CD1">
              <w:rPr>
                <w:rFonts w:ascii="Times New Roman" w:eastAsia="Times New Roman" w:hAnsi="Times New Roman" w:cs="Times New Roman"/>
                <w:sz w:val="26"/>
                <w:szCs w:val="26"/>
                <w:lang w:val="nl-NL"/>
              </w:rPr>
              <w:t xml:space="preserve">- Có </w:t>
            </w:r>
            <w:r w:rsidRPr="00A00CD1">
              <w:rPr>
                <w:rFonts w:ascii="Times New Roman" w:eastAsia="Times New Roman" w:hAnsi="Times New Roman" w:cs="Times New Roman"/>
                <w:spacing w:val="2"/>
                <w:sz w:val="26"/>
                <w:szCs w:val="26"/>
                <w:lang w:val="nl-NL"/>
              </w:rPr>
              <w:t xml:space="preserve">Biên bản kiểm định máy móc thiết bị thi công đối với công trình </w:t>
            </w:r>
          </w:p>
          <w:p w14:paraId="0C8A74A7" w14:textId="77777777" w:rsidR="00A00CD1" w:rsidRPr="00A00CD1" w:rsidRDefault="00A00CD1" w:rsidP="00A00CD1">
            <w:pPr>
              <w:spacing w:before="120" w:after="120" w:line="234" w:lineRule="atLeast"/>
              <w:jc w:val="both"/>
              <w:rPr>
                <w:rFonts w:ascii="Times New Roman" w:eastAsia="Times New Roman" w:hAnsi="Times New Roman" w:cs="Times New Roman"/>
                <w:sz w:val="26"/>
                <w:szCs w:val="26"/>
                <w:lang w:val="nl-NL"/>
              </w:rPr>
            </w:pPr>
            <w:r w:rsidRPr="00A00CD1">
              <w:rPr>
                <w:rFonts w:ascii="Times New Roman" w:eastAsia="Times New Roman" w:hAnsi="Times New Roman" w:cs="Times New Roman"/>
                <w:sz w:val="26"/>
                <w:szCs w:val="26"/>
                <w:lang w:val="nl-NL"/>
              </w:rPr>
              <w:t>4. Nếu gói thầu có Thiết bị, dụng cụ điện:</w:t>
            </w:r>
          </w:p>
          <w:p w14:paraId="36A9E184" w14:textId="77777777" w:rsidR="00A00CD1" w:rsidRPr="00A00CD1" w:rsidRDefault="00A00CD1" w:rsidP="00A00CD1">
            <w:pPr>
              <w:spacing w:before="120" w:after="120" w:line="234" w:lineRule="atLeast"/>
              <w:jc w:val="both"/>
              <w:rPr>
                <w:rFonts w:ascii="Times New Roman" w:eastAsia="Times New Roman" w:hAnsi="Times New Roman" w:cs="Times New Roman"/>
                <w:sz w:val="26"/>
                <w:szCs w:val="26"/>
                <w:lang w:val="nl-NL"/>
              </w:rPr>
            </w:pPr>
            <w:r w:rsidRPr="00A00CD1">
              <w:rPr>
                <w:rFonts w:ascii="Times New Roman" w:eastAsia="Times New Roman" w:hAnsi="Times New Roman" w:cs="Times New Roman"/>
                <w:sz w:val="26"/>
                <w:szCs w:val="26"/>
                <w:lang w:val="nl-NL"/>
              </w:rPr>
              <w:t>- Phải được Kiểm định theo thông tư số 33/TT-BCT ngày 27/10/2015; Thí nghiệm, thử nghiệm theo Quy trình An toàn điện của Tập đoàn Điện lực Việt Nam đang hiện hành.</w:t>
            </w:r>
          </w:p>
          <w:p w14:paraId="2E3D5D4C" w14:textId="77777777" w:rsidR="00A00CD1" w:rsidRPr="00A00CD1" w:rsidRDefault="00A00CD1" w:rsidP="00A00CD1">
            <w:pPr>
              <w:spacing w:before="120" w:after="120" w:line="234" w:lineRule="atLeast"/>
              <w:jc w:val="both"/>
              <w:rPr>
                <w:rFonts w:ascii="Times New Roman" w:eastAsia="Times New Roman" w:hAnsi="Times New Roman" w:cs="Times New Roman"/>
                <w:sz w:val="26"/>
                <w:szCs w:val="26"/>
                <w:lang w:val="nl-NL"/>
              </w:rPr>
            </w:pPr>
            <w:r w:rsidRPr="00A00CD1">
              <w:rPr>
                <w:rFonts w:ascii="Times New Roman" w:eastAsia="Times New Roman" w:hAnsi="Times New Roman" w:cs="Times New Roman"/>
                <w:sz w:val="26"/>
                <w:szCs w:val="26"/>
                <w:lang w:val="nl-NL"/>
              </w:rPr>
              <w:t xml:space="preserve">- Có </w:t>
            </w:r>
            <w:r w:rsidRPr="00A00CD1">
              <w:rPr>
                <w:rFonts w:ascii="Times New Roman" w:eastAsia="Times New Roman" w:hAnsi="Times New Roman" w:cs="Times New Roman"/>
                <w:spacing w:val="2"/>
                <w:sz w:val="26"/>
                <w:szCs w:val="26"/>
                <w:lang w:val="nl-NL"/>
              </w:rPr>
              <w:t>Kiểm định thiết bị, dụng cụ điện</w:t>
            </w:r>
          </w:p>
          <w:p w14:paraId="0330E602" w14:textId="65518703" w:rsidR="00A00CD1" w:rsidRPr="00A00CD1" w:rsidRDefault="00A00CD1" w:rsidP="00AA3418">
            <w:pPr>
              <w:widowControl w:val="0"/>
              <w:spacing w:after="0" w:line="264" w:lineRule="auto"/>
              <w:jc w:val="both"/>
              <w:rPr>
                <w:rFonts w:ascii="Times New Roman" w:eastAsia="Times New Roman" w:hAnsi="Times New Roman" w:cs="Times New Roman"/>
                <w:spacing w:val="2"/>
                <w:sz w:val="26"/>
                <w:szCs w:val="26"/>
                <w:lang w:val="nl-NL"/>
              </w:rPr>
            </w:pPr>
            <w:r w:rsidRPr="00A00CD1">
              <w:rPr>
                <w:rFonts w:ascii="Times New Roman" w:eastAsia="Times New Roman" w:hAnsi="Times New Roman" w:cs="Times New Roman"/>
                <w:i/>
                <w:sz w:val="26"/>
                <w:szCs w:val="26"/>
                <w:lang w:val="nl-NL"/>
              </w:rPr>
              <w:t xml:space="preserve">Ghi chú: nhân sự theo các quy định trên phải có </w:t>
            </w:r>
            <w:r w:rsidRPr="00A00CD1">
              <w:rPr>
                <w:rFonts w:ascii="Times New Roman" w:eastAsia="Times New Roman" w:hAnsi="Times New Roman" w:cs="Times New Roman"/>
                <w:i/>
                <w:spacing w:val="2"/>
                <w:sz w:val="26"/>
                <w:szCs w:val="26"/>
                <w:lang w:val="nl-NL"/>
              </w:rPr>
              <w:t>chứng nhận, chúng chỉ, thẻ an toàn vệ sinh lao động,</w:t>
            </w:r>
            <w:r w:rsidRPr="00A00CD1">
              <w:rPr>
                <w:rFonts w:ascii="Times New Roman" w:eastAsia="Times New Roman" w:hAnsi="Times New Roman" w:cs="Times New Roman"/>
                <w:i/>
                <w:sz w:val="26"/>
                <w:szCs w:val="26"/>
                <w:lang w:val="nl-NL"/>
              </w:rPr>
              <w:t xml:space="preserve"> Nhà thầu có thể đính kèm hoặc không đính kèm </w:t>
            </w:r>
            <w:r w:rsidRPr="00A00CD1">
              <w:rPr>
                <w:rFonts w:ascii="Times New Roman" w:eastAsia="Times New Roman" w:hAnsi="Times New Roman" w:cs="Times New Roman"/>
                <w:i/>
                <w:spacing w:val="2"/>
                <w:sz w:val="26"/>
                <w:szCs w:val="26"/>
                <w:lang w:val="nl-NL"/>
              </w:rPr>
              <w:t>chứng nhận, chúng chỉ</w:t>
            </w:r>
            <w:r w:rsidR="00AA3418">
              <w:rPr>
                <w:rFonts w:ascii="Times New Roman" w:eastAsia="Times New Roman" w:hAnsi="Times New Roman" w:cs="Times New Roman"/>
                <w:i/>
                <w:spacing w:val="2"/>
                <w:sz w:val="26"/>
                <w:szCs w:val="26"/>
                <w:lang w:val="nl-NL"/>
              </w:rPr>
              <w:t xml:space="preserve">, thẻ an toàn vệ sinh lao động </w:t>
            </w:r>
            <w:r w:rsidRPr="00A00CD1">
              <w:rPr>
                <w:rFonts w:ascii="Times New Roman" w:eastAsia="Times New Roman" w:hAnsi="Times New Roman" w:cs="Times New Roman"/>
                <w:i/>
                <w:sz w:val="26"/>
                <w:szCs w:val="26"/>
                <w:lang w:val="nl-NL"/>
              </w:rPr>
              <w:t xml:space="preserve">trong E-HSDT. Trường hợp nhà thầu trúng thầu, nhà thầu phải xuất trình </w:t>
            </w:r>
            <w:r w:rsidRPr="00A00CD1">
              <w:rPr>
                <w:rFonts w:ascii="Times New Roman" w:eastAsia="Times New Roman" w:hAnsi="Times New Roman" w:cs="Times New Roman"/>
                <w:i/>
                <w:spacing w:val="2"/>
                <w:sz w:val="26"/>
                <w:szCs w:val="26"/>
                <w:lang w:val="nl-NL"/>
              </w:rPr>
              <w:t>chứng nhận, chúng chỉ</w:t>
            </w:r>
            <w:r w:rsidR="00AA3418">
              <w:rPr>
                <w:rFonts w:ascii="Times New Roman" w:eastAsia="Times New Roman" w:hAnsi="Times New Roman" w:cs="Times New Roman"/>
                <w:i/>
                <w:spacing w:val="2"/>
                <w:sz w:val="26"/>
                <w:szCs w:val="26"/>
                <w:lang w:val="nl-NL"/>
              </w:rPr>
              <w:t>, thẻ an toàn vệ sinh lao động</w:t>
            </w:r>
            <w:r w:rsidRPr="00A00CD1">
              <w:rPr>
                <w:rFonts w:ascii="Times New Roman" w:eastAsia="Times New Roman" w:hAnsi="Times New Roman" w:cs="Times New Roman"/>
                <w:i/>
                <w:sz w:val="26"/>
                <w:szCs w:val="26"/>
                <w:lang w:val="nl-NL"/>
              </w:rPr>
              <w:t>trước khi trao hợp đồng</w:t>
            </w:r>
          </w:p>
        </w:tc>
      </w:tr>
      <w:tr w:rsidR="00A00CD1" w:rsidRPr="00BC106F" w14:paraId="1238DB1F" w14:textId="77777777" w:rsidTr="00A00CD1">
        <w:trPr>
          <w:trHeight w:val="742"/>
        </w:trPr>
        <w:tc>
          <w:tcPr>
            <w:tcW w:w="3261" w:type="dxa"/>
            <w:shd w:val="clear" w:color="auto" w:fill="auto"/>
            <w:vAlign w:val="center"/>
          </w:tcPr>
          <w:p w14:paraId="12C96984" w14:textId="77777777" w:rsidR="00A00CD1" w:rsidRPr="00A00CD1" w:rsidRDefault="00A00CD1" w:rsidP="00A00CD1">
            <w:pPr>
              <w:widowControl w:val="0"/>
              <w:spacing w:after="0" w:line="264" w:lineRule="auto"/>
              <w:jc w:val="both"/>
              <w:rPr>
                <w:rFonts w:ascii="Times New Roman" w:eastAsia="Times New Roman" w:hAnsi="Times New Roman" w:cs="Times New Roman"/>
                <w:spacing w:val="2"/>
                <w:sz w:val="26"/>
                <w:szCs w:val="26"/>
                <w:lang w:val="nl-NL"/>
              </w:rPr>
            </w:pPr>
            <w:r w:rsidRPr="00A00CD1">
              <w:rPr>
                <w:rFonts w:ascii="Times New Roman" w:eastAsia="Times New Roman" w:hAnsi="Times New Roman" w:cs="Times New Roman"/>
                <w:spacing w:val="2"/>
                <w:sz w:val="26"/>
                <w:szCs w:val="26"/>
                <w:lang w:val="nl-NL"/>
              </w:rPr>
              <w:lastRenderedPageBreak/>
              <w:t>Phòng cháy, chữa cháy, phòng chống cháy nổ: Biện pháp phòng cháy, chữa cháy hợp lý, khả thi, phù hợp với đề xuất về biện pháp tổ chức thi công</w:t>
            </w:r>
          </w:p>
        </w:tc>
        <w:tc>
          <w:tcPr>
            <w:tcW w:w="6804" w:type="dxa"/>
            <w:shd w:val="clear" w:color="auto" w:fill="auto"/>
            <w:vAlign w:val="center"/>
          </w:tcPr>
          <w:p w14:paraId="53E1A30C" w14:textId="03B55982" w:rsidR="00A00CD1" w:rsidRPr="00A00CD1" w:rsidRDefault="00A00CD1" w:rsidP="00AA3418">
            <w:pPr>
              <w:widowControl w:val="0"/>
              <w:spacing w:after="0" w:line="264" w:lineRule="auto"/>
              <w:jc w:val="both"/>
              <w:rPr>
                <w:rFonts w:ascii="Times New Roman" w:eastAsia="Times New Roman" w:hAnsi="Times New Roman" w:cs="Times New Roman"/>
                <w:spacing w:val="2"/>
                <w:sz w:val="26"/>
                <w:szCs w:val="26"/>
                <w:lang w:val="nl-NL"/>
              </w:rPr>
            </w:pPr>
            <w:r w:rsidRPr="00A00CD1">
              <w:rPr>
                <w:rFonts w:ascii="Times New Roman" w:eastAsia="Times New Roman" w:hAnsi="Times New Roman" w:cs="Times New Roman"/>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w:t>
            </w:r>
          </w:p>
        </w:tc>
      </w:tr>
    </w:tbl>
    <w:p w14:paraId="2BE6E6DF" w14:textId="21F45331" w:rsidR="00B5397D" w:rsidRPr="002E7AF1" w:rsidRDefault="002E7AF1" w:rsidP="00D90FD1">
      <w:pPr>
        <w:spacing w:before="80" w:after="80" w:line="264" w:lineRule="auto"/>
        <w:ind w:firstLine="709"/>
        <w:rPr>
          <w:rFonts w:ascii="Times New Roman" w:hAnsi="Times New Roman" w:cs="Times New Roman"/>
          <w:b/>
          <w:color w:val="000000" w:themeColor="text1"/>
          <w:sz w:val="26"/>
          <w:szCs w:val="26"/>
          <w:lang w:val="es-ES"/>
        </w:rPr>
      </w:pPr>
      <w:r w:rsidRPr="002E7AF1">
        <w:rPr>
          <w:rFonts w:ascii="Times New Roman" w:hAnsi="Times New Roman" w:cs="Times New Roman"/>
          <w:b/>
          <w:color w:val="000000" w:themeColor="text1"/>
          <w:sz w:val="26"/>
          <w:szCs w:val="26"/>
          <w:lang w:val="es-ES"/>
        </w:rPr>
        <w:t>3.2. Đánh giá theo phương pháp đạt/không đạt</w:t>
      </w:r>
      <w:r>
        <w:rPr>
          <w:rFonts w:ascii="Times New Roman" w:hAnsi="Times New Roman" w:cs="Times New Roman"/>
          <w:b/>
          <w:color w:val="000000" w:themeColor="text1"/>
          <w:sz w:val="26"/>
          <w:szCs w:val="26"/>
          <w:lang w:val="es-ES"/>
        </w:rPr>
        <w:t xml:space="preserve">: </w:t>
      </w: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8"/>
        <w:gridCol w:w="2580"/>
        <w:gridCol w:w="60"/>
        <w:gridCol w:w="315"/>
        <w:gridCol w:w="3342"/>
        <w:gridCol w:w="59"/>
        <w:gridCol w:w="2985"/>
        <w:gridCol w:w="55"/>
      </w:tblGrid>
      <w:tr w:rsidR="002E7AF1" w:rsidRPr="00BC106F" w14:paraId="0F86F4F8" w14:textId="77777777" w:rsidTr="007314EA">
        <w:trPr>
          <w:gridAfter w:val="1"/>
          <w:wAfter w:w="55" w:type="dxa"/>
          <w:trHeight w:val="450"/>
        </w:trPr>
        <w:tc>
          <w:tcPr>
            <w:tcW w:w="10070" w:type="dxa"/>
            <w:gridSpan w:val="8"/>
            <w:vMerge w:val="restart"/>
            <w:shd w:val="clear" w:color="auto" w:fill="auto"/>
            <w:vAlign w:val="center"/>
            <w:hideMark/>
          </w:tcPr>
          <w:p w14:paraId="2329A40B" w14:textId="77777777" w:rsidR="002E7AF1" w:rsidRPr="002E7AF1" w:rsidRDefault="002E7AF1" w:rsidP="002E7AF1">
            <w:pPr>
              <w:widowControl w:val="0"/>
              <w:spacing w:after="0" w:line="264" w:lineRule="auto"/>
              <w:jc w:val="center"/>
              <w:rPr>
                <w:rFonts w:ascii="Times New Roman" w:eastAsia="Times New Roman" w:hAnsi="Times New Roman" w:cs="Times New Roman"/>
                <w:b/>
                <w:bCs/>
                <w:spacing w:val="2"/>
                <w:sz w:val="26"/>
                <w:szCs w:val="26"/>
                <w:lang w:val="nl-NL"/>
              </w:rPr>
            </w:pPr>
            <w:r w:rsidRPr="002E7AF1">
              <w:rPr>
                <w:rFonts w:ascii="Times New Roman" w:eastAsia="Times New Roman" w:hAnsi="Times New Roman" w:cs="Times New Roman"/>
                <w:b/>
                <w:bCs/>
                <w:spacing w:val="2"/>
                <w:sz w:val="26"/>
                <w:szCs w:val="26"/>
                <w:lang w:val="nl-NL"/>
              </w:rPr>
              <w:t>Bảng Tiêu chuẩn đánh giá kỹ thuật</w:t>
            </w:r>
          </w:p>
        </w:tc>
      </w:tr>
      <w:tr w:rsidR="002E7AF1" w:rsidRPr="00BC106F" w14:paraId="41DFB2F2" w14:textId="77777777" w:rsidTr="007314EA">
        <w:trPr>
          <w:gridAfter w:val="1"/>
          <w:wAfter w:w="55" w:type="dxa"/>
          <w:trHeight w:val="450"/>
        </w:trPr>
        <w:tc>
          <w:tcPr>
            <w:tcW w:w="10070" w:type="dxa"/>
            <w:gridSpan w:val="8"/>
            <w:vMerge/>
            <w:shd w:val="clear" w:color="auto" w:fill="auto"/>
            <w:vAlign w:val="center"/>
            <w:hideMark/>
          </w:tcPr>
          <w:p w14:paraId="47707FB2"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lang w:val="nl-NL"/>
              </w:rPr>
            </w:pPr>
          </w:p>
        </w:tc>
      </w:tr>
      <w:tr w:rsidR="002E7AF1" w:rsidRPr="002E7AF1" w14:paraId="32E98BA5" w14:textId="77777777" w:rsidTr="007314EA">
        <w:trPr>
          <w:gridAfter w:val="1"/>
          <w:wAfter w:w="55" w:type="dxa"/>
          <w:trHeight w:val="336"/>
        </w:trPr>
        <w:tc>
          <w:tcPr>
            <w:tcW w:w="729" w:type="dxa"/>
            <w:gridSpan w:val="2"/>
            <w:shd w:val="clear" w:color="auto" w:fill="auto"/>
            <w:vAlign w:val="center"/>
            <w:hideMark/>
          </w:tcPr>
          <w:p w14:paraId="3DE0BB3E" w14:textId="77777777" w:rsidR="002E7AF1" w:rsidRPr="002E7AF1" w:rsidRDefault="002E7AF1" w:rsidP="002E7AF1">
            <w:pPr>
              <w:widowControl w:val="0"/>
              <w:spacing w:after="0" w:line="264" w:lineRule="auto"/>
              <w:jc w:val="center"/>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STT</w:t>
            </w:r>
          </w:p>
        </w:tc>
        <w:tc>
          <w:tcPr>
            <w:tcW w:w="2955" w:type="dxa"/>
            <w:gridSpan w:val="3"/>
            <w:shd w:val="clear" w:color="auto" w:fill="auto"/>
            <w:vAlign w:val="center"/>
            <w:hideMark/>
          </w:tcPr>
          <w:p w14:paraId="717BFE61" w14:textId="77777777" w:rsidR="002E7AF1" w:rsidRPr="002E7AF1" w:rsidRDefault="002E7AF1" w:rsidP="002E7AF1">
            <w:pPr>
              <w:widowControl w:val="0"/>
              <w:spacing w:after="0" w:line="264" w:lineRule="auto"/>
              <w:jc w:val="center"/>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Nội dung yêu cầu</w:t>
            </w:r>
          </w:p>
        </w:tc>
        <w:tc>
          <w:tcPr>
            <w:tcW w:w="3342" w:type="dxa"/>
            <w:shd w:val="clear" w:color="auto" w:fill="auto"/>
            <w:vAlign w:val="center"/>
            <w:hideMark/>
          </w:tcPr>
          <w:p w14:paraId="3CDACCAB" w14:textId="77777777" w:rsidR="002E7AF1" w:rsidRPr="002E7AF1" w:rsidRDefault="002E7AF1" w:rsidP="002E7AF1">
            <w:pPr>
              <w:widowControl w:val="0"/>
              <w:spacing w:after="0" w:line="264" w:lineRule="auto"/>
              <w:jc w:val="center"/>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Đạt</w:t>
            </w:r>
          </w:p>
        </w:tc>
        <w:tc>
          <w:tcPr>
            <w:tcW w:w="3044" w:type="dxa"/>
            <w:gridSpan w:val="2"/>
            <w:shd w:val="clear" w:color="auto" w:fill="auto"/>
            <w:vAlign w:val="center"/>
            <w:hideMark/>
          </w:tcPr>
          <w:p w14:paraId="30EA9882" w14:textId="77777777" w:rsidR="002E7AF1" w:rsidRPr="002E7AF1" w:rsidRDefault="002E7AF1" w:rsidP="002E7AF1">
            <w:pPr>
              <w:widowControl w:val="0"/>
              <w:spacing w:after="0" w:line="264" w:lineRule="auto"/>
              <w:jc w:val="center"/>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Không đạt</w:t>
            </w:r>
          </w:p>
        </w:tc>
      </w:tr>
      <w:tr w:rsidR="002E7AF1" w:rsidRPr="002E7AF1" w14:paraId="21CF004D" w14:textId="77777777" w:rsidTr="007314EA">
        <w:trPr>
          <w:gridAfter w:val="1"/>
          <w:wAfter w:w="55" w:type="dxa"/>
          <w:trHeight w:val="495"/>
        </w:trPr>
        <w:tc>
          <w:tcPr>
            <w:tcW w:w="10070" w:type="dxa"/>
            <w:gridSpan w:val="8"/>
            <w:shd w:val="clear" w:color="auto" w:fill="auto"/>
            <w:vAlign w:val="center"/>
            <w:hideMark/>
          </w:tcPr>
          <w:p w14:paraId="449EF94E"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lang w:val="vi-VN"/>
              </w:rPr>
            </w:pPr>
            <w:r w:rsidRPr="002E7AF1">
              <w:rPr>
                <w:rFonts w:ascii="Times New Roman" w:eastAsia="Times New Roman" w:hAnsi="Times New Roman" w:cs="Times New Roman"/>
                <w:b/>
                <w:bCs/>
                <w:spacing w:val="2"/>
                <w:sz w:val="26"/>
                <w:szCs w:val="26"/>
              </w:rPr>
              <w:t>1. Mức độ đáp ứng yêu cầu kỹ thuật</w:t>
            </w:r>
          </w:p>
        </w:tc>
      </w:tr>
      <w:tr w:rsidR="002E7AF1" w:rsidRPr="002E7AF1" w14:paraId="48FA0922" w14:textId="77777777" w:rsidTr="007314EA">
        <w:trPr>
          <w:gridAfter w:val="1"/>
          <w:wAfter w:w="55" w:type="dxa"/>
          <w:trHeight w:val="1344"/>
        </w:trPr>
        <w:tc>
          <w:tcPr>
            <w:tcW w:w="681" w:type="dxa"/>
            <w:shd w:val="clear" w:color="auto" w:fill="auto"/>
            <w:vAlign w:val="center"/>
            <w:hideMark/>
          </w:tcPr>
          <w:p w14:paraId="1D4B5115"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1</w:t>
            </w:r>
          </w:p>
        </w:tc>
        <w:tc>
          <w:tcPr>
            <w:tcW w:w="2688" w:type="dxa"/>
            <w:gridSpan w:val="3"/>
            <w:shd w:val="clear" w:color="auto" w:fill="auto"/>
            <w:vAlign w:val="center"/>
            <w:hideMark/>
          </w:tcPr>
          <w:p w14:paraId="6D725490"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Các loại vật liệu: Gạch, cát, đá sỏi, chất chống thấm, các vật tư, vật liệu phụ, ống chịu lực siêu bền, sơn chống cháy …</w:t>
            </w:r>
          </w:p>
        </w:tc>
        <w:tc>
          <w:tcPr>
            <w:tcW w:w="3716" w:type="dxa"/>
            <w:gridSpan w:val="3"/>
            <w:shd w:val="clear" w:color="auto" w:fill="auto"/>
            <w:vAlign w:val="center"/>
            <w:hideMark/>
          </w:tcPr>
          <w:p w14:paraId="56231285"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cam kết cấp hàng hoặc hợp đồng nguyên tắc.</w:t>
            </w:r>
          </w:p>
        </w:tc>
        <w:tc>
          <w:tcPr>
            <w:tcW w:w="2985" w:type="dxa"/>
            <w:shd w:val="clear" w:color="auto" w:fill="auto"/>
            <w:vAlign w:val="center"/>
            <w:hideMark/>
          </w:tcPr>
          <w:p w14:paraId="1A8A5C0C"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Không có cam kết hoặc hợp đồng nguyên tắc.</w:t>
            </w:r>
          </w:p>
        </w:tc>
      </w:tr>
      <w:tr w:rsidR="002E7AF1" w:rsidRPr="002E7AF1" w14:paraId="57A9E3AF" w14:textId="77777777" w:rsidTr="007314EA">
        <w:trPr>
          <w:gridAfter w:val="1"/>
          <w:wAfter w:w="55" w:type="dxa"/>
          <w:trHeight w:val="828"/>
        </w:trPr>
        <w:tc>
          <w:tcPr>
            <w:tcW w:w="3369" w:type="dxa"/>
            <w:gridSpan w:val="4"/>
            <w:shd w:val="clear" w:color="auto" w:fill="auto"/>
            <w:vAlign w:val="center"/>
            <w:hideMark/>
          </w:tcPr>
          <w:p w14:paraId="3B3D2FD9"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Kết luận</w:t>
            </w:r>
          </w:p>
        </w:tc>
        <w:tc>
          <w:tcPr>
            <w:tcW w:w="3657" w:type="dxa"/>
            <w:gridSpan w:val="2"/>
            <w:shd w:val="clear" w:color="auto" w:fill="auto"/>
            <w:vAlign w:val="center"/>
            <w:hideMark/>
          </w:tcPr>
          <w:p w14:paraId="35617126"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Tiêu chuẩn chi tiết 1.1 được xác định là đạt</w:t>
            </w:r>
          </w:p>
        </w:tc>
        <w:tc>
          <w:tcPr>
            <w:tcW w:w="3044" w:type="dxa"/>
            <w:gridSpan w:val="2"/>
            <w:shd w:val="clear" w:color="auto" w:fill="auto"/>
            <w:vAlign w:val="center"/>
            <w:hideMark/>
          </w:tcPr>
          <w:p w14:paraId="763E860F"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Tiêu chuẩn chi tiết 1.1 được xác định là không đạt</w:t>
            </w:r>
          </w:p>
        </w:tc>
      </w:tr>
      <w:tr w:rsidR="002E7AF1" w:rsidRPr="002E7AF1" w14:paraId="66B86C89" w14:textId="77777777" w:rsidTr="007314EA">
        <w:trPr>
          <w:gridAfter w:val="1"/>
          <w:wAfter w:w="55" w:type="dxa"/>
          <w:trHeight w:val="756"/>
        </w:trPr>
        <w:tc>
          <w:tcPr>
            <w:tcW w:w="10070" w:type="dxa"/>
            <w:gridSpan w:val="8"/>
            <w:shd w:val="clear" w:color="auto" w:fill="auto"/>
            <w:vAlign w:val="center"/>
            <w:hideMark/>
          </w:tcPr>
          <w:p w14:paraId="2B90A28B" w14:textId="5E6D65CE" w:rsidR="002E7AF1" w:rsidRPr="002E7AF1" w:rsidRDefault="002E7AF1" w:rsidP="002E7AF1">
            <w:pPr>
              <w:widowControl w:val="0"/>
              <w:spacing w:after="0" w:line="264" w:lineRule="auto"/>
              <w:rPr>
                <w:rFonts w:ascii="Times New Roman" w:eastAsia="Times New Roman" w:hAnsi="Times New Roman" w:cs="Times New Roman"/>
                <w:b/>
                <w:bCs/>
                <w:i/>
                <w:spacing w:val="2"/>
                <w:sz w:val="26"/>
                <w:szCs w:val="26"/>
              </w:rPr>
            </w:pPr>
            <w:r w:rsidRPr="002E7AF1">
              <w:rPr>
                <w:rFonts w:ascii="Times New Roman" w:eastAsia="Times New Roman" w:hAnsi="Times New Roman" w:cs="Times New Roman"/>
                <w:b/>
                <w:bCs/>
                <w:spacing w:val="2"/>
                <w:sz w:val="26"/>
                <w:szCs w:val="26"/>
              </w:rPr>
              <w:t xml:space="preserve">2. Giải pháp kỹ thuật </w:t>
            </w:r>
          </w:p>
        </w:tc>
      </w:tr>
      <w:tr w:rsidR="002E7AF1" w:rsidRPr="002E7AF1" w14:paraId="0E925E56" w14:textId="77777777" w:rsidTr="007314EA">
        <w:trPr>
          <w:trHeight w:val="2016"/>
        </w:trPr>
        <w:tc>
          <w:tcPr>
            <w:tcW w:w="681" w:type="dxa"/>
            <w:shd w:val="clear" w:color="auto" w:fill="auto"/>
            <w:vAlign w:val="center"/>
            <w:hideMark/>
          </w:tcPr>
          <w:p w14:paraId="4C28ACE5"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2.1</w:t>
            </w:r>
          </w:p>
        </w:tc>
        <w:tc>
          <w:tcPr>
            <w:tcW w:w="2688" w:type="dxa"/>
            <w:gridSpan w:val="3"/>
            <w:shd w:val="clear" w:color="auto" w:fill="auto"/>
            <w:vAlign w:val="center"/>
            <w:hideMark/>
          </w:tcPr>
          <w:p w14:paraId="4F7DA0F6"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xml:space="preserve">Tổ chức mặt bằng công trường: Thiết bị thi công, lán trại, đơn vị thí nghiệm, kho bãi tập kết vật liệu, chất thải, bố trí cổng ra vào, </w:t>
            </w:r>
            <w:r w:rsidRPr="002E7AF1">
              <w:rPr>
                <w:rFonts w:ascii="Times New Roman" w:eastAsia="Times New Roman" w:hAnsi="Times New Roman" w:cs="Times New Roman"/>
                <w:spacing w:val="2"/>
                <w:sz w:val="26"/>
                <w:szCs w:val="26"/>
              </w:rPr>
              <w:lastRenderedPageBreak/>
              <w:t>rào chắn, biển báo, cấp nước, thoát nước, giao thông, liên lạc trong quá trình thi công</w:t>
            </w:r>
          </w:p>
        </w:tc>
        <w:tc>
          <w:tcPr>
            <w:tcW w:w="3716" w:type="dxa"/>
            <w:gridSpan w:val="3"/>
            <w:shd w:val="clear" w:color="auto" w:fill="auto"/>
            <w:vAlign w:val="center"/>
            <w:hideMark/>
          </w:tcPr>
          <w:p w14:paraId="2194DA0E"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lastRenderedPageBreak/>
              <w:t>Có giải pháp kỹ thuật hợp lý, phù hợp việc tổ chức mặt bằng công trường.</w:t>
            </w:r>
          </w:p>
        </w:tc>
        <w:tc>
          <w:tcPr>
            <w:tcW w:w="3040" w:type="dxa"/>
            <w:gridSpan w:val="2"/>
            <w:shd w:val="clear" w:color="auto" w:fill="auto"/>
            <w:vAlign w:val="center"/>
            <w:hideMark/>
          </w:tcPr>
          <w:p w14:paraId="667E1902"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Không có giải pháp kỹ thuật hợp lý, phù hợp việc tổ chức mặt bằng công trường.</w:t>
            </w:r>
          </w:p>
        </w:tc>
      </w:tr>
      <w:tr w:rsidR="002E7AF1" w:rsidRPr="002E7AF1" w14:paraId="4562DAD5" w14:textId="77777777" w:rsidTr="007314EA">
        <w:trPr>
          <w:trHeight w:val="274"/>
        </w:trPr>
        <w:tc>
          <w:tcPr>
            <w:tcW w:w="681" w:type="dxa"/>
            <w:shd w:val="clear" w:color="auto" w:fill="auto"/>
            <w:vAlign w:val="center"/>
            <w:hideMark/>
          </w:tcPr>
          <w:p w14:paraId="2039BF58"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lastRenderedPageBreak/>
              <w:t>2.2</w:t>
            </w:r>
          </w:p>
        </w:tc>
        <w:tc>
          <w:tcPr>
            <w:tcW w:w="2688" w:type="dxa"/>
            <w:gridSpan w:val="3"/>
            <w:shd w:val="clear" w:color="auto" w:fill="auto"/>
            <w:vAlign w:val="center"/>
            <w:hideMark/>
          </w:tcPr>
          <w:p w14:paraId="626E4BFD"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Giải pháp phá dỡ, tháo dỡ, vận chuyển, thu hồi các VTTB của công trình cũ.</w:t>
            </w:r>
          </w:p>
        </w:tc>
        <w:tc>
          <w:tcPr>
            <w:tcW w:w="3716" w:type="dxa"/>
            <w:gridSpan w:val="3"/>
            <w:shd w:val="clear" w:color="auto" w:fill="auto"/>
            <w:vAlign w:val="center"/>
            <w:hideMark/>
          </w:tcPr>
          <w:p w14:paraId="3C660B84"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giải pháp kỹ thuật hợp lý, phù hợp với điều kiện biện pháp thi công, tiến độ thi công và hiện trạng công trình xây dựng…</w:t>
            </w:r>
          </w:p>
        </w:tc>
        <w:tc>
          <w:tcPr>
            <w:tcW w:w="3040" w:type="dxa"/>
            <w:gridSpan w:val="2"/>
            <w:shd w:val="clear" w:color="auto" w:fill="auto"/>
            <w:vAlign w:val="center"/>
            <w:hideMark/>
          </w:tcPr>
          <w:p w14:paraId="31D4A24B"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xml:space="preserve">Giải pháp kỹ thuật không hợp lý, không phù hợp với điều kiện biện pháp thi công, tiến độ thi công và hiện trạng công trình xây dựng. </w:t>
            </w:r>
          </w:p>
        </w:tc>
      </w:tr>
      <w:tr w:rsidR="002E7AF1" w:rsidRPr="002E7AF1" w14:paraId="3751AF29" w14:textId="77777777" w:rsidTr="007314EA">
        <w:trPr>
          <w:trHeight w:val="714"/>
        </w:trPr>
        <w:tc>
          <w:tcPr>
            <w:tcW w:w="681" w:type="dxa"/>
            <w:shd w:val="clear" w:color="auto" w:fill="auto"/>
            <w:vAlign w:val="center"/>
            <w:hideMark/>
          </w:tcPr>
          <w:p w14:paraId="7C71F112"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2.3</w:t>
            </w:r>
          </w:p>
        </w:tc>
        <w:tc>
          <w:tcPr>
            <w:tcW w:w="2688" w:type="dxa"/>
            <w:gridSpan w:val="3"/>
            <w:shd w:val="clear" w:color="auto" w:fill="auto"/>
            <w:noWrap/>
            <w:vAlign w:val="center"/>
            <w:hideMark/>
          </w:tcPr>
          <w:p w14:paraId="3A3A3B9F"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Thi công xây mới.</w:t>
            </w:r>
          </w:p>
        </w:tc>
        <w:tc>
          <w:tcPr>
            <w:tcW w:w="3716" w:type="dxa"/>
            <w:gridSpan w:val="3"/>
            <w:shd w:val="clear" w:color="auto" w:fill="auto"/>
            <w:vAlign w:val="center"/>
            <w:hideMark/>
          </w:tcPr>
          <w:p w14:paraId="02BDE81D"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Có giải pháp kỹ thuật hợp lý,</w:t>
            </w:r>
          </w:p>
          <w:p w14:paraId="4A7E5DE7"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phù hợp với điều kiện biện pháp</w:t>
            </w:r>
          </w:p>
          <w:p w14:paraId="6CE537B1"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thi công, tiến độ thi công và</w:t>
            </w:r>
          </w:p>
          <w:p w14:paraId="670E14CE" w14:textId="30966ACD" w:rsidR="002E7AF1" w:rsidRPr="002E7AF1"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hiện trạng công trình xây dựng.</w:t>
            </w:r>
          </w:p>
        </w:tc>
        <w:tc>
          <w:tcPr>
            <w:tcW w:w="3040" w:type="dxa"/>
            <w:gridSpan w:val="2"/>
            <w:shd w:val="clear" w:color="auto" w:fill="auto"/>
            <w:vAlign w:val="center"/>
            <w:hideMark/>
          </w:tcPr>
          <w:p w14:paraId="38DF3467"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Giải pháp kỹ thuật</w:t>
            </w:r>
          </w:p>
          <w:p w14:paraId="22411F12" w14:textId="7EACBD14" w:rsidR="002E7AF1" w:rsidRPr="002E7AF1" w:rsidRDefault="00713193" w:rsidP="00713193">
            <w:pPr>
              <w:widowControl w:val="0"/>
              <w:spacing w:after="0" w:line="264"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 xml:space="preserve">không hợp lý, không chi tiết, không phù hợp với điều kiện biện pháp thi công, tiến độ thi công và hiện trạng công trình </w:t>
            </w:r>
            <w:r w:rsidRPr="00713193">
              <w:rPr>
                <w:rFonts w:ascii="Times New Roman" w:eastAsia="Times New Roman" w:hAnsi="Times New Roman" w:cs="Times New Roman"/>
                <w:spacing w:val="2"/>
                <w:sz w:val="26"/>
                <w:szCs w:val="26"/>
              </w:rPr>
              <w:t>xây dựng</w:t>
            </w:r>
          </w:p>
        </w:tc>
      </w:tr>
      <w:tr w:rsidR="002E7AF1" w:rsidRPr="002E7AF1" w14:paraId="4704E339" w14:textId="77777777" w:rsidTr="007314EA">
        <w:trPr>
          <w:gridAfter w:val="1"/>
          <w:wAfter w:w="55" w:type="dxa"/>
          <w:trHeight w:val="672"/>
        </w:trPr>
        <w:tc>
          <w:tcPr>
            <w:tcW w:w="3369" w:type="dxa"/>
            <w:gridSpan w:val="4"/>
            <w:shd w:val="clear" w:color="auto" w:fill="auto"/>
            <w:vAlign w:val="center"/>
            <w:hideMark/>
          </w:tcPr>
          <w:p w14:paraId="53B98585"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Kết luận</w:t>
            </w:r>
          </w:p>
        </w:tc>
        <w:tc>
          <w:tcPr>
            <w:tcW w:w="3716" w:type="dxa"/>
            <w:gridSpan w:val="3"/>
            <w:shd w:val="clear" w:color="auto" w:fill="auto"/>
            <w:vAlign w:val="center"/>
            <w:hideMark/>
          </w:tcPr>
          <w:p w14:paraId="0F44200D"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Tất cả các tiêu chuẩn chi tiết được xác định là đạt</w:t>
            </w:r>
          </w:p>
        </w:tc>
        <w:tc>
          <w:tcPr>
            <w:tcW w:w="2985" w:type="dxa"/>
            <w:shd w:val="clear" w:color="auto" w:fill="auto"/>
            <w:vAlign w:val="center"/>
            <w:hideMark/>
          </w:tcPr>
          <w:p w14:paraId="438E594E"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1 tiêu chuẩn chi tiết được xác định là không đạt.</w:t>
            </w:r>
          </w:p>
        </w:tc>
      </w:tr>
      <w:tr w:rsidR="002E7AF1" w:rsidRPr="002E7AF1" w14:paraId="57D9564D" w14:textId="77777777" w:rsidTr="007314EA">
        <w:trPr>
          <w:gridAfter w:val="1"/>
          <w:wAfter w:w="55" w:type="dxa"/>
          <w:trHeight w:val="684"/>
        </w:trPr>
        <w:tc>
          <w:tcPr>
            <w:tcW w:w="10070" w:type="dxa"/>
            <w:gridSpan w:val="8"/>
            <w:shd w:val="clear" w:color="auto" w:fill="auto"/>
            <w:vAlign w:val="center"/>
            <w:hideMark/>
          </w:tcPr>
          <w:p w14:paraId="218DCC0A" w14:textId="25E7864D"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 xml:space="preserve">3. Biện pháp tổ chức thi công </w:t>
            </w:r>
          </w:p>
        </w:tc>
      </w:tr>
      <w:tr w:rsidR="002E7AF1" w:rsidRPr="002E7AF1" w14:paraId="4F03D8F2" w14:textId="77777777" w:rsidTr="007314EA">
        <w:trPr>
          <w:trHeight w:val="1451"/>
        </w:trPr>
        <w:tc>
          <w:tcPr>
            <w:tcW w:w="681" w:type="dxa"/>
            <w:shd w:val="clear" w:color="auto" w:fill="auto"/>
            <w:vAlign w:val="center"/>
            <w:hideMark/>
          </w:tcPr>
          <w:p w14:paraId="47D0AA6E"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3.1</w:t>
            </w:r>
          </w:p>
        </w:tc>
        <w:tc>
          <w:tcPr>
            <w:tcW w:w="2688" w:type="dxa"/>
            <w:gridSpan w:val="3"/>
            <w:shd w:val="clear" w:color="auto" w:fill="auto"/>
            <w:vAlign w:val="center"/>
            <w:hideMark/>
          </w:tcPr>
          <w:p w14:paraId="2B270B5D"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Biện pháp thi công các hạng mục công việc chính</w:t>
            </w:r>
          </w:p>
        </w:tc>
        <w:tc>
          <w:tcPr>
            <w:tcW w:w="3716" w:type="dxa"/>
            <w:gridSpan w:val="3"/>
            <w:shd w:val="clear" w:color="auto" w:fill="auto"/>
            <w:vAlign w:val="center"/>
            <w:hideMark/>
          </w:tcPr>
          <w:p w14:paraId="57DD7BA9"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Đã nêu chi tiết phương án, giải</w:t>
            </w:r>
          </w:p>
          <w:p w14:paraId="66DDED64"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pháp, trình tự thi công bao gồm</w:t>
            </w:r>
          </w:p>
          <w:p w14:paraId="6AE8FDDA"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cả việc bố trí phương tiện và</w:t>
            </w:r>
          </w:p>
          <w:p w14:paraId="075F7CF3"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nhân sự phù hợp với các giai</w:t>
            </w:r>
          </w:p>
          <w:p w14:paraId="75492734"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đoạn thi công: đào móng, xây</w:t>
            </w:r>
          </w:p>
          <w:p w14:paraId="1271E72F"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tường, đổ bê tông, hoàn thiện</w:t>
            </w:r>
          </w:p>
          <w:p w14:paraId="36BEC221"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nội ngoại thất công trình….</w:t>
            </w:r>
          </w:p>
          <w:p w14:paraId="4F2A2D7A"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Có kế hoạch và biện pháp giảm</w:t>
            </w:r>
          </w:p>
          <w:p w14:paraId="201F71B8"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thiểu tác động đến môi trường</w:t>
            </w:r>
          </w:p>
          <w:p w14:paraId="715A75DC"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trong quá trình thi công phù</w:t>
            </w:r>
          </w:p>
          <w:p w14:paraId="366866D8"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hợp.</w:t>
            </w:r>
          </w:p>
          <w:p w14:paraId="5E3E31ED"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Đề xuất chi tiết biện pháp tổ</w:t>
            </w:r>
          </w:p>
          <w:p w14:paraId="130E398D"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chức thi công phù hợp theo</w:t>
            </w:r>
          </w:p>
          <w:p w14:paraId="13EBBA9E" w14:textId="23C291A5" w:rsidR="002E7AF1" w:rsidRPr="002E7AF1"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đúng yêu cầu của E-HSMT</w:t>
            </w:r>
          </w:p>
        </w:tc>
        <w:tc>
          <w:tcPr>
            <w:tcW w:w="3040" w:type="dxa"/>
            <w:gridSpan w:val="2"/>
            <w:shd w:val="clear" w:color="auto" w:fill="auto"/>
            <w:vAlign w:val="center"/>
            <w:hideMark/>
          </w:tcPr>
          <w:p w14:paraId="5562EBFB"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Không đề xuất hoặc đề xuất không đáp ứng nội dung yêu cầu ở mục bên</w:t>
            </w:r>
          </w:p>
        </w:tc>
      </w:tr>
      <w:tr w:rsidR="002E7AF1" w:rsidRPr="002E7AF1" w14:paraId="3A5F14DB" w14:textId="77777777" w:rsidTr="007314EA">
        <w:trPr>
          <w:trHeight w:val="699"/>
        </w:trPr>
        <w:tc>
          <w:tcPr>
            <w:tcW w:w="681" w:type="dxa"/>
            <w:shd w:val="clear" w:color="auto" w:fill="auto"/>
            <w:vAlign w:val="center"/>
            <w:hideMark/>
          </w:tcPr>
          <w:p w14:paraId="61A690CE"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3.2</w:t>
            </w:r>
          </w:p>
        </w:tc>
        <w:tc>
          <w:tcPr>
            <w:tcW w:w="2688" w:type="dxa"/>
            <w:gridSpan w:val="3"/>
            <w:shd w:val="clear" w:color="auto" w:fill="auto"/>
            <w:vAlign w:val="center"/>
            <w:hideMark/>
          </w:tcPr>
          <w:p w14:paraId="4E0E2752" w14:textId="7FB8216F"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xml:space="preserve">Các biện pháp thi công </w:t>
            </w:r>
            <w:r>
              <w:rPr>
                <w:rFonts w:ascii="Times New Roman" w:eastAsia="Times New Roman" w:hAnsi="Times New Roman" w:cs="Times New Roman"/>
                <w:spacing w:val="2"/>
                <w:sz w:val="26"/>
                <w:szCs w:val="26"/>
              </w:rPr>
              <w:t>móng nhà</w:t>
            </w:r>
          </w:p>
        </w:tc>
        <w:tc>
          <w:tcPr>
            <w:tcW w:w="3716" w:type="dxa"/>
            <w:gridSpan w:val="3"/>
            <w:shd w:val="clear" w:color="auto" w:fill="auto"/>
            <w:vAlign w:val="center"/>
            <w:hideMark/>
          </w:tcPr>
          <w:p w14:paraId="68D4D5DA"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Mô tả biện pháp, bố trí nhân</w:t>
            </w:r>
          </w:p>
          <w:p w14:paraId="481D06ED"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lực, công nghệ thi công các</w:t>
            </w:r>
          </w:p>
          <w:p w14:paraId="69D0705D"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hạng mục chính (đào đất, đắp</w:t>
            </w:r>
            <w:r>
              <w:rPr>
                <w:rFonts w:ascii="Times New Roman" w:eastAsia="Times New Roman" w:hAnsi="Times New Roman" w:cs="Times New Roman"/>
                <w:spacing w:val="2"/>
                <w:sz w:val="26"/>
                <w:szCs w:val="26"/>
              </w:rPr>
              <w:t xml:space="preserve"> </w:t>
            </w:r>
            <w:r w:rsidRPr="00713193">
              <w:rPr>
                <w:rFonts w:ascii="Times New Roman" w:eastAsia="Times New Roman" w:hAnsi="Times New Roman" w:cs="Times New Roman"/>
                <w:spacing w:val="2"/>
                <w:sz w:val="26"/>
                <w:szCs w:val="26"/>
              </w:rPr>
              <w:t>đất ...) theo đúng trình tự và yêu</w:t>
            </w:r>
          </w:p>
          <w:p w14:paraId="7C739A24"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cầu kỹ thuật. Có đề xuất về biện</w:t>
            </w:r>
          </w:p>
          <w:p w14:paraId="03D342FE" w14:textId="79ED48AB" w:rsidR="002E7AF1" w:rsidRPr="002E7AF1" w:rsidRDefault="00713193" w:rsidP="00713193">
            <w:pPr>
              <w:widowControl w:val="0"/>
              <w:spacing w:after="0" w:line="264" w:lineRule="auto"/>
              <w:jc w:val="both"/>
              <w:rPr>
                <w:rFonts w:ascii="Times New Roman" w:eastAsia="Times New Roman" w:hAnsi="Times New Roman" w:cs="Times New Roman"/>
                <w:spacing w:val="2"/>
                <w:sz w:val="26"/>
                <w:szCs w:val="26"/>
              </w:rPr>
            </w:pPr>
            <w:r w:rsidRPr="00713193">
              <w:rPr>
                <w:rFonts w:ascii="Times New Roman" w:eastAsia="Times New Roman" w:hAnsi="Times New Roman" w:cs="Times New Roman"/>
                <w:spacing w:val="2"/>
                <w:sz w:val="26"/>
                <w:szCs w:val="26"/>
              </w:rPr>
              <w:t>pháp, công nghệ thi công</w:t>
            </w:r>
          </w:p>
        </w:tc>
        <w:tc>
          <w:tcPr>
            <w:tcW w:w="3040" w:type="dxa"/>
            <w:gridSpan w:val="2"/>
            <w:shd w:val="clear" w:color="auto" w:fill="auto"/>
            <w:vAlign w:val="center"/>
            <w:hideMark/>
          </w:tcPr>
          <w:p w14:paraId="18D82758" w14:textId="77777777" w:rsidR="00713193" w:rsidRPr="00713193" w:rsidRDefault="00713193" w:rsidP="00713193">
            <w:pPr>
              <w:widowControl w:val="0"/>
              <w:spacing w:after="0" w:line="264"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 xml:space="preserve">Không bố trí đủ nhân lực thi công, </w:t>
            </w:r>
            <w:r w:rsidRPr="00713193">
              <w:rPr>
                <w:rFonts w:ascii="Times New Roman" w:eastAsia="Times New Roman" w:hAnsi="Times New Roman" w:cs="Times New Roman"/>
                <w:spacing w:val="2"/>
                <w:sz w:val="26"/>
                <w:szCs w:val="26"/>
              </w:rPr>
              <w:t>hoặc đề xuất không</w:t>
            </w:r>
            <w:r>
              <w:rPr>
                <w:rFonts w:ascii="Times New Roman" w:eastAsia="Times New Roman" w:hAnsi="Times New Roman" w:cs="Times New Roman"/>
                <w:spacing w:val="2"/>
                <w:sz w:val="26"/>
                <w:szCs w:val="26"/>
              </w:rPr>
              <w:t xml:space="preserve"> </w:t>
            </w:r>
            <w:r w:rsidRPr="00713193">
              <w:rPr>
                <w:rFonts w:ascii="Times New Roman" w:eastAsia="Times New Roman" w:hAnsi="Times New Roman" w:cs="Times New Roman"/>
                <w:spacing w:val="2"/>
                <w:sz w:val="26"/>
                <w:szCs w:val="26"/>
              </w:rPr>
              <w:t>đầy đủ về biện</w:t>
            </w:r>
          </w:p>
          <w:p w14:paraId="5ABDB1E9" w14:textId="7881E271" w:rsidR="002E7AF1" w:rsidRPr="002E7AF1" w:rsidRDefault="00713193" w:rsidP="00713193">
            <w:pPr>
              <w:widowControl w:val="0"/>
              <w:spacing w:after="0" w:line="264"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 xml:space="preserve">pháp, công nghệ </w:t>
            </w:r>
            <w:r w:rsidRPr="00713193">
              <w:rPr>
                <w:rFonts w:ascii="Times New Roman" w:eastAsia="Times New Roman" w:hAnsi="Times New Roman" w:cs="Times New Roman"/>
                <w:spacing w:val="2"/>
                <w:sz w:val="26"/>
                <w:szCs w:val="26"/>
              </w:rPr>
              <w:t>thi công</w:t>
            </w:r>
          </w:p>
        </w:tc>
      </w:tr>
      <w:tr w:rsidR="002E7AF1" w:rsidRPr="002E7AF1" w14:paraId="3FC0548A" w14:textId="77777777" w:rsidTr="007314EA">
        <w:trPr>
          <w:gridAfter w:val="1"/>
          <w:wAfter w:w="55" w:type="dxa"/>
          <w:trHeight w:val="672"/>
        </w:trPr>
        <w:tc>
          <w:tcPr>
            <w:tcW w:w="3309" w:type="dxa"/>
            <w:gridSpan w:val="3"/>
            <w:shd w:val="clear" w:color="auto" w:fill="auto"/>
            <w:vAlign w:val="center"/>
            <w:hideMark/>
          </w:tcPr>
          <w:p w14:paraId="6CAFEDE6"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lastRenderedPageBreak/>
              <w:t>Kết luận</w:t>
            </w:r>
          </w:p>
        </w:tc>
        <w:tc>
          <w:tcPr>
            <w:tcW w:w="3717" w:type="dxa"/>
            <w:gridSpan w:val="3"/>
            <w:shd w:val="clear" w:color="auto" w:fill="auto"/>
            <w:vAlign w:val="center"/>
            <w:hideMark/>
          </w:tcPr>
          <w:p w14:paraId="34467050"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Tất cả các tiêu chuẩn chi tiết đều được xác định là đạt.</w:t>
            </w:r>
          </w:p>
        </w:tc>
        <w:tc>
          <w:tcPr>
            <w:tcW w:w="3044" w:type="dxa"/>
            <w:gridSpan w:val="2"/>
            <w:shd w:val="clear" w:color="auto" w:fill="auto"/>
            <w:vAlign w:val="center"/>
            <w:hideMark/>
          </w:tcPr>
          <w:p w14:paraId="0D4F8C26"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1 tiêu chuẩn chi tiết được xác định là không đạt.</w:t>
            </w:r>
          </w:p>
        </w:tc>
      </w:tr>
      <w:tr w:rsidR="002E7AF1" w:rsidRPr="002E7AF1" w14:paraId="2562444F" w14:textId="77777777" w:rsidTr="007314EA">
        <w:trPr>
          <w:gridAfter w:val="1"/>
          <w:wAfter w:w="55" w:type="dxa"/>
          <w:trHeight w:val="720"/>
        </w:trPr>
        <w:tc>
          <w:tcPr>
            <w:tcW w:w="10070" w:type="dxa"/>
            <w:gridSpan w:val="8"/>
            <w:shd w:val="clear" w:color="auto" w:fill="auto"/>
            <w:vAlign w:val="center"/>
            <w:hideMark/>
          </w:tcPr>
          <w:p w14:paraId="5077F797"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4. Tiến độ thi công</w:t>
            </w:r>
          </w:p>
        </w:tc>
      </w:tr>
      <w:tr w:rsidR="002E7AF1" w:rsidRPr="002E7AF1" w14:paraId="6F97598C" w14:textId="77777777" w:rsidTr="007314EA">
        <w:trPr>
          <w:trHeight w:val="431"/>
        </w:trPr>
        <w:tc>
          <w:tcPr>
            <w:tcW w:w="681" w:type="dxa"/>
            <w:shd w:val="clear" w:color="auto" w:fill="auto"/>
            <w:vAlign w:val="center"/>
            <w:hideMark/>
          </w:tcPr>
          <w:p w14:paraId="45E3461E"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4.1</w:t>
            </w:r>
          </w:p>
        </w:tc>
        <w:tc>
          <w:tcPr>
            <w:tcW w:w="2688" w:type="dxa"/>
            <w:gridSpan w:val="3"/>
            <w:shd w:val="clear" w:color="auto" w:fill="auto"/>
            <w:vAlign w:val="center"/>
            <w:hideMark/>
          </w:tcPr>
          <w:p w14:paraId="3B05C850"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Thời gian thi công: đảm bảo theo yêu cầu của E-HSMT</w:t>
            </w:r>
          </w:p>
        </w:tc>
        <w:tc>
          <w:tcPr>
            <w:tcW w:w="3716" w:type="dxa"/>
            <w:gridSpan w:val="3"/>
            <w:shd w:val="clear" w:color="auto" w:fill="auto"/>
            <w:vAlign w:val="center"/>
            <w:hideMark/>
          </w:tcPr>
          <w:p w14:paraId="67E26F9D"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Đề xuất thời gian thi công không vượt quá thời gian yêu cầu của E-HSMT.</w:t>
            </w:r>
          </w:p>
        </w:tc>
        <w:tc>
          <w:tcPr>
            <w:tcW w:w="3040" w:type="dxa"/>
            <w:gridSpan w:val="2"/>
            <w:shd w:val="clear" w:color="auto" w:fill="auto"/>
            <w:vAlign w:val="center"/>
            <w:hideMark/>
          </w:tcPr>
          <w:p w14:paraId="74E0CFF8"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Đề xuất thời gian thi công vượt quá thời gian yêu cầu của E-HSMT.</w:t>
            </w:r>
          </w:p>
        </w:tc>
      </w:tr>
      <w:tr w:rsidR="002E7AF1" w:rsidRPr="002E7AF1" w14:paraId="5ADE7738" w14:textId="77777777" w:rsidTr="007314EA">
        <w:trPr>
          <w:trHeight w:val="2016"/>
        </w:trPr>
        <w:tc>
          <w:tcPr>
            <w:tcW w:w="681" w:type="dxa"/>
            <w:shd w:val="clear" w:color="auto" w:fill="auto"/>
            <w:vAlign w:val="center"/>
            <w:hideMark/>
          </w:tcPr>
          <w:p w14:paraId="1C5344D3"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4.2</w:t>
            </w:r>
          </w:p>
        </w:tc>
        <w:tc>
          <w:tcPr>
            <w:tcW w:w="2688" w:type="dxa"/>
            <w:gridSpan w:val="3"/>
            <w:shd w:val="clear" w:color="auto" w:fill="auto"/>
            <w:vAlign w:val="center"/>
            <w:hideMark/>
          </w:tcPr>
          <w:p w14:paraId="41841AF5"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xml:space="preserve">Tính phù hợp: </w:t>
            </w:r>
            <w:r w:rsidRPr="002E7AF1">
              <w:rPr>
                <w:rFonts w:ascii="Times New Roman" w:eastAsia="Times New Roman" w:hAnsi="Times New Roman" w:cs="Times New Roman"/>
                <w:spacing w:val="2"/>
                <w:sz w:val="26"/>
                <w:szCs w:val="26"/>
              </w:rPr>
              <w:br/>
              <w:t>a) Giữa huy động thiết bị và tiến độ thi công</w:t>
            </w:r>
          </w:p>
          <w:p w14:paraId="040B0DB6"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b) Giữa bố trí nhân lực và tiến độ thi công</w:t>
            </w:r>
          </w:p>
        </w:tc>
        <w:tc>
          <w:tcPr>
            <w:tcW w:w="3716" w:type="dxa"/>
            <w:gridSpan w:val="3"/>
            <w:shd w:val="clear" w:color="auto" w:fill="auto"/>
            <w:vAlign w:val="center"/>
            <w:hideMark/>
          </w:tcPr>
          <w:p w14:paraId="3719B764"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Đề xuất đầy đủ, hợp lý, khả thi cho cả 2 nội dung a) và b).</w:t>
            </w:r>
          </w:p>
        </w:tc>
        <w:tc>
          <w:tcPr>
            <w:tcW w:w="3040" w:type="dxa"/>
            <w:gridSpan w:val="2"/>
            <w:shd w:val="clear" w:color="auto" w:fill="auto"/>
            <w:vAlign w:val="center"/>
            <w:hideMark/>
          </w:tcPr>
          <w:p w14:paraId="709D3A9C"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Đề xuất không đủ hoặc không hợp lý, không khả thi nội dung a) và b).</w:t>
            </w:r>
          </w:p>
        </w:tc>
      </w:tr>
      <w:tr w:rsidR="002E7AF1" w:rsidRPr="002E7AF1" w14:paraId="3BB7AE32" w14:textId="77777777" w:rsidTr="007314EA">
        <w:trPr>
          <w:trHeight w:val="1344"/>
        </w:trPr>
        <w:tc>
          <w:tcPr>
            <w:tcW w:w="681" w:type="dxa"/>
            <w:shd w:val="clear" w:color="auto" w:fill="auto"/>
            <w:vAlign w:val="center"/>
            <w:hideMark/>
          </w:tcPr>
          <w:p w14:paraId="2390859F"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4.3</w:t>
            </w:r>
          </w:p>
        </w:tc>
        <w:tc>
          <w:tcPr>
            <w:tcW w:w="2688" w:type="dxa"/>
            <w:gridSpan w:val="3"/>
            <w:shd w:val="clear" w:color="auto" w:fill="auto"/>
            <w:vAlign w:val="center"/>
            <w:hideMark/>
          </w:tcPr>
          <w:p w14:paraId="7A62FC46"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Biểu tiến độ thi công hợp lý, khả thi phù hợp với đề xuất kỹ thuật và đáp ứng yêu cầu của E-HSMT</w:t>
            </w:r>
          </w:p>
        </w:tc>
        <w:tc>
          <w:tcPr>
            <w:tcW w:w="3716" w:type="dxa"/>
            <w:gridSpan w:val="3"/>
            <w:shd w:val="clear" w:color="auto" w:fill="auto"/>
            <w:vAlign w:val="center"/>
            <w:hideMark/>
          </w:tcPr>
          <w:p w14:paraId="42750FA0"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biểu tiến độ thi công hợp lý, khả thi và phù hợp với đề xuất kỹ thuật và đáp ứng yêu cầu của E-HSMT.</w:t>
            </w:r>
          </w:p>
        </w:tc>
        <w:tc>
          <w:tcPr>
            <w:tcW w:w="3040" w:type="dxa"/>
            <w:gridSpan w:val="2"/>
            <w:shd w:val="clear" w:color="auto" w:fill="auto"/>
            <w:vAlign w:val="center"/>
            <w:hideMark/>
          </w:tcPr>
          <w:p w14:paraId="1FE55341"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Không có biểu tiến độ thi công hoặc có biểu tiến độ thi công nhưng không hợp lý, không khả thi, không phù hợp với yêu cầu của E-HSMT.</w:t>
            </w:r>
          </w:p>
        </w:tc>
      </w:tr>
      <w:tr w:rsidR="002E7AF1" w:rsidRPr="002E7AF1" w14:paraId="1E7DBFB3" w14:textId="77777777" w:rsidTr="007314EA">
        <w:trPr>
          <w:trHeight w:val="672"/>
        </w:trPr>
        <w:tc>
          <w:tcPr>
            <w:tcW w:w="681" w:type="dxa"/>
            <w:shd w:val="clear" w:color="auto" w:fill="auto"/>
            <w:vAlign w:val="center"/>
            <w:hideMark/>
          </w:tcPr>
          <w:p w14:paraId="10A275E1"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w:t>
            </w:r>
          </w:p>
        </w:tc>
        <w:tc>
          <w:tcPr>
            <w:tcW w:w="2688" w:type="dxa"/>
            <w:gridSpan w:val="3"/>
            <w:shd w:val="clear" w:color="auto" w:fill="auto"/>
            <w:vAlign w:val="center"/>
            <w:hideMark/>
          </w:tcPr>
          <w:p w14:paraId="4390F7AE"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Kết luận</w:t>
            </w:r>
          </w:p>
        </w:tc>
        <w:tc>
          <w:tcPr>
            <w:tcW w:w="3716" w:type="dxa"/>
            <w:gridSpan w:val="3"/>
            <w:shd w:val="clear" w:color="auto" w:fill="auto"/>
            <w:vAlign w:val="center"/>
            <w:hideMark/>
          </w:tcPr>
          <w:p w14:paraId="2B7A97DE"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Tất cả các tiêu chuẩn chi tiết đều được xác định là đạt.</w:t>
            </w:r>
          </w:p>
        </w:tc>
        <w:tc>
          <w:tcPr>
            <w:tcW w:w="3040" w:type="dxa"/>
            <w:gridSpan w:val="2"/>
            <w:shd w:val="clear" w:color="auto" w:fill="auto"/>
            <w:vAlign w:val="center"/>
            <w:hideMark/>
          </w:tcPr>
          <w:p w14:paraId="1920E855"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1 tiêu chuẩn chi tiết được xác định là không đạt.</w:t>
            </w:r>
          </w:p>
        </w:tc>
      </w:tr>
      <w:tr w:rsidR="002E7AF1" w:rsidRPr="002E7AF1" w14:paraId="20E0A140" w14:textId="77777777" w:rsidTr="007314EA">
        <w:trPr>
          <w:gridAfter w:val="1"/>
          <w:wAfter w:w="55" w:type="dxa"/>
          <w:trHeight w:val="336"/>
        </w:trPr>
        <w:tc>
          <w:tcPr>
            <w:tcW w:w="10070" w:type="dxa"/>
            <w:gridSpan w:val="8"/>
            <w:shd w:val="clear" w:color="auto" w:fill="auto"/>
            <w:vAlign w:val="center"/>
            <w:hideMark/>
          </w:tcPr>
          <w:p w14:paraId="217F049C" w14:textId="7DF1D69A" w:rsidR="002E7AF1" w:rsidRPr="002E7AF1" w:rsidRDefault="002E7AF1" w:rsidP="00713193">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5. Biện pháp đảm bảo chất lượng</w:t>
            </w:r>
          </w:p>
        </w:tc>
      </w:tr>
      <w:tr w:rsidR="002E7AF1" w:rsidRPr="002E7AF1" w14:paraId="1EDB75D8" w14:textId="77777777" w:rsidTr="007314EA">
        <w:trPr>
          <w:trHeight w:val="1680"/>
        </w:trPr>
        <w:tc>
          <w:tcPr>
            <w:tcW w:w="681" w:type="dxa"/>
            <w:shd w:val="clear" w:color="auto" w:fill="auto"/>
            <w:vAlign w:val="center"/>
            <w:hideMark/>
          </w:tcPr>
          <w:p w14:paraId="6496E027"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5.1</w:t>
            </w:r>
          </w:p>
        </w:tc>
        <w:tc>
          <w:tcPr>
            <w:tcW w:w="2688" w:type="dxa"/>
            <w:gridSpan w:val="3"/>
            <w:shd w:val="clear" w:color="auto" w:fill="auto"/>
            <w:vAlign w:val="center"/>
            <w:hideMark/>
          </w:tcPr>
          <w:p w14:paraId="341C3D12" w14:textId="77777777" w:rsidR="00B5000B" w:rsidRPr="00B5000B" w:rsidRDefault="00B5000B" w:rsidP="00B5000B">
            <w:pPr>
              <w:widowControl w:val="0"/>
              <w:spacing w:after="0" w:line="264" w:lineRule="auto"/>
              <w:jc w:val="both"/>
              <w:rPr>
                <w:rFonts w:ascii="Times New Roman" w:eastAsia="Times New Roman" w:hAnsi="Times New Roman" w:cs="Times New Roman"/>
                <w:sz w:val="26"/>
                <w:szCs w:val="26"/>
              </w:rPr>
            </w:pPr>
            <w:r w:rsidRPr="00B5000B">
              <w:rPr>
                <w:rFonts w:ascii="Times New Roman" w:eastAsia="Times New Roman" w:hAnsi="Times New Roman" w:cs="Times New Roman"/>
                <w:sz w:val="26"/>
                <w:szCs w:val="26"/>
              </w:rPr>
              <w:t>Quản lý chất lượng cho</w:t>
            </w:r>
          </w:p>
          <w:p w14:paraId="3A5F9D67" w14:textId="77777777" w:rsidR="00B5000B" w:rsidRPr="00B5000B" w:rsidRDefault="00B5000B" w:rsidP="00B5000B">
            <w:pPr>
              <w:widowControl w:val="0"/>
              <w:spacing w:after="0" w:line="264" w:lineRule="auto"/>
              <w:jc w:val="both"/>
              <w:rPr>
                <w:rFonts w:ascii="Times New Roman" w:eastAsia="Times New Roman" w:hAnsi="Times New Roman" w:cs="Times New Roman"/>
                <w:sz w:val="26"/>
                <w:szCs w:val="26"/>
              </w:rPr>
            </w:pPr>
            <w:r w:rsidRPr="00B5000B">
              <w:rPr>
                <w:rFonts w:ascii="Times New Roman" w:eastAsia="Times New Roman" w:hAnsi="Times New Roman" w:cs="Times New Roman"/>
                <w:sz w:val="26"/>
                <w:szCs w:val="26"/>
              </w:rPr>
              <w:t>từng loại công tác thi</w:t>
            </w:r>
          </w:p>
          <w:p w14:paraId="0126454C" w14:textId="77777777" w:rsidR="00B5000B" w:rsidRPr="00B5000B" w:rsidRDefault="00B5000B" w:rsidP="00B5000B">
            <w:pPr>
              <w:widowControl w:val="0"/>
              <w:spacing w:after="0" w:line="264" w:lineRule="auto"/>
              <w:jc w:val="both"/>
              <w:rPr>
                <w:rFonts w:ascii="Times New Roman" w:eastAsia="Times New Roman" w:hAnsi="Times New Roman" w:cs="Times New Roman"/>
                <w:sz w:val="26"/>
                <w:szCs w:val="26"/>
              </w:rPr>
            </w:pPr>
            <w:r w:rsidRPr="00B5000B">
              <w:rPr>
                <w:rFonts w:ascii="Times New Roman" w:eastAsia="Times New Roman" w:hAnsi="Times New Roman" w:cs="Times New Roman"/>
                <w:sz w:val="26"/>
                <w:szCs w:val="26"/>
              </w:rPr>
              <w:t>công (nền móng, đổ bê</w:t>
            </w:r>
          </w:p>
          <w:p w14:paraId="343D3606" w14:textId="77777777" w:rsidR="00B5000B" w:rsidRPr="00B5000B" w:rsidRDefault="00B5000B" w:rsidP="00B5000B">
            <w:pPr>
              <w:widowControl w:val="0"/>
              <w:spacing w:after="0" w:line="264" w:lineRule="auto"/>
              <w:jc w:val="both"/>
              <w:rPr>
                <w:rFonts w:ascii="Times New Roman" w:eastAsia="Times New Roman" w:hAnsi="Times New Roman" w:cs="Times New Roman"/>
                <w:sz w:val="26"/>
                <w:szCs w:val="26"/>
              </w:rPr>
            </w:pPr>
            <w:r w:rsidRPr="00B5000B">
              <w:rPr>
                <w:rFonts w:ascii="Times New Roman" w:eastAsia="Times New Roman" w:hAnsi="Times New Roman" w:cs="Times New Roman"/>
                <w:sz w:val="26"/>
                <w:szCs w:val="26"/>
              </w:rPr>
              <w:t>tông, trát .. và hồ sơ hồ</w:t>
            </w:r>
          </w:p>
          <w:p w14:paraId="2B4E4D9D" w14:textId="77777777" w:rsidR="00B5000B" w:rsidRPr="00B5000B" w:rsidRDefault="00B5000B" w:rsidP="00B5000B">
            <w:pPr>
              <w:widowControl w:val="0"/>
              <w:spacing w:after="0" w:line="264" w:lineRule="auto"/>
              <w:jc w:val="both"/>
              <w:rPr>
                <w:rFonts w:ascii="Times New Roman" w:eastAsia="Times New Roman" w:hAnsi="Times New Roman" w:cs="Times New Roman"/>
                <w:sz w:val="26"/>
                <w:szCs w:val="26"/>
              </w:rPr>
            </w:pPr>
            <w:r w:rsidRPr="00B5000B">
              <w:rPr>
                <w:rFonts w:ascii="Times New Roman" w:eastAsia="Times New Roman" w:hAnsi="Times New Roman" w:cs="Times New Roman"/>
                <w:sz w:val="26"/>
                <w:szCs w:val="26"/>
              </w:rPr>
              <w:t>sơ quản lý chất lượng</w:t>
            </w:r>
          </w:p>
          <w:p w14:paraId="0B221216" w14:textId="76043F4F" w:rsidR="002E7AF1" w:rsidRPr="002E7AF1" w:rsidRDefault="00B5000B" w:rsidP="00B5000B">
            <w:pPr>
              <w:widowControl w:val="0"/>
              <w:spacing w:after="0" w:line="264" w:lineRule="auto"/>
              <w:jc w:val="both"/>
              <w:rPr>
                <w:rFonts w:ascii="Times New Roman" w:eastAsia="Times New Roman" w:hAnsi="Times New Roman" w:cs="Times New Roman"/>
                <w:spacing w:val="2"/>
                <w:sz w:val="26"/>
                <w:szCs w:val="26"/>
              </w:rPr>
            </w:pPr>
            <w:r w:rsidRPr="00B5000B">
              <w:rPr>
                <w:rFonts w:ascii="Times New Roman" w:eastAsia="Times New Roman" w:hAnsi="Times New Roman" w:cs="Times New Roman"/>
                <w:sz w:val="26"/>
                <w:szCs w:val="26"/>
              </w:rPr>
              <w:t>công trình</w:t>
            </w:r>
          </w:p>
        </w:tc>
        <w:tc>
          <w:tcPr>
            <w:tcW w:w="3716" w:type="dxa"/>
            <w:gridSpan w:val="3"/>
            <w:shd w:val="clear" w:color="auto" w:fill="auto"/>
            <w:vAlign w:val="center"/>
            <w:hideMark/>
          </w:tcPr>
          <w:p w14:paraId="52059BFE" w14:textId="77777777" w:rsidR="00B5000B" w:rsidRPr="00B5000B" w:rsidRDefault="00B5000B" w:rsidP="00B5000B">
            <w:pPr>
              <w:widowControl w:val="0"/>
              <w:spacing w:after="0" w:line="264" w:lineRule="auto"/>
              <w:jc w:val="both"/>
              <w:rPr>
                <w:rFonts w:ascii="Times New Roman" w:eastAsia="Times New Roman" w:hAnsi="Times New Roman" w:cs="Times New Roman"/>
                <w:spacing w:val="2"/>
                <w:sz w:val="26"/>
                <w:szCs w:val="26"/>
              </w:rPr>
            </w:pPr>
            <w:r w:rsidRPr="00B5000B">
              <w:rPr>
                <w:rFonts w:ascii="Times New Roman" w:eastAsia="Times New Roman" w:hAnsi="Times New Roman" w:cs="Times New Roman"/>
                <w:spacing w:val="2"/>
                <w:sz w:val="26"/>
                <w:szCs w:val="26"/>
              </w:rPr>
              <w:t>Có biện pháp Quản lý chất</w:t>
            </w:r>
          </w:p>
          <w:p w14:paraId="3C3E34C4" w14:textId="77777777" w:rsidR="00B5000B" w:rsidRPr="00B5000B" w:rsidRDefault="00B5000B" w:rsidP="00B5000B">
            <w:pPr>
              <w:widowControl w:val="0"/>
              <w:spacing w:after="0" w:line="264" w:lineRule="auto"/>
              <w:jc w:val="both"/>
              <w:rPr>
                <w:rFonts w:ascii="Times New Roman" w:eastAsia="Times New Roman" w:hAnsi="Times New Roman" w:cs="Times New Roman"/>
                <w:spacing w:val="2"/>
                <w:sz w:val="26"/>
                <w:szCs w:val="26"/>
              </w:rPr>
            </w:pPr>
            <w:r w:rsidRPr="00B5000B">
              <w:rPr>
                <w:rFonts w:ascii="Times New Roman" w:eastAsia="Times New Roman" w:hAnsi="Times New Roman" w:cs="Times New Roman"/>
                <w:spacing w:val="2"/>
                <w:sz w:val="26"/>
                <w:szCs w:val="26"/>
              </w:rPr>
              <w:t>lượng cho từng loại công tác thi</w:t>
            </w:r>
          </w:p>
          <w:p w14:paraId="351C8845" w14:textId="1C72F848" w:rsidR="002E7AF1" w:rsidRPr="002E7AF1" w:rsidRDefault="00B5000B" w:rsidP="00B5000B">
            <w:pPr>
              <w:widowControl w:val="0"/>
              <w:spacing w:after="0" w:line="264" w:lineRule="auto"/>
              <w:jc w:val="both"/>
              <w:rPr>
                <w:rFonts w:ascii="Times New Roman" w:eastAsia="Times New Roman" w:hAnsi="Times New Roman" w:cs="Times New Roman"/>
                <w:spacing w:val="2"/>
                <w:sz w:val="26"/>
                <w:szCs w:val="26"/>
              </w:rPr>
            </w:pPr>
            <w:r w:rsidRPr="00B5000B">
              <w:rPr>
                <w:rFonts w:ascii="Times New Roman" w:eastAsia="Times New Roman" w:hAnsi="Times New Roman" w:cs="Times New Roman"/>
                <w:spacing w:val="2"/>
                <w:sz w:val="26"/>
                <w:szCs w:val="26"/>
              </w:rPr>
              <w:t>công (nền móng, đổ bê tông, trát</w:t>
            </w:r>
            <w:r>
              <w:rPr>
                <w:rFonts w:ascii="Times New Roman" w:eastAsia="Times New Roman" w:hAnsi="Times New Roman" w:cs="Times New Roman"/>
                <w:spacing w:val="2"/>
                <w:sz w:val="26"/>
                <w:szCs w:val="26"/>
              </w:rPr>
              <w:t>…)</w:t>
            </w:r>
          </w:p>
        </w:tc>
        <w:tc>
          <w:tcPr>
            <w:tcW w:w="3040" w:type="dxa"/>
            <w:gridSpan w:val="2"/>
            <w:shd w:val="clear" w:color="auto" w:fill="auto"/>
            <w:vAlign w:val="center"/>
            <w:hideMark/>
          </w:tcPr>
          <w:p w14:paraId="4D8B97D1" w14:textId="0612688E" w:rsidR="00B5000B" w:rsidRPr="00B5000B" w:rsidRDefault="00B5000B" w:rsidP="00B5000B">
            <w:pPr>
              <w:widowControl w:val="0"/>
              <w:spacing w:after="0" w:line="264"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 xml:space="preserve">Không có biện pháp Quản lý chất </w:t>
            </w:r>
            <w:r w:rsidRPr="00B5000B">
              <w:rPr>
                <w:rFonts w:ascii="Times New Roman" w:eastAsia="Times New Roman" w:hAnsi="Times New Roman" w:cs="Times New Roman"/>
                <w:spacing w:val="2"/>
                <w:sz w:val="26"/>
                <w:szCs w:val="26"/>
              </w:rPr>
              <w:t>lượng cho từng loại</w:t>
            </w:r>
          </w:p>
          <w:p w14:paraId="22A49456" w14:textId="19AEBDCF" w:rsidR="002E7AF1" w:rsidRPr="002E7AF1" w:rsidRDefault="00B5000B" w:rsidP="00B5000B">
            <w:pPr>
              <w:widowControl w:val="0"/>
              <w:spacing w:after="0" w:line="264"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 xml:space="preserve">công tác thi công (nền móng, đổ bê </w:t>
            </w:r>
            <w:r w:rsidRPr="00B5000B">
              <w:rPr>
                <w:rFonts w:ascii="Times New Roman" w:eastAsia="Times New Roman" w:hAnsi="Times New Roman" w:cs="Times New Roman"/>
                <w:spacing w:val="2"/>
                <w:sz w:val="26"/>
                <w:szCs w:val="26"/>
              </w:rPr>
              <w:t>tông, trát …)</w:t>
            </w:r>
          </w:p>
        </w:tc>
      </w:tr>
      <w:tr w:rsidR="002E7AF1" w:rsidRPr="002E7AF1" w14:paraId="46B8AD7B" w14:textId="77777777" w:rsidTr="007314EA">
        <w:trPr>
          <w:trHeight w:val="317"/>
        </w:trPr>
        <w:tc>
          <w:tcPr>
            <w:tcW w:w="681" w:type="dxa"/>
            <w:shd w:val="clear" w:color="auto" w:fill="auto"/>
            <w:vAlign w:val="center"/>
            <w:hideMark/>
          </w:tcPr>
          <w:p w14:paraId="6444A7B3"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5.2</w:t>
            </w:r>
          </w:p>
        </w:tc>
        <w:tc>
          <w:tcPr>
            <w:tcW w:w="2688" w:type="dxa"/>
            <w:gridSpan w:val="3"/>
            <w:shd w:val="clear" w:color="auto" w:fill="auto"/>
            <w:vAlign w:val="center"/>
            <w:hideMark/>
          </w:tcPr>
          <w:p w14:paraId="38E25BC3"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Biện pháp bảo đảm chất lượng nguyên liệu đầu vào để phục vụ công tác thi công và biện pháp bảo quản vật liệu, công trình khi tạm dừng thi công, khi mưa bão</w:t>
            </w:r>
          </w:p>
        </w:tc>
        <w:tc>
          <w:tcPr>
            <w:tcW w:w="3716" w:type="dxa"/>
            <w:gridSpan w:val="3"/>
            <w:shd w:val="clear" w:color="auto" w:fill="auto"/>
            <w:vAlign w:val="center"/>
            <w:hideMark/>
          </w:tcPr>
          <w:p w14:paraId="5EE72A98"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biện pháp bảo đảm chất lượng hợp lý, khả thi phù hợp với đề xuất về biện pháp tổ chức thi công và biện pháp bảo quản vật liệu, công trình khi tạm dừng thi công, khi mưa bão</w:t>
            </w:r>
          </w:p>
        </w:tc>
        <w:tc>
          <w:tcPr>
            <w:tcW w:w="3040" w:type="dxa"/>
            <w:gridSpan w:val="2"/>
            <w:shd w:val="clear" w:color="auto" w:fill="auto"/>
            <w:vAlign w:val="center"/>
            <w:hideMark/>
          </w:tcPr>
          <w:p w14:paraId="6559F27E"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2E7AF1" w:rsidRPr="002E7AF1" w14:paraId="19CE049F" w14:textId="77777777" w:rsidTr="007314EA">
        <w:trPr>
          <w:gridAfter w:val="1"/>
          <w:wAfter w:w="55" w:type="dxa"/>
          <w:trHeight w:val="672"/>
        </w:trPr>
        <w:tc>
          <w:tcPr>
            <w:tcW w:w="3309" w:type="dxa"/>
            <w:gridSpan w:val="3"/>
            <w:shd w:val="clear" w:color="auto" w:fill="auto"/>
            <w:vAlign w:val="center"/>
            <w:hideMark/>
          </w:tcPr>
          <w:p w14:paraId="35E41C21"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Kết luận</w:t>
            </w:r>
          </w:p>
        </w:tc>
        <w:tc>
          <w:tcPr>
            <w:tcW w:w="3717" w:type="dxa"/>
            <w:gridSpan w:val="3"/>
            <w:shd w:val="clear" w:color="auto" w:fill="auto"/>
            <w:vAlign w:val="center"/>
            <w:hideMark/>
          </w:tcPr>
          <w:p w14:paraId="0B17ECAB"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Cả 2 tiêu chuẩn chi tiết đều được xác định là đạt.</w:t>
            </w:r>
          </w:p>
        </w:tc>
        <w:tc>
          <w:tcPr>
            <w:tcW w:w="3044" w:type="dxa"/>
            <w:gridSpan w:val="2"/>
            <w:shd w:val="clear" w:color="auto" w:fill="auto"/>
            <w:vAlign w:val="center"/>
            <w:hideMark/>
          </w:tcPr>
          <w:p w14:paraId="2FDF04F5"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1 tiêu chuẩn chi tiết được xác định là không đạt.</w:t>
            </w:r>
          </w:p>
        </w:tc>
      </w:tr>
      <w:tr w:rsidR="002E7AF1" w:rsidRPr="002E7AF1" w14:paraId="3C7E94CC" w14:textId="77777777" w:rsidTr="007314EA">
        <w:trPr>
          <w:gridAfter w:val="1"/>
          <w:wAfter w:w="55" w:type="dxa"/>
          <w:trHeight w:val="336"/>
        </w:trPr>
        <w:tc>
          <w:tcPr>
            <w:tcW w:w="10070" w:type="dxa"/>
            <w:gridSpan w:val="8"/>
            <w:shd w:val="clear" w:color="auto" w:fill="auto"/>
            <w:vAlign w:val="center"/>
            <w:hideMark/>
          </w:tcPr>
          <w:p w14:paraId="0F940488"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lastRenderedPageBreak/>
              <w:t>6. Bảo hành</w:t>
            </w:r>
          </w:p>
        </w:tc>
      </w:tr>
      <w:tr w:rsidR="002E7AF1" w:rsidRPr="002E7AF1" w14:paraId="2E26345B" w14:textId="77777777" w:rsidTr="007314EA">
        <w:trPr>
          <w:trHeight w:val="699"/>
        </w:trPr>
        <w:tc>
          <w:tcPr>
            <w:tcW w:w="681" w:type="dxa"/>
            <w:shd w:val="clear" w:color="auto" w:fill="auto"/>
            <w:vAlign w:val="center"/>
            <w:hideMark/>
          </w:tcPr>
          <w:p w14:paraId="5F1F2336"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p>
        </w:tc>
        <w:tc>
          <w:tcPr>
            <w:tcW w:w="2688" w:type="dxa"/>
            <w:gridSpan w:val="3"/>
            <w:shd w:val="clear" w:color="auto" w:fill="auto"/>
            <w:vAlign w:val="center"/>
            <w:hideMark/>
          </w:tcPr>
          <w:p w14:paraId="4896A4EF" w14:textId="2D9074B1" w:rsidR="002E7AF1" w:rsidRPr="002E7AF1" w:rsidRDefault="002E7AF1" w:rsidP="007314EA">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xml:space="preserve">Bảo hành: Thời gian bảo hành </w:t>
            </w:r>
            <w:r w:rsidR="007314EA">
              <w:rPr>
                <w:rFonts w:ascii="Times New Roman" w:eastAsia="Times New Roman" w:hAnsi="Times New Roman" w:cs="Times New Roman"/>
                <w:spacing w:val="2"/>
                <w:sz w:val="26"/>
                <w:szCs w:val="26"/>
              </w:rPr>
              <w:t>24 tháng</w:t>
            </w:r>
            <w:r w:rsidRPr="002E7AF1">
              <w:rPr>
                <w:rFonts w:ascii="Times New Roman" w:eastAsia="Times New Roman" w:hAnsi="Times New Roman" w:cs="Times New Roman"/>
                <w:spacing w:val="2"/>
                <w:sz w:val="26"/>
                <w:szCs w:val="26"/>
              </w:rPr>
              <w:t>.</w:t>
            </w:r>
          </w:p>
        </w:tc>
        <w:tc>
          <w:tcPr>
            <w:tcW w:w="3716" w:type="dxa"/>
            <w:gridSpan w:val="3"/>
            <w:shd w:val="clear" w:color="auto" w:fill="auto"/>
            <w:vAlign w:val="center"/>
            <w:hideMark/>
          </w:tcPr>
          <w:p w14:paraId="56424841" w14:textId="4123EBF5"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xml:space="preserve">Có cam kết thời gian bảo hành lớn hơn hoặc bằng </w:t>
            </w:r>
            <w:r w:rsidR="007314EA" w:rsidRPr="007314EA">
              <w:rPr>
                <w:rFonts w:ascii="Times New Roman" w:eastAsia="Times New Roman" w:hAnsi="Times New Roman" w:cs="Times New Roman"/>
                <w:spacing w:val="2"/>
                <w:sz w:val="26"/>
                <w:szCs w:val="26"/>
              </w:rPr>
              <w:t>24 tháng</w:t>
            </w:r>
            <w:r w:rsidRPr="002E7AF1">
              <w:rPr>
                <w:rFonts w:ascii="Times New Roman" w:eastAsia="Times New Roman" w:hAnsi="Times New Roman" w:cs="Times New Roman"/>
                <w:spacing w:val="2"/>
                <w:sz w:val="26"/>
                <w:szCs w:val="26"/>
              </w:rPr>
              <w:t xml:space="preserve"> tính từ ngày công trình được nghiệm thu, bàn giao</w:t>
            </w:r>
          </w:p>
        </w:tc>
        <w:tc>
          <w:tcPr>
            <w:tcW w:w="3040" w:type="dxa"/>
            <w:gridSpan w:val="2"/>
            <w:shd w:val="clear" w:color="auto" w:fill="auto"/>
            <w:vAlign w:val="center"/>
            <w:hideMark/>
          </w:tcPr>
          <w:p w14:paraId="47DAC0E0" w14:textId="3792D0C9"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 xml:space="preserve">Có cam kết thời gian bảo hành nhỏ hơn </w:t>
            </w:r>
            <w:r w:rsidR="007314EA" w:rsidRPr="007314EA">
              <w:rPr>
                <w:rFonts w:ascii="Times New Roman" w:eastAsia="Times New Roman" w:hAnsi="Times New Roman" w:cs="Times New Roman"/>
                <w:spacing w:val="2"/>
                <w:sz w:val="26"/>
                <w:szCs w:val="26"/>
              </w:rPr>
              <w:t xml:space="preserve">24 tháng </w:t>
            </w:r>
            <w:r w:rsidRPr="002E7AF1">
              <w:rPr>
                <w:rFonts w:ascii="Times New Roman" w:eastAsia="Times New Roman" w:hAnsi="Times New Roman" w:cs="Times New Roman"/>
                <w:spacing w:val="2"/>
                <w:sz w:val="26"/>
                <w:szCs w:val="26"/>
              </w:rPr>
              <w:t>tính từ ngày công trình được nghiệm thu, bàn giao hoặc không có cam kết thời gian bảo hành.</w:t>
            </w:r>
          </w:p>
        </w:tc>
      </w:tr>
      <w:tr w:rsidR="002E7AF1" w:rsidRPr="002E7AF1" w14:paraId="7BE75A9D" w14:textId="77777777" w:rsidTr="007314EA">
        <w:trPr>
          <w:gridAfter w:val="1"/>
          <w:wAfter w:w="55" w:type="dxa"/>
          <w:trHeight w:val="672"/>
        </w:trPr>
        <w:tc>
          <w:tcPr>
            <w:tcW w:w="3309" w:type="dxa"/>
            <w:gridSpan w:val="3"/>
            <w:shd w:val="clear" w:color="auto" w:fill="auto"/>
            <w:vAlign w:val="center"/>
            <w:hideMark/>
          </w:tcPr>
          <w:p w14:paraId="0AB35EE1"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Kết luận</w:t>
            </w:r>
          </w:p>
        </w:tc>
        <w:tc>
          <w:tcPr>
            <w:tcW w:w="3717" w:type="dxa"/>
            <w:gridSpan w:val="3"/>
            <w:shd w:val="clear" w:color="auto" w:fill="auto"/>
            <w:vAlign w:val="center"/>
            <w:hideMark/>
          </w:tcPr>
          <w:p w14:paraId="1E4B8CB9"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Tiêu chuẩn được xác định là đạt.</w:t>
            </w:r>
          </w:p>
        </w:tc>
        <w:tc>
          <w:tcPr>
            <w:tcW w:w="3044" w:type="dxa"/>
            <w:gridSpan w:val="2"/>
            <w:shd w:val="clear" w:color="auto" w:fill="auto"/>
            <w:vAlign w:val="center"/>
            <w:hideMark/>
          </w:tcPr>
          <w:p w14:paraId="53624469"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Tiêu chuẩn đánh giá là không đạt.</w:t>
            </w:r>
          </w:p>
        </w:tc>
      </w:tr>
      <w:tr w:rsidR="002E7AF1" w:rsidRPr="002E7AF1" w14:paraId="20208376" w14:textId="77777777" w:rsidTr="007314EA">
        <w:trPr>
          <w:gridAfter w:val="1"/>
          <w:wAfter w:w="55" w:type="dxa"/>
          <w:trHeight w:val="336"/>
        </w:trPr>
        <w:tc>
          <w:tcPr>
            <w:tcW w:w="10070" w:type="dxa"/>
            <w:gridSpan w:val="8"/>
            <w:shd w:val="clear" w:color="auto" w:fill="auto"/>
            <w:vAlign w:val="center"/>
            <w:hideMark/>
          </w:tcPr>
          <w:p w14:paraId="758C3D81"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 xml:space="preserve">7.  </w:t>
            </w:r>
            <w:r w:rsidRPr="002E7AF1">
              <w:rPr>
                <w:rFonts w:ascii="Times New Roman" w:eastAsia="Calibri" w:hAnsi="Times New Roman" w:cs="Times New Roman"/>
                <w:b/>
                <w:sz w:val="26"/>
                <w:szCs w:val="26"/>
                <w:lang w:val="nl-NL"/>
              </w:rPr>
              <w:t>Thông tin về kết quả thực hiện hợp đồng</w:t>
            </w:r>
          </w:p>
        </w:tc>
      </w:tr>
      <w:tr w:rsidR="002E7AF1" w:rsidRPr="002E7AF1" w14:paraId="14C4DFD4" w14:textId="77777777" w:rsidTr="007314EA">
        <w:trPr>
          <w:trHeight w:val="1344"/>
        </w:trPr>
        <w:tc>
          <w:tcPr>
            <w:tcW w:w="681" w:type="dxa"/>
            <w:shd w:val="clear" w:color="auto" w:fill="auto"/>
            <w:vAlign w:val="center"/>
            <w:hideMark/>
          </w:tcPr>
          <w:p w14:paraId="1A601A9D"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p>
        </w:tc>
        <w:tc>
          <w:tcPr>
            <w:tcW w:w="2688" w:type="dxa"/>
            <w:gridSpan w:val="3"/>
            <w:shd w:val="clear" w:color="auto" w:fill="auto"/>
            <w:hideMark/>
          </w:tcPr>
          <w:p w14:paraId="73E9BD38" w14:textId="1BF5A3E0"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Calibri" w:hAnsi="Times New Roman" w:cs="Times New Roman"/>
                <w:sz w:val="26"/>
                <w:szCs w:val="26"/>
                <w:lang w:val="nl-NL"/>
              </w:rPr>
              <w:t>Thông tin về kết quả thực hiện hợp đồng gói thầu xây lắp, EPC, EC, PC của nhà thầu theo quy định tại </w:t>
            </w:r>
            <w:r w:rsidR="007314EA" w:rsidRPr="007314EA">
              <w:rPr>
                <w:rFonts w:ascii="Times New Roman" w:eastAsia="Calibri" w:hAnsi="Times New Roman" w:cs="Times New Roman"/>
                <w:sz w:val="26"/>
                <w:szCs w:val="26"/>
                <w:lang w:val="nl-NL"/>
              </w:rPr>
              <w:t>Điều 19 và Điều 20 của Nghị định số 214/2025/NĐ-CP</w:t>
            </w:r>
          </w:p>
        </w:tc>
        <w:tc>
          <w:tcPr>
            <w:tcW w:w="3716" w:type="dxa"/>
            <w:gridSpan w:val="3"/>
            <w:shd w:val="clear" w:color="auto" w:fill="auto"/>
            <w:hideMark/>
          </w:tcPr>
          <w:p w14:paraId="690CF26B" w14:textId="77777777" w:rsidR="002E7AF1" w:rsidRPr="00AA3418" w:rsidRDefault="002E7AF1" w:rsidP="002E7AF1">
            <w:pPr>
              <w:tabs>
                <w:tab w:val="left" w:pos="289"/>
              </w:tabs>
              <w:spacing w:before="40" w:after="40" w:line="252" w:lineRule="auto"/>
              <w:jc w:val="both"/>
              <w:rPr>
                <w:rFonts w:ascii="Times New Roman" w:eastAsia="Calibri" w:hAnsi="Times New Roman" w:cs="Times New Roman"/>
                <w:b/>
                <w:sz w:val="26"/>
                <w:szCs w:val="26"/>
              </w:rPr>
            </w:pPr>
            <w:r w:rsidRPr="00AA3418">
              <w:rPr>
                <w:rFonts w:ascii="Times New Roman" w:eastAsia="Calibri" w:hAnsi="Times New Roman" w:cs="Times New Roman"/>
                <w:iCs/>
                <w:sz w:val="26"/>
                <w:szCs w:val="26"/>
              </w:rPr>
              <w:t xml:space="preserve">Nhà thầu không có hoặc có nhiều nhất 01 hợp đồng </w:t>
            </w:r>
            <w:r w:rsidRPr="00AA3418">
              <w:rPr>
                <w:rFonts w:ascii="Times New Roman" w:eastAsia="Calibri" w:hAnsi="Times New Roman" w:cs="Times New Roman"/>
                <w:sz w:val="26"/>
                <w:szCs w:val="26"/>
              </w:rPr>
              <w:t xml:space="preserve">bị đánh giá </w:t>
            </w:r>
            <w:r w:rsidRPr="00AA3418">
              <w:rPr>
                <w:rFonts w:ascii="Times New Roman" w:eastAsia="Calibri"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AA3418">
              <w:rPr>
                <w:rFonts w:ascii="Times New Roman" w:eastAsia="Calibri" w:hAnsi="Times New Roman" w:cs="Times New Roman"/>
                <w:i/>
                <w:spacing w:val="3"/>
                <w:sz w:val="26"/>
                <w:szCs w:val="26"/>
                <w:shd w:val="clear" w:color="auto" w:fill="FFFFFF"/>
              </w:rPr>
              <w:t>(áp dụng kết quả kể từ ngày đăng t</w:t>
            </w:r>
            <w:bookmarkStart w:id="3" w:name="_GoBack"/>
            <w:bookmarkEnd w:id="3"/>
            <w:r w:rsidRPr="00AA3418">
              <w:rPr>
                <w:rFonts w:ascii="Times New Roman" w:eastAsia="Calibri" w:hAnsi="Times New Roman" w:cs="Times New Roman"/>
                <w:i/>
                <w:spacing w:val="3"/>
                <w:sz w:val="26"/>
                <w:szCs w:val="26"/>
                <w:shd w:val="clear" w:color="auto" w:fill="FFFFFF"/>
              </w:rPr>
              <w:t>ải thông tin trong thời hạn 01 năm tính đến thời điểm đóng thầu)</w:t>
            </w:r>
            <w:r w:rsidRPr="00AA3418">
              <w:rPr>
                <w:rFonts w:ascii="Times New Roman" w:eastAsia="Calibri" w:hAnsi="Times New Roman" w:cs="Times New Roman"/>
                <w:iCs/>
                <w:sz w:val="26"/>
                <w:szCs w:val="26"/>
                <w:vertAlign w:val="superscript"/>
              </w:rPr>
              <w:t xml:space="preserve"> </w:t>
            </w:r>
          </w:p>
          <w:p w14:paraId="30BCF46C" w14:textId="77777777" w:rsidR="002E7AF1" w:rsidRPr="00AA3418" w:rsidRDefault="002E7AF1" w:rsidP="002E7AF1">
            <w:pPr>
              <w:widowControl w:val="0"/>
              <w:spacing w:after="0" w:line="264" w:lineRule="auto"/>
              <w:jc w:val="both"/>
              <w:rPr>
                <w:rFonts w:ascii="Times New Roman" w:eastAsia="Times New Roman" w:hAnsi="Times New Roman" w:cs="Times New Roman"/>
                <w:spacing w:val="2"/>
                <w:sz w:val="26"/>
                <w:szCs w:val="26"/>
              </w:rPr>
            </w:pPr>
          </w:p>
        </w:tc>
        <w:tc>
          <w:tcPr>
            <w:tcW w:w="3040" w:type="dxa"/>
            <w:gridSpan w:val="2"/>
            <w:shd w:val="clear" w:color="auto" w:fill="auto"/>
            <w:hideMark/>
          </w:tcPr>
          <w:p w14:paraId="5BF9AF3F" w14:textId="77777777" w:rsidR="002E7AF1" w:rsidRPr="00AA3418" w:rsidRDefault="002E7AF1" w:rsidP="002E7AF1">
            <w:pPr>
              <w:widowControl w:val="0"/>
              <w:spacing w:after="0" w:line="264" w:lineRule="auto"/>
              <w:jc w:val="both"/>
              <w:rPr>
                <w:rFonts w:ascii="Times New Roman" w:eastAsia="Times New Roman" w:hAnsi="Times New Roman" w:cs="Times New Roman"/>
                <w:spacing w:val="2"/>
                <w:sz w:val="26"/>
                <w:szCs w:val="26"/>
              </w:rPr>
            </w:pPr>
            <w:r w:rsidRPr="00AA3418">
              <w:rPr>
                <w:rFonts w:ascii="Times New Roman" w:eastAsia="Calibri" w:hAnsi="Times New Roman" w:cs="Times New Roman"/>
                <w:iCs/>
                <w:sz w:val="26"/>
                <w:szCs w:val="26"/>
              </w:rPr>
              <w:t xml:space="preserve">Nhà thầu có từ 02 hợp đồng </w:t>
            </w:r>
            <w:r w:rsidRPr="00AA3418">
              <w:rPr>
                <w:rFonts w:ascii="Times New Roman" w:eastAsia="Calibri" w:hAnsi="Times New Roman" w:cs="Times New Roman"/>
                <w:sz w:val="26"/>
                <w:szCs w:val="26"/>
              </w:rPr>
              <w:t xml:space="preserve">bị đánh giá </w:t>
            </w:r>
            <w:r w:rsidRPr="00AA3418">
              <w:rPr>
                <w:rFonts w:ascii="Times New Roman" w:eastAsia="Calibri"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AA3418">
              <w:rPr>
                <w:rFonts w:ascii="Times New Roman" w:eastAsia="Calibri" w:hAnsi="Times New Roman" w:cs="Times New Roman"/>
                <w:i/>
                <w:spacing w:val="3"/>
                <w:sz w:val="26"/>
                <w:szCs w:val="26"/>
                <w:shd w:val="clear" w:color="auto" w:fill="FFFFFF"/>
              </w:rPr>
              <w:t>(áp dụng kết quả kể từ ngày đăng tải thông tin trong thời hạn 01 năm tính đến thời điểm đóng thầu)</w:t>
            </w:r>
            <w:r w:rsidRPr="00AA3418">
              <w:rPr>
                <w:rFonts w:ascii="Times New Roman" w:eastAsia="Calibri" w:hAnsi="Times New Roman" w:cs="Times New Roman"/>
                <w:iCs/>
                <w:sz w:val="26"/>
                <w:szCs w:val="26"/>
                <w:vertAlign w:val="superscript"/>
              </w:rPr>
              <w:t xml:space="preserve"> </w:t>
            </w:r>
          </w:p>
        </w:tc>
      </w:tr>
      <w:tr w:rsidR="002E7AF1" w:rsidRPr="002E7AF1" w14:paraId="081AB7E3" w14:textId="77777777" w:rsidTr="007314EA">
        <w:trPr>
          <w:gridAfter w:val="1"/>
          <w:wAfter w:w="55" w:type="dxa"/>
          <w:trHeight w:val="672"/>
        </w:trPr>
        <w:tc>
          <w:tcPr>
            <w:tcW w:w="3309" w:type="dxa"/>
            <w:gridSpan w:val="3"/>
            <w:shd w:val="clear" w:color="auto" w:fill="auto"/>
            <w:vAlign w:val="center"/>
            <w:hideMark/>
          </w:tcPr>
          <w:p w14:paraId="5FCB769F"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Kết luận</w:t>
            </w:r>
          </w:p>
        </w:tc>
        <w:tc>
          <w:tcPr>
            <w:tcW w:w="3717" w:type="dxa"/>
            <w:gridSpan w:val="3"/>
            <w:shd w:val="clear" w:color="auto" w:fill="auto"/>
            <w:vAlign w:val="center"/>
            <w:hideMark/>
          </w:tcPr>
          <w:p w14:paraId="1B928ADB"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Tiêu chuẩn được xác định là đạt.</w:t>
            </w:r>
          </w:p>
        </w:tc>
        <w:tc>
          <w:tcPr>
            <w:tcW w:w="3044" w:type="dxa"/>
            <w:gridSpan w:val="2"/>
            <w:shd w:val="clear" w:color="auto" w:fill="auto"/>
            <w:vAlign w:val="center"/>
            <w:hideMark/>
          </w:tcPr>
          <w:p w14:paraId="5FE5A5E9" w14:textId="77777777" w:rsidR="002E7AF1" w:rsidRPr="002E7AF1" w:rsidRDefault="002E7AF1" w:rsidP="002E7AF1">
            <w:pPr>
              <w:widowControl w:val="0"/>
              <w:spacing w:after="0" w:line="264" w:lineRule="auto"/>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Tiêu chuẩn đánh giá là không đạt.</w:t>
            </w:r>
          </w:p>
        </w:tc>
      </w:tr>
      <w:tr w:rsidR="002E7AF1" w:rsidRPr="002E7AF1" w14:paraId="5EC248BD" w14:textId="77777777" w:rsidTr="007314EA">
        <w:trPr>
          <w:gridAfter w:val="1"/>
          <w:wAfter w:w="55" w:type="dxa"/>
          <w:trHeight w:val="672"/>
        </w:trPr>
        <w:tc>
          <w:tcPr>
            <w:tcW w:w="3309" w:type="dxa"/>
            <w:gridSpan w:val="3"/>
            <w:shd w:val="clear" w:color="auto" w:fill="auto"/>
            <w:vAlign w:val="center"/>
          </w:tcPr>
          <w:p w14:paraId="040D2396" w14:textId="77777777" w:rsidR="002E7AF1" w:rsidRPr="002E7AF1" w:rsidRDefault="002E7AF1" w:rsidP="002E7AF1">
            <w:pPr>
              <w:widowControl w:val="0"/>
              <w:spacing w:after="0" w:line="264" w:lineRule="auto"/>
              <w:rPr>
                <w:rFonts w:ascii="Times New Roman" w:eastAsia="Times New Roman" w:hAnsi="Times New Roman" w:cs="Times New Roman"/>
                <w:b/>
                <w:bCs/>
                <w:spacing w:val="2"/>
                <w:sz w:val="26"/>
                <w:szCs w:val="26"/>
              </w:rPr>
            </w:pPr>
            <w:r w:rsidRPr="002E7AF1">
              <w:rPr>
                <w:rFonts w:ascii="Times New Roman" w:eastAsia="Times New Roman" w:hAnsi="Times New Roman" w:cs="Times New Roman"/>
                <w:b/>
                <w:bCs/>
                <w:spacing w:val="2"/>
                <w:sz w:val="26"/>
                <w:szCs w:val="26"/>
              </w:rPr>
              <w:t>KẾT LUẬN CHUNG</w:t>
            </w:r>
          </w:p>
        </w:tc>
        <w:tc>
          <w:tcPr>
            <w:tcW w:w="3717" w:type="dxa"/>
            <w:gridSpan w:val="3"/>
            <w:shd w:val="clear" w:color="auto" w:fill="auto"/>
            <w:vAlign w:val="center"/>
          </w:tcPr>
          <w:p w14:paraId="071AD3BD"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Các tiêu chuẩn chi tiết được đánh giá là đạt</w:t>
            </w:r>
          </w:p>
        </w:tc>
        <w:tc>
          <w:tcPr>
            <w:tcW w:w="3044" w:type="dxa"/>
            <w:gridSpan w:val="2"/>
            <w:shd w:val="clear" w:color="auto" w:fill="auto"/>
            <w:vAlign w:val="center"/>
          </w:tcPr>
          <w:p w14:paraId="2B39AD83" w14:textId="77777777" w:rsidR="002E7AF1" w:rsidRPr="002E7AF1" w:rsidRDefault="002E7AF1" w:rsidP="002E7AF1">
            <w:pPr>
              <w:widowControl w:val="0"/>
              <w:spacing w:after="0" w:line="264" w:lineRule="auto"/>
              <w:jc w:val="both"/>
              <w:rPr>
                <w:rFonts w:ascii="Times New Roman" w:eastAsia="Times New Roman" w:hAnsi="Times New Roman" w:cs="Times New Roman"/>
                <w:spacing w:val="2"/>
                <w:sz w:val="26"/>
                <w:szCs w:val="26"/>
              </w:rPr>
            </w:pPr>
            <w:r w:rsidRPr="002E7AF1">
              <w:rPr>
                <w:rFonts w:ascii="Times New Roman" w:eastAsia="Times New Roman" w:hAnsi="Times New Roman" w:cs="Times New Roman"/>
                <w:spacing w:val="2"/>
                <w:sz w:val="26"/>
                <w:szCs w:val="26"/>
              </w:rPr>
              <w:t>Có 1 tiêu chuẩn chi tiết được xác định là 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F4605" w14:textId="77777777" w:rsidR="00077F83" w:rsidRDefault="00077F83" w:rsidP="00B5397D">
      <w:pPr>
        <w:spacing w:after="0" w:line="240" w:lineRule="auto"/>
      </w:pPr>
      <w:r>
        <w:separator/>
      </w:r>
    </w:p>
  </w:endnote>
  <w:endnote w:type="continuationSeparator" w:id="0">
    <w:p w14:paraId="38E6C1E0" w14:textId="77777777" w:rsidR="00077F83" w:rsidRDefault="00077F83"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795B4" w14:textId="77777777" w:rsidR="00077F83" w:rsidRDefault="00077F83" w:rsidP="00B5397D">
      <w:pPr>
        <w:spacing w:after="0" w:line="240" w:lineRule="auto"/>
      </w:pPr>
      <w:r>
        <w:separator/>
      </w:r>
    </w:p>
  </w:footnote>
  <w:footnote w:type="continuationSeparator" w:id="0">
    <w:p w14:paraId="30DF81DF" w14:textId="77777777" w:rsidR="00077F83" w:rsidRDefault="00077F83"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77F83"/>
    <w:rsid w:val="00083546"/>
    <w:rsid w:val="00086E9B"/>
    <w:rsid w:val="00094351"/>
    <w:rsid w:val="00095CB8"/>
    <w:rsid w:val="0009671B"/>
    <w:rsid w:val="000A32B4"/>
    <w:rsid w:val="000B5FC9"/>
    <w:rsid w:val="000C12F6"/>
    <w:rsid w:val="000C2468"/>
    <w:rsid w:val="000D52C5"/>
    <w:rsid w:val="000E426E"/>
    <w:rsid w:val="000E6143"/>
    <w:rsid w:val="000E6189"/>
    <w:rsid w:val="000F534B"/>
    <w:rsid w:val="00100CD6"/>
    <w:rsid w:val="001024AD"/>
    <w:rsid w:val="00104C04"/>
    <w:rsid w:val="00112798"/>
    <w:rsid w:val="00115860"/>
    <w:rsid w:val="001167E8"/>
    <w:rsid w:val="001178B3"/>
    <w:rsid w:val="001178BD"/>
    <w:rsid w:val="00121156"/>
    <w:rsid w:val="00131428"/>
    <w:rsid w:val="001405B4"/>
    <w:rsid w:val="00147C08"/>
    <w:rsid w:val="0015438E"/>
    <w:rsid w:val="0015649C"/>
    <w:rsid w:val="00173C4D"/>
    <w:rsid w:val="00186CE6"/>
    <w:rsid w:val="00193326"/>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820FA"/>
    <w:rsid w:val="00282A13"/>
    <w:rsid w:val="00291893"/>
    <w:rsid w:val="002A6552"/>
    <w:rsid w:val="002A67B9"/>
    <w:rsid w:val="002B2E46"/>
    <w:rsid w:val="002B443E"/>
    <w:rsid w:val="002B4755"/>
    <w:rsid w:val="002B7E74"/>
    <w:rsid w:val="002C225F"/>
    <w:rsid w:val="002D1A93"/>
    <w:rsid w:val="002E3064"/>
    <w:rsid w:val="002E5105"/>
    <w:rsid w:val="002E7AF1"/>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41B84"/>
    <w:rsid w:val="00543199"/>
    <w:rsid w:val="005462D7"/>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34AF"/>
    <w:rsid w:val="005F545D"/>
    <w:rsid w:val="00611C75"/>
    <w:rsid w:val="006154BA"/>
    <w:rsid w:val="00624D42"/>
    <w:rsid w:val="00626E9B"/>
    <w:rsid w:val="0064564D"/>
    <w:rsid w:val="00651BBE"/>
    <w:rsid w:val="00651E26"/>
    <w:rsid w:val="006534F6"/>
    <w:rsid w:val="00656B5D"/>
    <w:rsid w:val="006A699B"/>
    <w:rsid w:val="006E18D3"/>
    <w:rsid w:val="006E516C"/>
    <w:rsid w:val="006F57A3"/>
    <w:rsid w:val="006F5868"/>
    <w:rsid w:val="007002E3"/>
    <w:rsid w:val="007057D5"/>
    <w:rsid w:val="007122BC"/>
    <w:rsid w:val="00713193"/>
    <w:rsid w:val="007166C9"/>
    <w:rsid w:val="00725926"/>
    <w:rsid w:val="007314EA"/>
    <w:rsid w:val="00737F45"/>
    <w:rsid w:val="00740A2B"/>
    <w:rsid w:val="00741A92"/>
    <w:rsid w:val="00746855"/>
    <w:rsid w:val="00746B95"/>
    <w:rsid w:val="007547D2"/>
    <w:rsid w:val="0076011A"/>
    <w:rsid w:val="00764E6C"/>
    <w:rsid w:val="00773492"/>
    <w:rsid w:val="00784B4D"/>
    <w:rsid w:val="00786E55"/>
    <w:rsid w:val="007928A2"/>
    <w:rsid w:val="007B173B"/>
    <w:rsid w:val="007C2945"/>
    <w:rsid w:val="007D38FD"/>
    <w:rsid w:val="007F63F1"/>
    <w:rsid w:val="008079F1"/>
    <w:rsid w:val="00812109"/>
    <w:rsid w:val="00813780"/>
    <w:rsid w:val="008166DE"/>
    <w:rsid w:val="00817D8B"/>
    <w:rsid w:val="00822364"/>
    <w:rsid w:val="00832600"/>
    <w:rsid w:val="00845602"/>
    <w:rsid w:val="00850ABA"/>
    <w:rsid w:val="00854090"/>
    <w:rsid w:val="00856432"/>
    <w:rsid w:val="008569AC"/>
    <w:rsid w:val="0087184B"/>
    <w:rsid w:val="00871B3B"/>
    <w:rsid w:val="008812C0"/>
    <w:rsid w:val="00881EB4"/>
    <w:rsid w:val="00883C66"/>
    <w:rsid w:val="008A18E6"/>
    <w:rsid w:val="008B029E"/>
    <w:rsid w:val="008B73C3"/>
    <w:rsid w:val="008C5385"/>
    <w:rsid w:val="008C5ADC"/>
    <w:rsid w:val="008C789F"/>
    <w:rsid w:val="008D6C4B"/>
    <w:rsid w:val="008D72FE"/>
    <w:rsid w:val="008F3F52"/>
    <w:rsid w:val="00910E5C"/>
    <w:rsid w:val="00926943"/>
    <w:rsid w:val="009320FD"/>
    <w:rsid w:val="00932391"/>
    <w:rsid w:val="009343C2"/>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0CD1"/>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418"/>
    <w:rsid w:val="00AA352A"/>
    <w:rsid w:val="00AA474D"/>
    <w:rsid w:val="00AD2976"/>
    <w:rsid w:val="00AE251C"/>
    <w:rsid w:val="00AE333C"/>
    <w:rsid w:val="00AE3C6E"/>
    <w:rsid w:val="00AE7D68"/>
    <w:rsid w:val="00AF0CA7"/>
    <w:rsid w:val="00B02C62"/>
    <w:rsid w:val="00B138F5"/>
    <w:rsid w:val="00B17C27"/>
    <w:rsid w:val="00B224E1"/>
    <w:rsid w:val="00B22D70"/>
    <w:rsid w:val="00B305C5"/>
    <w:rsid w:val="00B34547"/>
    <w:rsid w:val="00B36C5B"/>
    <w:rsid w:val="00B44B09"/>
    <w:rsid w:val="00B5000B"/>
    <w:rsid w:val="00B5397D"/>
    <w:rsid w:val="00B5620D"/>
    <w:rsid w:val="00B6560B"/>
    <w:rsid w:val="00B7124B"/>
    <w:rsid w:val="00B76557"/>
    <w:rsid w:val="00B87299"/>
    <w:rsid w:val="00B927B6"/>
    <w:rsid w:val="00BA74AF"/>
    <w:rsid w:val="00BC106F"/>
    <w:rsid w:val="00BD0FFD"/>
    <w:rsid w:val="00BD5835"/>
    <w:rsid w:val="00BE0126"/>
    <w:rsid w:val="00BE5A1A"/>
    <w:rsid w:val="00BF7A8E"/>
    <w:rsid w:val="00C0539B"/>
    <w:rsid w:val="00C15E3F"/>
    <w:rsid w:val="00C354B8"/>
    <w:rsid w:val="00C367EC"/>
    <w:rsid w:val="00C43333"/>
    <w:rsid w:val="00C57EE2"/>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5673B"/>
    <w:rsid w:val="00F62687"/>
    <w:rsid w:val="00F72EFF"/>
    <w:rsid w:val="00F7389E"/>
    <w:rsid w:val="00F7695E"/>
    <w:rsid w:val="00F80588"/>
    <w:rsid w:val="00F84ABA"/>
    <w:rsid w:val="00F87F94"/>
    <w:rsid w:val="00F9623D"/>
    <w:rsid w:val="00FA66B4"/>
    <w:rsid w:val="00FB3287"/>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A3B4-4F7F-4F34-A3EA-84CC19BF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2024-05-08T01:45:00Z</cp:lastPrinted>
  <dcterms:created xsi:type="dcterms:W3CDTF">2025-11-13T03:45:00Z</dcterms:created>
  <dcterms:modified xsi:type="dcterms:W3CDTF">2025-11-13T03:45:00Z</dcterms:modified>
</cp:coreProperties>
</file>