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1F" w:rsidRDefault="006D541F" w:rsidP="006D541F">
      <w:pPr>
        <w:spacing w:before="40" w:after="40"/>
        <w:ind w:firstLine="284"/>
        <w:jc w:val="center"/>
        <w:rPr>
          <w:b/>
          <w:sz w:val="26"/>
          <w:szCs w:val="26"/>
        </w:rPr>
      </w:pPr>
      <w:proofErr w:type="spellStart"/>
      <w:r w:rsidRPr="00011486">
        <w:rPr>
          <w:b/>
          <w:sz w:val="26"/>
          <w:szCs w:val="26"/>
        </w:rPr>
        <w:t>Chương</w:t>
      </w:r>
      <w:proofErr w:type="spellEnd"/>
      <w:r w:rsidRPr="00011486">
        <w:rPr>
          <w:b/>
          <w:sz w:val="26"/>
          <w:szCs w:val="26"/>
        </w:rPr>
        <w:t xml:space="preserve"> III.</w:t>
      </w:r>
      <w:r w:rsidR="0045215C">
        <w:rPr>
          <w:b/>
          <w:sz w:val="26"/>
          <w:szCs w:val="26"/>
        </w:rPr>
        <w:t xml:space="preserve"> </w:t>
      </w:r>
      <w:proofErr w:type="spellStart"/>
      <w:r w:rsidR="0045215C">
        <w:rPr>
          <w:b/>
          <w:sz w:val="26"/>
          <w:szCs w:val="26"/>
        </w:rPr>
        <w:t>Tiêu</w:t>
      </w:r>
      <w:proofErr w:type="spellEnd"/>
      <w:r w:rsidR="0045215C">
        <w:rPr>
          <w:b/>
          <w:sz w:val="26"/>
          <w:szCs w:val="26"/>
        </w:rPr>
        <w:t xml:space="preserve"> </w:t>
      </w:r>
      <w:proofErr w:type="spellStart"/>
      <w:r w:rsidR="0045215C">
        <w:rPr>
          <w:b/>
          <w:sz w:val="26"/>
          <w:szCs w:val="26"/>
        </w:rPr>
        <w:t>chuẩn</w:t>
      </w:r>
      <w:proofErr w:type="spellEnd"/>
      <w:r w:rsidR="0045215C">
        <w:rPr>
          <w:b/>
          <w:sz w:val="26"/>
          <w:szCs w:val="26"/>
        </w:rPr>
        <w:t xml:space="preserve"> </w:t>
      </w:r>
      <w:proofErr w:type="spellStart"/>
      <w:r w:rsidR="0045215C">
        <w:rPr>
          <w:b/>
          <w:sz w:val="26"/>
          <w:szCs w:val="26"/>
        </w:rPr>
        <w:t>đánh</w:t>
      </w:r>
      <w:proofErr w:type="spellEnd"/>
      <w:r w:rsidR="0045215C">
        <w:rPr>
          <w:b/>
          <w:sz w:val="26"/>
          <w:szCs w:val="26"/>
        </w:rPr>
        <w:t xml:space="preserve"> </w:t>
      </w:r>
      <w:proofErr w:type="spellStart"/>
      <w:r w:rsidR="0045215C">
        <w:rPr>
          <w:b/>
          <w:sz w:val="26"/>
          <w:szCs w:val="26"/>
        </w:rPr>
        <w:t>giá</w:t>
      </w:r>
      <w:proofErr w:type="spellEnd"/>
      <w:r w:rsidR="0045215C">
        <w:rPr>
          <w:b/>
          <w:sz w:val="26"/>
          <w:szCs w:val="26"/>
        </w:rPr>
        <w:t xml:space="preserve"> E-HSDT</w:t>
      </w:r>
    </w:p>
    <w:p w:rsidR="0045215C" w:rsidRDefault="0045215C" w:rsidP="006D541F">
      <w:pPr>
        <w:spacing w:before="40" w:after="40"/>
        <w:ind w:firstLine="284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Mục</w:t>
      </w:r>
      <w:proofErr w:type="spellEnd"/>
      <w:r>
        <w:rPr>
          <w:b/>
          <w:sz w:val="26"/>
          <w:szCs w:val="26"/>
        </w:rPr>
        <w:t xml:space="preserve"> 3. </w:t>
      </w:r>
      <w:proofErr w:type="spellStart"/>
      <w:r>
        <w:rPr>
          <w:b/>
          <w:sz w:val="26"/>
          <w:szCs w:val="26"/>
        </w:rPr>
        <w:t>Tiêu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chuẩn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đánh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kỹ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thuật</w:t>
      </w:r>
      <w:proofErr w:type="spellEnd"/>
    </w:p>
    <w:p w:rsidR="009E76C3" w:rsidRPr="00011486" w:rsidRDefault="009E76C3" w:rsidP="006D541F">
      <w:pPr>
        <w:spacing w:before="40" w:after="40"/>
        <w:ind w:firstLine="284"/>
        <w:jc w:val="center"/>
        <w:rPr>
          <w:b/>
          <w:sz w:val="26"/>
          <w:szCs w:val="26"/>
        </w:rPr>
      </w:pPr>
    </w:p>
    <w:p w:rsidR="006D541F" w:rsidRDefault="006D541F" w:rsidP="009E76C3">
      <w:pPr>
        <w:pStyle w:val="TOC1"/>
        <w:rPr>
          <w:rFonts w:hint="eastAsia"/>
        </w:rPr>
      </w:pPr>
    </w:p>
    <w:p w:rsidR="00673EEE" w:rsidRPr="008A5823" w:rsidRDefault="00673EEE" w:rsidP="009E76C3">
      <w:pPr>
        <w:pStyle w:val="TOC1"/>
        <w:rPr>
          <w:rFonts w:hint="eastAsia"/>
        </w:rPr>
      </w:pPr>
      <w:r w:rsidRPr="008A5823">
        <w:t xml:space="preserve">Mục </w:t>
      </w:r>
      <w:r w:rsidRPr="008A5823">
        <w:rPr>
          <w:lang w:val="pl-PL"/>
        </w:rPr>
        <w:t>3</w:t>
      </w:r>
      <w:r w:rsidRPr="008A5823">
        <w:t>. Tiêu chuẩn đánh giá về kỹ thuật</w:t>
      </w:r>
    </w:p>
    <w:p w:rsidR="00673EEE" w:rsidRPr="008A5823" w:rsidRDefault="00673EEE" w:rsidP="00673EEE">
      <w:pPr>
        <w:spacing w:before="40" w:after="40"/>
        <w:ind w:firstLine="567"/>
        <w:rPr>
          <w:sz w:val="28"/>
          <w:szCs w:val="28"/>
          <w:lang w:val="es-ES"/>
        </w:rPr>
      </w:pPr>
      <w:proofErr w:type="spellStart"/>
      <w:r w:rsidRPr="008A5823">
        <w:rPr>
          <w:sz w:val="28"/>
          <w:szCs w:val="28"/>
          <w:lang w:val="es-ES"/>
        </w:rPr>
        <w:t>Đối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với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các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tiêu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chí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đánh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giá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tổng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quát</w:t>
      </w:r>
      <w:proofErr w:type="spellEnd"/>
      <w:r w:rsidRPr="008A5823">
        <w:rPr>
          <w:sz w:val="28"/>
          <w:szCs w:val="28"/>
          <w:lang w:val="es-ES"/>
        </w:rPr>
        <w:t xml:space="preserve">, </w:t>
      </w:r>
      <w:proofErr w:type="spellStart"/>
      <w:r w:rsidRPr="008A5823">
        <w:rPr>
          <w:sz w:val="28"/>
          <w:szCs w:val="28"/>
          <w:lang w:val="es-ES"/>
        </w:rPr>
        <w:t>chỉ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sử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dụng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tiêu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chí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đạt</w:t>
      </w:r>
      <w:proofErr w:type="spellEnd"/>
      <w:r w:rsidRPr="008A5823">
        <w:rPr>
          <w:sz w:val="28"/>
          <w:szCs w:val="28"/>
          <w:lang w:val="es-ES"/>
        </w:rPr>
        <w:t xml:space="preserve">, </w:t>
      </w:r>
      <w:proofErr w:type="spellStart"/>
      <w:r w:rsidRPr="008A5823">
        <w:rPr>
          <w:sz w:val="28"/>
          <w:szCs w:val="28"/>
          <w:lang w:val="es-ES"/>
        </w:rPr>
        <w:t>không</w:t>
      </w:r>
      <w:proofErr w:type="spellEnd"/>
      <w:r w:rsidRPr="008A5823">
        <w:rPr>
          <w:sz w:val="28"/>
          <w:szCs w:val="28"/>
          <w:lang w:val="es-ES"/>
        </w:rPr>
        <w:t xml:space="preserve"> </w:t>
      </w:r>
      <w:proofErr w:type="spellStart"/>
      <w:r w:rsidRPr="008A5823">
        <w:rPr>
          <w:sz w:val="28"/>
          <w:szCs w:val="28"/>
          <w:lang w:val="es-ES"/>
        </w:rPr>
        <w:t>đạt</w:t>
      </w:r>
      <w:proofErr w:type="spellEnd"/>
      <w:r w:rsidRPr="008A5823">
        <w:rPr>
          <w:sz w:val="28"/>
          <w:szCs w:val="28"/>
          <w:lang w:val="es-ES"/>
        </w:rPr>
        <w:t>.</w:t>
      </w:r>
    </w:p>
    <w:p w:rsidR="00673EEE" w:rsidRPr="008A5823" w:rsidRDefault="00673EEE" w:rsidP="00673EEE">
      <w:pPr>
        <w:spacing w:before="40" w:after="40"/>
        <w:ind w:firstLine="567"/>
        <w:rPr>
          <w:sz w:val="28"/>
          <w:szCs w:val="26"/>
          <w:lang w:val="es-ES"/>
        </w:rPr>
      </w:pPr>
      <w:r w:rsidRPr="008A5823">
        <w:rPr>
          <w:bCs/>
          <w:sz w:val="28"/>
          <w:szCs w:val="26"/>
          <w:lang w:val="nl-NL"/>
        </w:rPr>
        <w:t>Các chức năng,</w:t>
      </w:r>
      <w:r w:rsidR="0077284E">
        <w:rPr>
          <w:bCs/>
          <w:sz w:val="28"/>
          <w:szCs w:val="26"/>
          <w:lang w:val="nl-NL"/>
        </w:rPr>
        <w:t xml:space="preserve"> thông số kỹ thuật </w:t>
      </w:r>
      <w:r w:rsidRPr="008A5823">
        <w:rPr>
          <w:bCs/>
          <w:sz w:val="28"/>
          <w:szCs w:val="26"/>
          <w:lang w:val="nl-NL"/>
        </w:rPr>
        <w:t>được đánh giá trên cơ</w:t>
      </w:r>
      <w:r w:rsidR="004432DF">
        <w:rPr>
          <w:bCs/>
          <w:sz w:val="28"/>
          <w:szCs w:val="26"/>
          <w:lang w:val="nl-NL"/>
        </w:rPr>
        <w:t xml:space="preserve"> sở tài liệu của Nhà sản xuất</w:t>
      </w:r>
      <w:r w:rsidRPr="008A5823">
        <w:rPr>
          <w:bCs/>
          <w:sz w:val="28"/>
          <w:szCs w:val="26"/>
          <w:lang w:val="nl-NL"/>
        </w:rPr>
        <w:t>. Trong trườn</w:t>
      </w:r>
      <w:r w:rsidR="004432DF">
        <w:rPr>
          <w:bCs/>
          <w:sz w:val="28"/>
          <w:szCs w:val="26"/>
          <w:lang w:val="nl-NL"/>
        </w:rPr>
        <w:t xml:space="preserve">g hợp có sự khác nhau giữa tuyên bố đáp ứng </w:t>
      </w:r>
      <w:r w:rsidRPr="008A5823">
        <w:rPr>
          <w:bCs/>
          <w:sz w:val="28"/>
          <w:szCs w:val="26"/>
          <w:lang w:val="nl-NL"/>
        </w:rPr>
        <w:t>của nhà thầu và tài liệu của nhà sản xuất thì lấy tài liệu của nhà sản xuất làm cơ sở để đánh giá.</w:t>
      </w:r>
      <w:r w:rsidRPr="008A5823">
        <w:rPr>
          <w:sz w:val="28"/>
          <w:szCs w:val="26"/>
          <w:lang w:val="es-ES"/>
        </w:rPr>
        <w:t xml:space="preserve"> </w:t>
      </w:r>
    </w:p>
    <w:p w:rsidR="00282384" w:rsidRPr="00282384" w:rsidRDefault="00673EEE" w:rsidP="00282384">
      <w:pPr>
        <w:spacing w:before="40" w:after="360"/>
        <w:ind w:firstLine="567"/>
        <w:rPr>
          <w:sz w:val="28"/>
          <w:szCs w:val="26"/>
          <w:lang w:val="es-ES"/>
        </w:rPr>
      </w:pPr>
      <w:r w:rsidRPr="008A5823">
        <w:rPr>
          <w:sz w:val="28"/>
          <w:szCs w:val="26"/>
          <w:lang w:val="es-ES"/>
        </w:rPr>
        <w:t xml:space="preserve">E-HSDT </w:t>
      </w:r>
      <w:proofErr w:type="spellStart"/>
      <w:r w:rsidRPr="008A5823">
        <w:rPr>
          <w:sz w:val="28"/>
          <w:szCs w:val="26"/>
          <w:lang w:val="es-ES"/>
        </w:rPr>
        <w:t>được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đánh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giá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là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đáp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ứng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yêu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cầu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về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kỹ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thuật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khi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có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tất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cả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các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tiêu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chí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tổng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quát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đều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được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đánh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giá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là</w:t>
      </w:r>
      <w:proofErr w:type="spellEnd"/>
      <w:r w:rsidRPr="008A5823">
        <w:rPr>
          <w:sz w:val="28"/>
          <w:szCs w:val="26"/>
          <w:lang w:val="es-ES"/>
        </w:rPr>
        <w:t xml:space="preserve"> </w:t>
      </w:r>
      <w:proofErr w:type="spellStart"/>
      <w:r w:rsidRPr="008A5823">
        <w:rPr>
          <w:sz w:val="28"/>
          <w:szCs w:val="26"/>
          <w:lang w:val="es-ES"/>
        </w:rPr>
        <w:t>đạt</w:t>
      </w:r>
      <w:proofErr w:type="spellEnd"/>
      <w:r w:rsidRPr="008A5823">
        <w:rPr>
          <w:sz w:val="28"/>
          <w:szCs w:val="26"/>
          <w:lang w:val="es-ES"/>
        </w:rPr>
        <w:t>.</w:t>
      </w:r>
    </w:p>
    <w:tbl>
      <w:tblPr>
        <w:tblW w:w="5220" w:type="pct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345"/>
        <w:gridCol w:w="1754"/>
        <w:gridCol w:w="2013"/>
      </w:tblGrid>
      <w:tr w:rsidR="008C0963" w:rsidRPr="008A5823" w:rsidTr="004E54C7">
        <w:trPr>
          <w:trHeight w:val="330"/>
          <w:tblHeader/>
          <w:jc w:val="center"/>
        </w:trPr>
        <w:tc>
          <w:tcPr>
            <w:tcW w:w="491" w:type="pct"/>
            <w:vMerge w:val="restart"/>
            <w:tcBorders>
              <w:right w:val="single" w:sz="4" w:space="0" w:color="auto"/>
            </w:tcBorders>
          </w:tcPr>
          <w:p w:rsidR="00673EEE" w:rsidRPr="008A5823" w:rsidRDefault="00673EEE" w:rsidP="004E6C06">
            <w:pPr>
              <w:jc w:val="center"/>
              <w:rPr>
                <w:b/>
                <w:sz w:val="26"/>
                <w:szCs w:val="26"/>
              </w:rPr>
            </w:pPr>
            <w:r w:rsidRPr="008A582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645" w:type="pct"/>
            <w:vMerge w:val="restart"/>
            <w:tcBorders>
              <w:left w:val="single" w:sz="4" w:space="0" w:color="auto"/>
            </w:tcBorders>
          </w:tcPr>
          <w:p w:rsidR="00673EEE" w:rsidRPr="008A5823" w:rsidRDefault="00673EEE" w:rsidP="004E6C0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A5823">
              <w:rPr>
                <w:b/>
                <w:sz w:val="26"/>
                <w:szCs w:val="26"/>
              </w:rPr>
              <w:t>Nội</w:t>
            </w:r>
            <w:proofErr w:type="spellEnd"/>
            <w:r w:rsidRPr="008A5823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A5823">
              <w:rPr>
                <w:b/>
                <w:sz w:val="26"/>
                <w:szCs w:val="26"/>
              </w:rPr>
              <w:t>yêu</w:t>
            </w:r>
            <w:proofErr w:type="spellEnd"/>
            <w:r w:rsidRPr="008A58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864" w:type="pct"/>
            <w:gridSpan w:val="2"/>
          </w:tcPr>
          <w:p w:rsidR="00673EEE" w:rsidRPr="008A5823" w:rsidRDefault="00673EEE" w:rsidP="004E6C0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A5823">
              <w:rPr>
                <w:b/>
                <w:sz w:val="26"/>
                <w:szCs w:val="26"/>
              </w:rPr>
              <w:t>Mức</w:t>
            </w:r>
            <w:proofErr w:type="spellEnd"/>
            <w:r w:rsidRPr="008A58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b/>
                <w:sz w:val="26"/>
                <w:szCs w:val="26"/>
              </w:rPr>
              <w:t>đáp</w:t>
            </w:r>
            <w:proofErr w:type="spellEnd"/>
            <w:r w:rsidRPr="008A58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C0963" w:rsidRPr="008A5823" w:rsidTr="004E54C7">
        <w:trPr>
          <w:trHeight w:val="407"/>
          <w:tblHeader/>
          <w:jc w:val="center"/>
        </w:trPr>
        <w:tc>
          <w:tcPr>
            <w:tcW w:w="491" w:type="pct"/>
            <w:vMerge/>
            <w:tcBorders>
              <w:right w:val="single" w:sz="4" w:space="0" w:color="auto"/>
            </w:tcBorders>
          </w:tcPr>
          <w:p w:rsidR="00673EEE" w:rsidRPr="008A5823" w:rsidRDefault="00673EEE" w:rsidP="004E6C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45" w:type="pct"/>
            <w:vMerge/>
            <w:tcBorders>
              <w:left w:val="single" w:sz="4" w:space="0" w:color="auto"/>
            </w:tcBorders>
          </w:tcPr>
          <w:p w:rsidR="00673EEE" w:rsidRPr="008A5823" w:rsidRDefault="00673EEE" w:rsidP="004E6C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8" w:type="pct"/>
            <w:vAlign w:val="center"/>
          </w:tcPr>
          <w:p w:rsidR="00673EEE" w:rsidRPr="008A5823" w:rsidRDefault="00673EEE" w:rsidP="004E6C0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A5823">
              <w:rPr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996" w:type="pct"/>
            <w:vAlign w:val="center"/>
          </w:tcPr>
          <w:p w:rsidR="00673EEE" w:rsidRPr="008A5823" w:rsidRDefault="00673EEE" w:rsidP="004E6C0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A5823">
              <w:rPr>
                <w:b/>
                <w:sz w:val="26"/>
                <w:szCs w:val="26"/>
              </w:rPr>
              <w:t>Không</w:t>
            </w:r>
            <w:proofErr w:type="spellEnd"/>
            <w:r w:rsidRPr="008A58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C0963" w:rsidRPr="008A5823" w:rsidTr="004E54C7">
        <w:trPr>
          <w:trHeight w:val="567"/>
          <w:jc w:val="center"/>
        </w:trPr>
        <w:tc>
          <w:tcPr>
            <w:tcW w:w="491" w:type="pct"/>
            <w:vAlign w:val="center"/>
          </w:tcPr>
          <w:p w:rsidR="00673EEE" w:rsidRPr="008A5823" w:rsidRDefault="00673EEE" w:rsidP="004E6C06">
            <w:pPr>
              <w:jc w:val="center"/>
              <w:rPr>
                <w:b/>
                <w:sz w:val="26"/>
                <w:szCs w:val="26"/>
              </w:rPr>
            </w:pPr>
            <w:r w:rsidRPr="008A582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509" w:type="pct"/>
            <w:gridSpan w:val="3"/>
            <w:vAlign w:val="center"/>
          </w:tcPr>
          <w:p w:rsidR="00673EEE" w:rsidRPr="008A5823" w:rsidRDefault="00B51223" w:rsidP="004E6C06">
            <w:pPr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kỹ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thuật</w:t>
            </w:r>
            <w:proofErr w:type="spellEnd"/>
          </w:p>
        </w:tc>
      </w:tr>
      <w:tr w:rsidR="004E54C7" w:rsidRPr="00290490" w:rsidTr="004E54C7">
        <w:trPr>
          <w:trHeight w:val="510"/>
          <w:jc w:val="center"/>
        </w:trPr>
        <w:tc>
          <w:tcPr>
            <w:tcW w:w="491" w:type="pct"/>
            <w:vAlign w:val="center"/>
          </w:tcPr>
          <w:p w:rsidR="004E54C7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45" w:type="pct"/>
            <w:vAlign w:val="center"/>
          </w:tcPr>
          <w:p w:rsidR="004E54C7" w:rsidRPr="009446F5" w:rsidRDefault="004E54C7" w:rsidP="004E54C7">
            <w:pPr>
              <w:tabs>
                <w:tab w:val="right" w:pos="142"/>
              </w:tabs>
              <w:spacing w:before="20"/>
              <w:ind w:right="51"/>
              <w:rPr>
                <w:color w:val="000000"/>
                <w:sz w:val="26"/>
                <w:szCs w:val="26"/>
                <w:lang w:val="vi-VN"/>
              </w:rPr>
            </w:pPr>
            <w:r w:rsidRPr="007933F0">
              <w:rPr>
                <w:bCs/>
                <w:sz w:val="26"/>
                <w:szCs w:val="26"/>
                <w:lang w:val="nl-NL"/>
              </w:rPr>
              <w:t xml:space="preserve">Kê khai thông tin </w:t>
            </w:r>
            <w:r>
              <w:rPr>
                <w:bCs/>
                <w:sz w:val="26"/>
                <w:szCs w:val="26"/>
                <w:lang w:val="nl-NL"/>
              </w:rPr>
              <w:t xml:space="preserve">về hàng hóa </w:t>
            </w:r>
            <w:r w:rsidRPr="007933F0">
              <w:rPr>
                <w:bCs/>
                <w:sz w:val="26"/>
                <w:szCs w:val="26"/>
                <w:lang w:val="nl-NL"/>
              </w:rPr>
              <w:t>t</w:t>
            </w:r>
            <w:r>
              <w:rPr>
                <w:bCs/>
                <w:sz w:val="26"/>
                <w:szCs w:val="26"/>
                <w:lang w:val="nl-NL"/>
              </w:rPr>
              <w:t>rong Mẫu số 10B – Chương IV</w:t>
            </w:r>
            <w:r w:rsidRPr="007933F0">
              <w:rPr>
                <w:bCs/>
                <w:sz w:val="26"/>
                <w:szCs w:val="26"/>
                <w:lang w:val="nl-NL"/>
              </w:rPr>
              <w:t xml:space="preserve"> E-HSMT</w:t>
            </w:r>
            <w:r>
              <w:rPr>
                <w:bCs/>
                <w:sz w:val="26"/>
                <w:szCs w:val="26"/>
                <w:lang w:val="nl-NL"/>
              </w:rPr>
              <w:t xml:space="preserve"> theo đúng quy định</w:t>
            </w:r>
            <w:bookmarkStart w:id="0" w:name="_GoBack"/>
            <w:bookmarkEnd w:id="0"/>
          </w:p>
        </w:tc>
        <w:tc>
          <w:tcPr>
            <w:tcW w:w="868" w:type="pct"/>
            <w:vAlign w:val="center"/>
          </w:tcPr>
          <w:p w:rsidR="004E54C7" w:rsidRPr="007C5BAC" w:rsidRDefault="004E54C7" w:rsidP="004E54C7">
            <w:pPr>
              <w:spacing w:before="20"/>
              <w:jc w:val="center"/>
              <w:rPr>
                <w:sz w:val="26"/>
                <w:szCs w:val="26"/>
                <w:lang w:val="vi-VN"/>
              </w:rPr>
            </w:pPr>
            <w:r w:rsidRPr="007C5BAC">
              <w:rPr>
                <w:sz w:val="26"/>
                <w:szCs w:val="26"/>
                <w:lang w:val="vi-VN"/>
              </w:rPr>
              <w:t>Đáp ứng</w:t>
            </w:r>
          </w:p>
        </w:tc>
        <w:tc>
          <w:tcPr>
            <w:tcW w:w="996" w:type="pct"/>
            <w:vAlign w:val="center"/>
          </w:tcPr>
          <w:p w:rsidR="004E54C7" w:rsidRDefault="004E54C7" w:rsidP="004E54C7">
            <w:pPr>
              <w:jc w:val="center"/>
            </w:pPr>
            <w:r w:rsidRPr="00864294">
              <w:rPr>
                <w:sz w:val="26"/>
                <w:szCs w:val="26"/>
                <w:lang w:val="vi-VN"/>
              </w:rPr>
              <w:t>Không đáp ứng</w:t>
            </w:r>
          </w:p>
        </w:tc>
      </w:tr>
      <w:tr w:rsidR="004E54C7" w:rsidRPr="00290490" w:rsidTr="004E54C7">
        <w:trPr>
          <w:trHeight w:val="510"/>
          <w:jc w:val="center"/>
        </w:trPr>
        <w:tc>
          <w:tcPr>
            <w:tcW w:w="491" w:type="pct"/>
            <w:vAlign w:val="center"/>
          </w:tcPr>
          <w:p w:rsidR="004E54C7" w:rsidRPr="00290490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45" w:type="pct"/>
            <w:vAlign w:val="center"/>
          </w:tcPr>
          <w:p w:rsidR="004E54C7" w:rsidRDefault="004E54C7" w:rsidP="004E54C7">
            <w:pPr>
              <w:tabs>
                <w:tab w:val="right" w:pos="142"/>
              </w:tabs>
              <w:spacing w:before="20"/>
              <w:ind w:right="51"/>
              <w:jc w:val="left"/>
              <w:rPr>
                <w:color w:val="000000"/>
                <w:sz w:val="26"/>
                <w:szCs w:val="26"/>
                <w:lang w:val="vi-VN"/>
              </w:rPr>
            </w:pPr>
            <w:r w:rsidRPr="009446F5">
              <w:rPr>
                <w:color w:val="000000"/>
                <w:sz w:val="26"/>
                <w:szCs w:val="26"/>
                <w:lang w:val="vi-VN"/>
              </w:rPr>
              <w:t>Loại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9446F5">
              <w:rPr>
                <w:color w:val="000000"/>
                <w:sz w:val="26"/>
                <w:szCs w:val="26"/>
                <w:lang w:val="vi-VN"/>
              </w:rPr>
              <w:t xml:space="preserve">: </w:t>
            </w:r>
            <w:r w:rsidRPr="00E44E2B">
              <w:rPr>
                <w:color w:val="000000"/>
                <w:sz w:val="26"/>
                <w:szCs w:val="26"/>
                <w:lang w:val="vi-VN"/>
              </w:rPr>
              <w:t>tự động</w:t>
            </w:r>
            <w:r w:rsidRPr="00115AC0">
              <w:rPr>
                <w:color w:val="000000"/>
                <w:sz w:val="26"/>
                <w:szCs w:val="26"/>
                <w:lang w:val="vi-VN"/>
              </w:rPr>
              <w:t xml:space="preserve"> tháo lắp lốp </w:t>
            </w:r>
            <w:r w:rsidRPr="0004542C">
              <w:rPr>
                <w:color w:val="000000"/>
                <w:sz w:val="26"/>
                <w:szCs w:val="26"/>
                <w:lang w:val="vi-VN"/>
              </w:rPr>
              <w:t xml:space="preserve">của </w:t>
            </w:r>
            <w:r w:rsidRPr="00115AC0">
              <w:rPr>
                <w:color w:val="000000"/>
                <w:sz w:val="26"/>
                <w:szCs w:val="26"/>
                <w:lang w:val="vi-VN"/>
              </w:rPr>
              <w:t>xe tải</w:t>
            </w:r>
            <w:r w:rsidRPr="00A10394">
              <w:rPr>
                <w:color w:val="000000"/>
                <w:sz w:val="26"/>
                <w:szCs w:val="26"/>
                <w:lang w:val="vi-VN"/>
              </w:rPr>
              <w:t xml:space="preserve">, </w:t>
            </w:r>
          </w:p>
          <w:p w:rsidR="004E54C7" w:rsidRPr="004D7842" w:rsidRDefault="004E54C7" w:rsidP="004E54C7">
            <w:pPr>
              <w:tabs>
                <w:tab w:val="right" w:pos="142"/>
              </w:tabs>
              <w:spacing w:before="20"/>
              <w:ind w:right="51"/>
              <w:jc w:val="left"/>
              <w:rPr>
                <w:color w:val="000000"/>
                <w:sz w:val="26"/>
                <w:szCs w:val="26"/>
                <w:lang w:val="vi-VN"/>
              </w:rPr>
            </w:pPr>
            <w:r w:rsidRPr="00A10394">
              <w:rPr>
                <w:color w:val="000000"/>
                <w:sz w:val="26"/>
                <w:szCs w:val="26"/>
                <w:lang w:val="vi-VN"/>
              </w:rPr>
              <w:t>xe buýt</w:t>
            </w:r>
            <w:r w:rsidRPr="00115AC0">
              <w:rPr>
                <w:color w:val="000000"/>
                <w:sz w:val="26"/>
                <w:szCs w:val="26"/>
                <w:lang w:val="vi-VN"/>
              </w:rPr>
              <w:t xml:space="preserve"> và xe đặc chủng/chuyên dụng</w:t>
            </w:r>
          </w:p>
        </w:tc>
        <w:tc>
          <w:tcPr>
            <w:tcW w:w="868" w:type="pct"/>
            <w:vAlign w:val="center"/>
          </w:tcPr>
          <w:p w:rsidR="004E54C7" w:rsidRPr="007C5BAC" w:rsidRDefault="004E54C7" w:rsidP="004E54C7">
            <w:pPr>
              <w:spacing w:before="20"/>
              <w:jc w:val="center"/>
              <w:rPr>
                <w:sz w:val="26"/>
                <w:szCs w:val="26"/>
                <w:lang w:val="vi-VN"/>
              </w:rPr>
            </w:pPr>
            <w:r w:rsidRPr="007C5BAC">
              <w:rPr>
                <w:sz w:val="26"/>
                <w:szCs w:val="26"/>
                <w:lang w:val="vi-VN"/>
              </w:rPr>
              <w:t>Đáp ứng</w:t>
            </w:r>
          </w:p>
        </w:tc>
        <w:tc>
          <w:tcPr>
            <w:tcW w:w="996" w:type="pct"/>
            <w:vAlign w:val="center"/>
          </w:tcPr>
          <w:p w:rsidR="004E54C7" w:rsidRDefault="004E54C7" w:rsidP="004E54C7">
            <w:pPr>
              <w:jc w:val="center"/>
            </w:pPr>
            <w:r w:rsidRPr="00864294">
              <w:rPr>
                <w:sz w:val="26"/>
                <w:szCs w:val="26"/>
                <w:lang w:val="vi-VN"/>
              </w:rPr>
              <w:t>Không đáp ứng</w:t>
            </w:r>
          </w:p>
        </w:tc>
      </w:tr>
      <w:tr w:rsidR="004E54C7" w:rsidRPr="00290490" w:rsidTr="004E54C7">
        <w:trPr>
          <w:trHeight w:val="510"/>
          <w:jc w:val="center"/>
        </w:trPr>
        <w:tc>
          <w:tcPr>
            <w:tcW w:w="491" w:type="pct"/>
            <w:vAlign w:val="center"/>
          </w:tcPr>
          <w:p w:rsidR="004E54C7" w:rsidRPr="00290490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45" w:type="pct"/>
            <w:vAlign w:val="center"/>
          </w:tcPr>
          <w:p w:rsidR="004E54C7" w:rsidRPr="00E1441D" w:rsidRDefault="004E54C7" w:rsidP="004E54C7">
            <w:pPr>
              <w:tabs>
                <w:tab w:val="right" w:pos="142"/>
              </w:tabs>
              <w:spacing w:before="20"/>
              <w:ind w:right="51"/>
              <w:jc w:val="left"/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vi </w:t>
            </w:r>
            <w:proofErr w:type="spellStart"/>
            <w:r>
              <w:rPr>
                <w:color w:val="000000"/>
                <w:sz w:val="26"/>
                <w:szCs w:val="26"/>
              </w:rPr>
              <w:t>kẹp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vành</w:t>
            </w:r>
            <w:proofErr w:type="spellEnd"/>
            <w:r>
              <w:rPr>
                <w:color w:val="000000"/>
                <w:sz w:val="26"/>
                <w:szCs w:val="26"/>
              </w:rPr>
              <w:t>: 14 inch – 56 inch</w:t>
            </w:r>
          </w:p>
        </w:tc>
        <w:tc>
          <w:tcPr>
            <w:tcW w:w="868" w:type="pct"/>
            <w:vAlign w:val="center"/>
          </w:tcPr>
          <w:p w:rsidR="004E54C7" w:rsidRDefault="004E54C7" w:rsidP="004E54C7">
            <w:pPr>
              <w:jc w:val="center"/>
            </w:pPr>
            <w:r w:rsidRPr="00F10C43">
              <w:rPr>
                <w:sz w:val="26"/>
                <w:szCs w:val="26"/>
                <w:lang w:val="vi-VN"/>
              </w:rPr>
              <w:t>Đáp ứng</w:t>
            </w:r>
          </w:p>
        </w:tc>
        <w:tc>
          <w:tcPr>
            <w:tcW w:w="996" w:type="pct"/>
            <w:vAlign w:val="center"/>
          </w:tcPr>
          <w:p w:rsidR="004E54C7" w:rsidRDefault="004E54C7" w:rsidP="004E54C7">
            <w:pPr>
              <w:jc w:val="center"/>
            </w:pPr>
            <w:r w:rsidRPr="00864294">
              <w:rPr>
                <w:sz w:val="26"/>
                <w:szCs w:val="26"/>
                <w:lang w:val="vi-VN"/>
              </w:rPr>
              <w:t>Không đáp ứng</w:t>
            </w:r>
          </w:p>
        </w:tc>
      </w:tr>
      <w:tr w:rsidR="004E54C7" w:rsidRPr="00290490" w:rsidTr="004E54C7">
        <w:trPr>
          <w:trHeight w:val="510"/>
          <w:jc w:val="center"/>
        </w:trPr>
        <w:tc>
          <w:tcPr>
            <w:tcW w:w="491" w:type="pct"/>
            <w:vAlign w:val="center"/>
          </w:tcPr>
          <w:p w:rsidR="004E54C7" w:rsidRDefault="004E54C7" w:rsidP="004E54C7">
            <w:pPr>
              <w:jc w:val="center"/>
            </w:pPr>
            <w:r>
              <w:t>4</w:t>
            </w:r>
          </w:p>
        </w:tc>
        <w:tc>
          <w:tcPr>
            <w:tcW w:w="2645" w:type="pct"/>
            <w:vAlign w:val="center"/>
          </w:tcPr>
          <w:p w:rsidR="004E54C7" w:rsidRPr="009E76C3" w:rsidRDefault="004E54C7" w:rsidP="004E54C7">
            <w:pPr>
              <w:jc w:val="left"/>
            </w:pPr>
            <w:proofErr w:type="spellStart"/>
            <w:r>
              <w:rPr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đa</w:t>
            </w:r>
            <w:proofErr w:type="spellEnd"/>
          </w:p>
        </w:tc>
        <w:tc>
          <w:tcPr>
            <w:tcW w:w="868" w:type="pct"/>
            <w:vAlign w:val="center"/>
          </w:tcPr>
          <w:p w:rsidR="004E54C7" w:rsidRDefault="004E54C7" w:rsidP="004E54C7">
            <w:pPr>
              <w:jc w:val="center"/>
            </w:pPr>
            <w:r w:rsidRPr="00550942">
              <w:rPr>
                <w:color w:val="000000"/>
                <w:sz w:val="26"/>
                <w:szCs w:val="26"/>
              </w:rPr>
              <w:t>≥ 2</w:t>
            </w:r>
            <w:r>
              <w:rPr>
                <w:color w:val="000000"/>
                <w:sz w:val="26"/>
                <w:szCs w:val="26"/>
              </w:rPr>
              <w:t>.</w:t>
            </w:r>
            <w:r w:rsidRPr="00550942">
              <w:rPr>
                <w:color w:val="000000"/>
                <w:sz w:val="26"/>
                <w:szCs w:val="26"/>
              </w:rPr>
              <w:t>500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50942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996" w:type="pct"/>
            <w:vAlign w:val="center"/>
          </w:tcPr>
          <w:p w:rsidR="004E54C7" w:rsidRDefault="004E54C7" w:rsidP="004E54C7">
            <w:pPr>
              <w:jc w:val="center"/>
            </w:pPr>
            <w:r>
              <w:rPr>
                <w:color w:val="000000"/>
                <w:sz w:val="26"/>
                <w:szCs w:val="26"/>
              </w:rPr>
              <w:t>&lt;</w:t>
            </w:r>
            <w:r w:rsidRPr="00550942">
              <w:rPr>
                <w:color w:val="000000"/>
                <w:sz w:val="26"/>
                <w:szCs w:val="26"/>
              </w:rPr>
              <w:t xml:space="preserve"> 2</w:t>
            </w:r>
            <w:r>
              <w:rPr>
                <w:color w:val="000000"/>
                <w:sz w:val="26"/>
                <w:szCs w:val="26"/>
              </w:rPr>
              <w:t>.</w:t>
            </w:r>
            <w:r w:rsidRPr="00550942">
              <w:rPr>
                <w:color w:val="000000"/>
                <w:sz w:val="26"/>
                <w:szCs w:val="26"/>
              </w:rPr>
              <w:t>500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50942">
              <w:rPr>
                <w:color w:val="000000"/>
                <w:sz w:val="26"/>
                <w:szCs w:val="26"/>
              </w:rPr>
              <w:t>mm</w:t>
            </w:r>
          </w:p>
        </w:tc>
      </w:tr>
      <w:tr w:rsidR="004E54C7" w:rsidRPr="00290490" w:rsidTr="004E54C7">
        <w:trPr>
          <w:trHeight w:val="510"/>
          <w:jc w:val="center"/>
        </w:trPr>
        <w:tc>
          <w:tcPr>
            <w:tcW w:w="491" w:type="pct"/>
            <w:vAlign w:val="center"/>
          </w:tcPr>
          <w:p w:rsidR="004E54C7" w:rsidRPr="00290490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45" w:type="pct"/>
            <w:vAlign w:val="center"/>
          </w:tcPr>
          <w:p w:rsidR="004E54C7" w:rsidRPr="009E76C3" w:rsidRDefault="004E54C7" w:rsidP="004E54C7">
            <w:pPr>
              <w:tabs>
                <w:tab w:val="right" w:pos="142"/>
              </w:tabs>
              <w:spacing w:before="20"/>
              <w:ind w:right="51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đa</w:t>
            </w:r>
            <w:proofErr w:type="spellEnd"/>
          </w:p>
        </w:tc>
        <w:tc>
          <w:tcPr>
            <w:tcW w:w="868" w:type="pct"/>
            <w:vAlign w:val="center"/>
          </w:tcPr>
          <w:p w:rsidR="004E54C7" w:rsidRDefault="004E54C7" w:rsidP="004E54C7">
            <w:pPr>
              <w:jc w:val="center"/>
            </w:pPr>
            <w:r w:rsidRPr="00550942">
              <w:rPr>
                <w:color w:val="000000"/>
                <w:sz w:val="26"/>
                <w:szCs w:val="26"/>
              </w:rPr>
              <w:t xml:space="preserve">≥ 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550942">
              <w:rPr>
                <w:color w:val="000000"/>
                <w:sz w:val="26"/>
                <w:szCs w:val="26"/>
              </w:rPr>
              <w:t>200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50942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996" w:type="pct"/>
            <w:vAlign w:val="center"/>
          </w:tcPr>
          <w:p w:rsidR="004E54C7" w:rsidRDefault="004E54C7" w:rsidP="004E54C7">
            <w:pPr>
              <w:jc w:val="center"/>
            </w:pPr>
            <w:r>
              <w:rPr>
                <w:color w:val="000000"/>
                <w:sz w:val="26"/>
                <w:szCs w:val="26"/>
              </w:rPr>
              <w:t>&lt;</w:t>
            </w:r>
            <w:r w:rsidRPr="0055094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550942">
              <w:rPr>
                <w:color w:val="000000"/>
                <w:sz w:val="26"/>
                <w:szCs w:val="26"/>
              </w:rPr>
              <w:t>200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50942">
              <w:rPr>
                <w:color w:val="000000"/>
                <w:sz w:val="26"/>
                <w:szCs w:val="26"/>
              </w:rPr>
              <w:t>mm</w:t>
            </w:r>
          </w:p>
        </w:tc>
      </w:tr>
      <w:tr w:rsidR="004E54C7" w:rsidRPr="00290490" w:rsidTr="004E54C7">
        <w:trPr>
          <w:trHeight w:val="510"/>
          <w:jc w:val="center"/>
        </w:trPr>
        <w:tc>
          <w:tcPr>
            <w:tcW w:w="491" w:type="pct"/>
            <w:vAlign w:val="center"/>
          </w:tcPr>
          <w:p w:rsidR="004E54C7" w:rsidRPr="00290490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45" w:type="pct"/>
            <w:vAlign w:val="center"/>
          </w:tcPr>
          <w:p w:rsidR="004E54C7" w:rsidRPr="00E1441D" w:rsidRDefault="004E54C7" w:rsidP="004E54C7">
            <w:pPr>
              <w:tabs>
                <w:tab w:val="right" w:pos="142"/>
              </w:tabs>
              <w:spacing w:before="20"/>
              <w:ind w:right="51"/>
              <w:jc w:val="left"/>
              <w:rPr>
                <w:color w:val="000000"/>
                <w:sz w:val="26"/>
                <w:szCs w:val="26"/>
                <w:lang w:val="vi-VN"/>
              </w:rPr>
            </w:pPr>
            <w:r w:rsidRPr="00550942">
              <w:rPr>
                <w:color w:val="000000"/>
                <w:sz w:val="26"/>
                <w:szCs w:val="26"/>
                <w:lang w:val="vi-VN"/>
              </w:rPr>
              <w:t>Trọng lượng bánh xe tối đa</w:t>
            </w:r>
          </w:p>
        </w:tc>
        <w:tc>
          <w:tcPr>
            <w:tcW w:w="868" w:type="pct"/>
            <w:vAlign w:val="center"/>
          </w:tcPr>
          <w:p w:rsidR="004E54C7" w:rsidRDefault="004E54C7" w:rsidP="004E54C7">
            <w:pPr>
              <w:jc w:val="center"/>
            </w:pPr>
            <w:r w:rsidRPr="00550942">
              <w:rPr>
                <w:color w:val="000000"/>
                <w:sz w:val="26"/>
                <w:szCs w:val="26"/>
                <w:lang w:val="vi-VN"/>
              </w:rPr>
              <w:t>≥ 2</w:t>
            </w:r>
            <w:r w:rsidRPr="005A26A1">
              <w:rPr>
                <w:color w:val="000000"/>
                <w:sz w:val="26"/>
                <w:szCs w:val="26"/>
                <w:lang w:val="vi-VN"/>
              </w:rPr>
              <w:t>.</w:t>
            </w:r>
            <w:r w:rsidRPr="00550942">
              <w:rPr>
                <w:color w:val="000000"/>
                <w:sz w:val="26"/>
                <w:szCs w:val="26"/>
                <w:lang w:val="vi-VN"/>
              </w:rPr>
              <w:t>000 kg</w:t>
            </w:r>
          </w:p>
        </w:tc>
        <w:tc>
          <w:tcPr>
            <w:tcW w:w="996" w:type="pct"/>
            <w:vAlign w:val="center"/>
          </w:tcPr>
          <w:p w:rsidR="004E54C7" w:rsidRDefault="004E54C7" w:rsidP="004E54C7">
            <w:pPr>
              <w:jc w:val="center"/>
            </w:pPr>
            <w:r>
              <w:rPr>
                <w:color w:val="000000"/>
                <w:sz w:val="26"/>
                <w:szCs w:val="26"/>
              </w:rPr>
              <w:t xml:space="preserve">&lt; </w:t>
            </w:r>
            <w:r w:rsidRPr="00550942">
              <w:rPr>
                <w:color w:val="000000"/>
                <w:sz w:val="26"/>
                <w:szCs w:val="26"/>
                <w:lang w:val="vi-VN"/>
              </w:rPr>
              <w:t>2</w:t>
            </w:r>
            <w:r w:rsidRPr="005A26A1">
              <w:rPr>
                <w:color w:val="000000"/>
                <w:sz w:val="26"/>
                <w:szCs w:val="26"/>
                <w:lang w:val="vi-VN"/>
              </w:rPr>
              <w:t>.</w:t>
            </w:r>
            <w:r w:rsidRPr="00550942">
              <w:rPr>
                <w:color w:val="000000"/>
                <w:sz w:val="26"/>
                <w:szCs w:val="26"/>
                <w:lang w:val="vi-VN"/>
              </w:rPr>
              <w:t>000 kg</w:t>
            </w:r>
          </w:p>
        </w:tc>
      </w:tr>
      <w:tr w:rsidR="004E54C7" w:rsidRPr="00290490" w:rsidTr="004E54C7">
        <w:trPr>
          <w:trHeight w:val="510"/>
          <w:jc w:val="center"/>
        </w:trPr>
        <w:tc>
          <w:tcPr>
            <w:tcW w:w="491" w:type="pct"/>
            <w:vAlign w:val="center"/>
          </w:tcPr>
          <w:p w:rsidR="004E54C7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45" w:type="pct"/>
            <w:vAlign w:val="center"/>
          </w:tcPr>
          <w:p w:rsidR="004E54C7" w:rsidRPr="00C61703" w:rsidRDefault="004E54C7" w:rsidP="004E54C7">
            <w:pPr>
              <w:tabs>
                <w:tab w:val="right" w:pos="142"/>
              </w:tabs>
              <w:spacing w:before="20"/>
              <w:ind w:right="51" w:firstLine="7"/>
              <w:jc w:val="left"/>
              <w:rPr>
                <w:color w:val="000000"/>
                <w:sz w:val="26"/>
                <w:szCs w:val="26"/>
                <w:lang w:val="vi-VN"/>
              </w:rPr>
            </w:pPr>
            <w:r w:rsidRPr="005A26A1">
              <w:rPr>
                <w:sz w:val="26"/>
                <w:szCs w:val="26"/>
                <w:lang w:val="vi-VN"/>
              </w:rPr>
              <w:t>Chấu</w:t>
            </w:r>
            <w:r w:rsidRPr="00550942">
              <w:rPr>
                <w:color w:val="000000"/>
                <w:sz w:val="26"/>
                <w:szCs w:val="26"/>
                <w:lang w:val="vi-VN"/>
              </w:rPr>
              <w:t xml:space="preserve"> kẹp có khả năng tự định tâm</w:t>
            </w:r>
            <w:r w:rsidRPr="00E22615">
              <w:rPr>
                <w:color w:val="000000"/>
                <w:sz w:val="26"/>
                <w:szCs w:val="26"/>
                <w:lang w:val="vi-VN"/>
              </w:rPr>
              <w:t xml:space="preserve"> và được dẫn động bằng thủy lực</w:t>
            </w:r>
          </w:p>
        </w:tc>
        <w:tc>
          <w:tcPr>
            <w:tcW w:w="868" w:type="pct"/>
            <w:vAlign w:val="center"/>
          </w:tcPr>
          <w:p w:rsidR="004E54C7" w:rsidRDefault="004E54C7" w:rsidP="004E54C7">
            <w:pPr>
              <w:jc w:val="center"/>
            </w:pPr>
            <w:r w:rsidRPr="00F10C43">
              <w:rPr>
                <w:sz w:val="26"/>
                <w:szCs w:val="26"/>
                <w:lang w:val="vi-VN"/>
              </w:rPr>
              <w:t>Đáp ứng</w:t>
            </w:r>
          </w:p>
        </w:tc>
        <w:tc>
          <w:tcPr>
            <w:tcW w:w="996" w:type="pct"/>
            <w:vAlign w:val="center"/>
          </w:tcPr>
          <w:p w:rsidR="004E54C7" w:rsidRDefault="004E54C7" w:rsidP="004E54C7">
            <w:pPr>
              <w:jc w:val="center"/>
            </w:pPr>
            <w:r w:rsidRPr="00864294">
              <w:rPr>
                <w:sz w:val="26"/>
                <w:szCs w:val="26"/>
                <w:lang w:val="vi-VN"/>
              </w:rPr>
              <w:t>Không đáp ứng</w:t>
            </w:r>
          </w:p>
        </w:tc>
      </w:tr>
      <w:tr w:rsidR="004E54C7" w:rsidRPr="00290490" w:rsidTr="004E54C7">
        <w:trPr>
          <w:trHeight w:val="510"/>
          <w:jc w:val="center"/>
        </w:trPr>
        <w:tc>
          <w:tcPr>
            <w:tcW w:w="491" w:type="pct"/>
            <w:vAlign w:val="center"/>
          </w:tcPr>
          <w:p w:rsidR="004E54C7" w:rsidRPr="008A5823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45" w:type="pct"/>
            <w:vAlign w:val="center"/>
          </w:tcPr>
          <w:p w:rsidR="004E54C7" w:rsidRPr="00290490" w:rsidRDefault="004E54C7" w:rsidP="004E54C7">
            <w:pPr>
              <w:tabs>
                <w:tab w:val="right" w:pos="142"/>
              </w:tabs>
              <w:spacing w:before="20"/>
              <w:ind w:right="51" w:firstLine="7"/>
              <w:jc w:val="left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2A23E9">
              <w:rPr>
                <w:color w:val="000000"/>
                <w:sz w:val="26"/>
                <w:szCs w:val="26"/>
                <w:lang w:val="vi-VN"/>
              </w:rPr>
              <w:t>B</w:t>
            </w:r>
            <w:r w:rsidRPr="00EC612F">
              <w:rPr>
                <w:color w:val="000000"/>
                <w:sz w:val="26"/>
                <w:szCs w:val="26"/>
                <w:lang w:val="vi-VN"/>
              </w:rPr>
              <w:t>ảng điều khiển</w:t>
            </w:r>
            <w:r w:rsidRPr="00E44E2B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có thể định vị </w:t>
            </w:r>
            <w:r w:rsidRPr="002A23E9">
              <w:rPr>
                <w:color w:val="000000"/>
                <w:sz w:val="26"/>
                <w:szCs w:val="26"/>
                <w:lang w:val="vi-VN"/>
              </w:rPr>
              <w:t xml:space="preserve">để tối ưu việc </w:t>
            </w:r>
            <w:r w:rsidRPr="00E44E2B">
              <w:rPr>
                <w:color w:val="000000"/>
                <w:sz w:val="26"/>
                <w:szCs w:val="26"/>
                <w:lang w:val="vi-VN"/>
              </w:rPr>
              <w:t xml:space="preserve">giám sát </w:t>
            </w:r>
            <w:r w:rsidRPr="002A23E9">
              <w:rPr>
                <w:color w:val="000000"/>
                <w:sz w:val="26"/>
                <w:szCs w:val="26"/>
                <w:lang w:val="vi-VN"/>
              </w:rPr>
              <w:t xml:space="preserve">quá trình </w:t>
            </w:r>
            <w:r>
              <w:rPr>
                <w:color w:val="000000"/>
                <w:sz w:val="26"/>
                <w:szCs w:val="26"/>
                <w:lang w:val="vi-VN"/>
              </w:rPr>
              <w:t>thao tác</w:t>
            </w:r>
          </w:p>
        </w:tc>
        <w:tc>
          <w:tcPr>
            <w:tcW w:w="868" w:type="pct"/>
            <w:vAlign w:val="center"/>
          </w:tcPr>
          <w:p w:rsidR="004E54C7" w:rsidRDefault="004E54C7" w:rsidP="004E54C7">
            <w:pPr>
              <w:jc w:val="center"/>
            </w:pPr>
            <w:r w:rsidRPr="00F10C43">
              <w:rPr>
                <w:sz w:val="26"/>
                <w:szCs w:val="26"/>
                <w:lang w:val="vi-VN"/>
              </w:rPr>
              <w:t>Đáp ứng</w:t>
            </w:r>
          </w:p>
        </w:tc>
        <w:tc>
          <w:tcPr>
            <w:tcW w:w="996" w:type="pct"/>
            <w:vAlign w:val="center"/>
          </w:tcPr>
          <w:p w:rsidR="004E54C7" w:rsidRDefault="004E54C7" w:rsidP="004E54C7">
            <w:pPr>
              <w:jc w:val="center"/>
            </w:pPr>
            <w:r w:rsidRPr="00864294">
              <w:rPr>
                <w:sz w:val="26"/>
                <w:szCs w:val="26"/>
                <w:lang w:val="vi-VN"/>
              </w:rPr>
              <w:t>Không đáp ứng</w:t>
            </w:r>
          </w:p>
        </w:tc>
      </w:tr>
      <w:tr w:rsidR="004E54C7" w:rsidRPr="00290490" w:rsidTr="004E54C7">
        <w:trPr>
          <w:trHeight w:val="510"/>
          <w:jc w:val="center"/>
        </w:trPr>
        <w:tc>
          <w:tcPr>
            <w:tcW w:w="491" w:type="pct"/>
            <w:vAlign w:val="center"/>
          </w:tcPr>
          <w:p w:rsidR="004E54C7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45" w:type="pct"/>
            <w:vAlign w:val="center"/>
          </w:tcPr>
          <w:p w:rsidR="004E54C7" w:rsidRPr="00C61703" w:rsidRDefault="004E54C7" w:rsidP="004E54C7">
            <w:pPr>
              <w:tabs>
                <w:tab w:val="right" w:pos="142"/>
              </w:tabs>
              <w:spacing w:before="20"/>
              <w:ind w:right="51" w:firstLine="7"/>
              <w:jc w:val="left"/>
              <w:rPr>
                <w:color w:val="000000"/>
                <w:sz w:val="26"/>
                <w:szCs w:val="26"/>
                <w:lang w:val="vi-VN"/>
              </w:rPr>
            </w:pPr>
            <w:r w:rsidRPr="00237EFE">
              <w:rPr>
                <w:color w:val="000000"/>
                <w:sz w:val="26"/>
                <w:szCs w:val="26"/>
                <w:lang w:val="vi-VN"/>
              </w:rPr>
              <w:t xml:space="preserve">Công suất </w:t>
            </w:r>
            <w:r w:rsidRPr="00AB651F">
              <w:rPr>
                <w:color w:val="000000"/>
                <w:sz w:val="26"/>
                <w:szCs w:val="26"/>
              </w:rPr>
              <w:t xml:space="preserve">motor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(3 </w:t>
            </w:r>
            <w:proofErr w:type="spellStart"/>
            <w:r>
              <w:rPr>
                <w:sz w:val="26"/>
                <w:szCs w:val="26"/>
              </w:rPr>
              <w:t>pha</w:t>
            </w:r>
            <w:proofErr w:type="spellEnd"/>
            <w:r>
              <w:rPr>
                <w:sz w:val="26"/>
                <w:szCs w:val="26"/>
              </w:rPr>
              <w:t>, 380V, 50 Hz)</w:t>
            </w:r>
          </w:p>
        </w:tc>
        <w:tc>
          <w:tcPr>
            <w:tcW w:w="868" w:type="pct"/>
            <w:vAlign w:val="center"/>
          </w:tcPr>
          <w:p w:rsidR="004E54C7" w:rsidRPr="00F10C43" w:rsidRDefault="004E54C7" w:rsidP="004E54C7">
            <w:pPr>
              <w:jc w:val="center"/>
              <w:rPr>
                <w:sz w:val="26"/>
                <w:szCs w:val="26"/>
                <w:lang w:val="vi-VN"/>
              </w:rPr>
            </w:pPr>
            <w:r w:rsidRPr="00237EFE">
              <w:rPr>
                <w:color w:val="000000"/>
                <w:sz w:val="26"/>
                <w:szCs w:val="26"/>
                <w:lang w:val="vi-VN"/>
              </w:rPr>
              <w:t xml:space="preserve">≥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237EF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kW</w:t>
            </w:r>
          </w:p>
        </w:tc>
        <w:tc>
          <w:tcPr>
            <w:tcW w:w="996" w:type="pct"/>
            <w:vAlign w:val="center"/>
          </w:tcPr>
          <w:p w:rsidR="004E54C7" w:rsidRPr="00864294" w:rsidRDefault="004E54C7" w:rsidP="004E54C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&lt;</w:t>
            </w:r>
            <w:r w:rsidRPr="00237EF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237EF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kW</w:t>
            </w:r>
          </w:p>
        </w:tc>
      </w:tr>
      <w:tr w:rsidR="004E54C7" w:rsidRPr="008A5823" w:rsidTr="004E54C7">
        <w:trPr>
          <w:trHeight w:val="567"/>
          <w:jc w:val="center"/>
        </w:trPr>
        <w:tc>
          <w:tcPr>
            <w:tcW w:w="491" w:type="pct"/>
            <w:vAlign w:val="center"/>
          </w:tcPr>
          <w:p w:rsidR="004E54C7" w:rsidRPr="008A5823" w:rsidRDefault="004E54C7" w:rsidP="004E54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509" w:type="pct"/>
            <w:gridSpan w:val="3"/>
            <w:vAlign w:val="center"/>
          </w:tcPr>
          <w:p w:rsidR="004E54C7" w:rsidRPr="008A5823" w:rsidRDefault="004E54C7" w:rsidP="004E54C7">
            <w:pPr>
              <w:jc w:val="left"/>
              <w:rPr>
                <w:b/>
                <w:sz w:val="26"/>
                <w:szCs w:val="26"/>
              </w:rPr>
            </w:pPr>
            <w:proofErr w:type="spellStart"/>
            <w:r w:rsidRPr="008A5823">
              <w:rPr>
                <w:b/>
                <w:sz w:val="26"/>
                <w:szCs w:val="26"/>
              </w:rPr>
              <w:t>Các</w:t>
            </w:r>
            <w:proofErr w:type="spellEnd"/>
            <w:r w:rsidRPr="008A58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b/>
                <w:sz w:val="26"/>
                <w:szCs w:val="26"/>
              </w:rPr>
              <w:t>yêu</w:t>
            </w:r>
            <w:proofErr w:type="spellEnd"/>
            <w:r w:rsidRPr="008A58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b/>
                <w:sz w:val="26"/>
                <w:szCs w:val="26"/>
              </w:rPr>
              <w:t>cầu</w:t>
            </w:r>
            <w:proofErr w:type="spellEnd"/>
            <w:r w:rsidRPr="008A58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b/>
                <w:sz w:val="26"/>
                <w:szCs w:val="26"/>
              </w:rPr>
              <w:t>khác</w:t>
            </w:r>
            <w:proofErr w:type="spellEnd"/>
          </w:p>
        </w:tc>
      </w:tr>
      <w:tr w:rsidR="004E54C7" w:rsidRPr="00282384" w:rsidTr="004E54C7">
        <w:trPr>
          <w:trHeight w:val="781"/>
          <w:jc w:val="center"/>
        </w:trPr>
        <w:tc>
          <w:tcPr>
            <w:tcW w:w="491" w:type="pct"/>
          </w:tcPr>
          <w:p w:rsidR="004E54C7" w:rsidRPr="008A5823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 w:rsidRPr="008A5823">
              <w:rPr>
                <w:sz w:val="26"/>
                <w:szCs w:val="26"/>
              </w:rPr>
              <w:t>1</w:t>
            </w:r>
          </w:p>
        </w:tc>
        <w:tc>
          <w:tcPr>
            <w:tcW w:w="2645" w:type="pct"/>
          </w:tcPr>
          <w:p w:rsidR="004E54C7" w:rsidRPr="008A5823" w:rsidRDefault="004E54C7" w:rsidP="004E54C7">
            <w:pPr>
              <w:spacing w:before="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Cam kết t</w:t>
            </w:r>
            <w:r w:rsidRPr="008A5823">
              <w:rPr>
                <w:sz w:val="26"/>
                <w:szCs w:val="26"/>
                <w:lang w:val="nl-NL"/>
              </w:rPr>
              <w:t xml:space="preserve">hiết bị </w:t>
            </w:r>
            <w:r>
              <w:rPr>
                <w:sz w:val="26"/>
                <w:szCs w:val="26"/>
                <w:lang w:val="nl-NL"/>
              </w:rPr>
              <w:t xml:space="preserve">mới 100%, chưa qua sử dụng, sản </w:t>
            </w:r>
            <w:r w:rsidRPr="008A5823">
              <w:rPr>
                <w:sz w:val="26"/>
                <w:szCs w:val="26"/>
                <w:lang w:val="nl-NL"/>
              </w:rPr>
              <w:t>xuất từ năm 202</w:t>
            </w:r>
            <w:r>
              <w:rPr>
                <w:sz w:val="26"/>
                <w:szCs w:val="26"/>
                <w:lang w:val="nl-NL"/>
              </w:rPr>
              <w:t>5</w:t>
            </w:r>
            <w:r w:rsidRPr="008A5823">
              <w:rPr>
                <w:sz w:val="26"/>
                <w:szCs w:val="26"/>
                <w:lang w:val="nl-NL"/>
              </w:rPr>
              <w:t xml:space="preserve"> trở về sau </w:t>
            </w:r>
          </w:p>
        </w:tc>
        <w:tc>
          <w:tcPr>
            <w:tcW w:w="868" w:type="pct"/>
          </w:tcPr>
          <w:p w:rsidR="004E54C7" w:rsidRPr="007D4A89" w:rsidRDefault="004E54C7" w:rsidP="004E54C7">
            <w:pPr>
              <w:spacing w:before="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Đáp ứng</w:t>
            </w:r>
          </w:p>
        </w:tc>
        <w:tc>
          <w:tcPr>
            <w:tcW w:w="996" w:type="pct"/>
          </w:tcPr>
          <w:p w:rsidR="004E54C7" w:rsidRPr="007D4A89" w:rsidRDefault="004E54C7" w:rsidP="004E54C7">
            <w:pPr>
              <w:spacing w:before="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Không đáp ứng</w:t>
            </w:r>
          </w:p>
        </w:tc>
      </w:tr>
      <w:tr w:rsidR="004E54C7" w:rsidRPr="00282384" w:rsidTr="004E54C7">
        <w:trPr>
          <w:trHeight w:val="990"/>
          <w:jc w:val="center"/>
        </w:trPr>
        <w:tc>
          <w:tcPr>
            <w:tcW w:w="491" w:type="pct"/>
          </w:tcPr>
          <w:p w:rsidR="004E54C7" w:rsidRPr="008A5823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45" w:type="pct"/>
          </w:tcPr>
          <w:p w:rsidR="004E54C7" w:rsidRPr="00B51223" w:rsidRDefault="004E54C7" w:rsidP="004E54C7">
            <w:pPr>
              <w:spacing w:before="20"/>
              <w:rPr>
                <w:color w:val="000000"/>
                <w:sz w:val="26"/>
                <w:szCs w:val="26"/>
              </w:rPr>
            </w:pPr>
            <w:r w:rsidRPr="008A5823">
              <w:rPr>
                <w:sz w:val="26"/>
                <w:szCs w:val="26"/>
                <w:lang w:val="nl-NL"/>
              </w:rPr>
              <w:t>C</w:t>
            </w:r>
            <w:r>
              <w:rPr>
                <w:sz w:val="26"/>
                <w:szCs w:val="26"/>
                <w:lang w:val="nl-NL"/>
              </w:rPr>
              <w:t>am kết c</w:t>
            </w:r>
            <w:r w:rsidRPr="008A5823">
              <w:rPr>
                <w:sz w:val="26"/>
                <w:szCs w:val="26"/>
                <w:lang w:val="nl-NL"/>
              </w:rPr>
              <w:t xml:space="preserve">ung cấp </w:t>
            </w:r>
            <w:r w:rsidRPr="006E5D90">
              <w:rPr>
                <w:color w:val="000000"/>
                <w:sz w:val="26"/>
                <w:szCs w:val="26"/>
                <w:lang w:val="vi-VN"/>
              </w:rPr>
              <w:t xml:space="preserve">bản gốc/bản sao chứng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9446F5">
              <w:rPr>
                <w:color w:val="000000"/>
                <w:sz w:val="26"/>
                <w:szCs w:val="26"/>
                <w:lang w:val="vi-VN"/>
              </w:rPr>
              <w:t>Giấy chứng nhận xuất xứ (CO) đối với thiết bị nhập khẩu, Giấy chứng nhận chất lượng (CQ)</w:t>
            </w:r>
          </w:p>
        </w:tc>
        <w:tc>
          <w:tcPr>
            <w:tcW w:w="868" w:type="pct"/>
          </w:tcPr>
          <w:p w:rsidR="004E54C7" w:rsidRPr="007D4A89" w:rsidRDefault="004E54C7" w:rsidP="004E54C7">
            <w:pPr>
              <w:spacing w:before="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Đáp ứng</w:t>
            </w:r>
          </w:p>
        </w:tc>
        <w:tc>
          <w:tcPr>
            <w:tcW w:w="996" w:type="pct"/>
          </w:tcPr>
          <w:p w:rsidR="004E54C7" w:rsidRPr="007D4A89" w:rsidRDefault="004E54C7" w:rsidP="004E54C7">
            <w:pPr>
              <w:spacing w:before="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Không đáp ứng</w:t>
            </w:r>
          </w:p>
        </w:tc>
      </w:tr>
      <w:tr w:rsidR="004E54C7" w:rsidRPr="00282384" w:rsidTr="004E54C7">
        <w:trPr>
          <w:trHeight w:val="652"/>
          <w:jc w:val="center"/>
        </w:trPr>
        <w:tc>
          <w:tcPr>
            <w:tcW w:w="491" w:type="pct"/>
          </w:tcPr>
          <w:p w:rsidR="004E54C7" w:rsidRPr="008A5823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45" w:type="pct"/>
          </w:tcPr>
          <w:p w:rsidR="004E54C7" w:rsidRPr="00B51223" w:rsidRDefault="004E54C7" w:rsidP="004E54C7">
            <w:pPr>
              <w:spacing w:before="20"/>
              <w:ind w:right="43"/>
              <w:rPr>
                <w:b/>
                <w:sz w:val="26"/>
                <w:szCs w:val="26"/>
              </w:rPr>
            </w:pPr>
            <w:r w:rsidRPr="009446F5">
              <w:rPr>
                <w:color w:val="000000"/>
                <w:sz w:val="26"/>
                <w:szCs w:val="26"/>
                <w:lang w:val="vi-VN"/>
              </w:rPr>
              <w:t>C</w:t>
            </w:r>
            <w:r w:rsidRPr="00326AAE">
              <w:rPr>
                <w:color w:val="000000"/>
                <w:sz w:val="26"/>
                <w:szCs w:val="26"/>
                <w:lang w:val="vi-VN"/>
              </w:rPr>
              <w:t>am kết cung cấp</w:t>
            </w:r>
            <w:r w:rsidRPr="009446F5">
              <w:rPr>
                <w:color w:val="000000"/>
                <w:sz w:val="26"/>
                <w:szCs w:val="26"/>
                <w:lang w:val="vi-VN"/>
              </w:rPr>
              <w:t xml:space="preserve"> tài liệu hướng dẫn sử dụng (tiếng Anh/tiếng Việt)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868" w:type="pct"/>
          </w:tcPr>
          <w:p w:rsidR="004E54C7" w:rsidRPr="007D4A89" w:rsidRDefault="004E54C7" w:rsidP="004E54C7">
            <w:pPr>
              <w:spacing w:before="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Đáp ứng</w:t>
            </w:r>
          </w:p>
        </w:tc>
        <w:tc>
          <w:tcPr>
            <w:tcW w:w="996" w:type="pct"/>
          </w:tcPr>
          <w:p w:rsidR="004E54C7" w:rsidRPr="007D4A89" w:rsidRDefault="004E54C7" w:rsidP="004E54C7">
            <w:pPr>
              <w:spacing w:before="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Không đáp ứng</w:t>
            </w:r>
          </w:p>
        </w:tc>
      </w:tr>
      <w:tr w:rsidR="004E54C7" w:rsidRPr="00282384" w:rsidTr="004E54C7">
        <w:trPr>
          <w:trHeight w:val="884"/>
          <w:jc w:val="center"/>
        </w:trPr>
        <w:tc>
          <w:tcPr>
            <w:tcW w:w="491" w:type="pct"/>
          </w:tcPr>
          <w:p w:rsidR="004E54C7" w:rsidRPr="008A5823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645" w:type="pct"/>
          </w:tcPr>
          <w:p w:rsidR="004E54C7" w:rsidRPr="009E76C3" w:rsidRDefault="004E54C7" w:rsidP="004E54C7">
            <w:pPr>
              <w:spacing w:before="20"/>
              <w:ind w:right="43"/>
              <w:rPr>
                <w:sz w:val="26"/>
                <w:szCs w:val="26"/>
              </w:rPr>
            </w:pPr>
            <w:r w:rsidRPr="009446F5">
              <w:rPr>
                <w:color w:val="000000"/>
                <w:sz w:val="26"/>
                <w:szCs w:val="26"/>
                <w:lang w:val="vi-VN"/>
              </w:rPr>
              <w:t xml:space="preserve">Cam kết tổ chức hướng dẫn vận hành cho nhân viên kỹ thuật của Trung tâm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9446F5">
              <w:rPr>
                <w:color w:val="000000"/>
                <w:sz w:val="26"/>
                <w:szCs w:val="26"/>
                <w:lang w:val="vi-VN"/>
              </w:rPr>
              <w:t xml:space="preserve">Bảo dưỡng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868" w:type="pct"/>
          </w:tcPr>
          <w:p w:rsidR="004E54C7" w:rsidRPr="007D4A89" w:rsidRDefault="004E54C7" w:rsidP="004E54C7">
            <w:pPr>
              <w:spacing w:before="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Đáp ứng</w:t>
            </w:r>
          </w:p>
        </w:tc>
        <w:tc>
          <w:tcPr>
            <w:tcW w:w="996" w:type="pct"/>
          </w:tcPr>
          <w:p w:rsidR="004E54C7" w:rsidRPr="007D4A89" w:rsidRDefault="004E54C7" w:rsidP="004E54C7">
            <w:pPr>
              <w:spacing w:before="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Không đáp ứng</w:t>
            </w:r>
          </w:p>
        </w:tc>
      </w:tr>
      <w:tr w:rsidR="004E54C7" w:rsidRPr="00282384" w:rsidTr="004E54C7">
        <w:trPr>
          <w:trHeight w:val="652"/>
          <w:jc w:val="center"/>
        </w:trPr>
        <w:tc>
          <w:tcPr>
            <w:tcW w:w="491" w:type="pct"/>
          </w:tcPr>
          <w:p w:rsidR="004E54C7" w:rsidRPr="008A5823" w:rsidRDefault="004E54C7" w:rsidP="004E54C7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45" w:type="pct"/>
          </w:tcPr>
          <w:p w:rsidR="004E54C7" w:rsidRPr="00B51223" w:rsidRDefault="004E54C7" w:rsidP="004E54C7">
            <w:pPr>
              <w:spacing w:before="20"/>
              <w:ind w:right="43"/>
              <w:rPr>
                <w:sz w:val="26"/>
                <w:szCs w:val="26"/>
                <w:lang w:val="vi-VN"/>
              </w:rPr>
            </w:pPr>
            <w:r w:rsidRPr="009446F5">
              <w:rPr>
                <w:color w:val="000000"/>
                <w:sz w:val="26"/>
                <w:lang w:val="vi-VN"/>
              </w:rPr>
              <w:t>Cam kết thời gian bảo hành theo chính sách của Nhà sản xuất kể từ ngày nghiệm thu, bàn giao</w:t>
            </w:r>
          </w:p>
        </w:tc>
        <w:tc>
          <w:tcPr>
            <w:tcW w:w="868" w:type="pct"/>
          </w:tcPr>
          <w:p w:rsidR="004E54C7" w:rsidRPr="007D4A89" w:rsidRDefault="004E54C7" w:rsidP="004E54C7">
            <w:pPr>
              <w:spacing w:before="20"/>
              <w:jc w:val="center"/>
              <w:rPr>
                <w:sz w:val="26"/>
                <w:szCs w:val="26"/>
                <w:lang w:val="nl-NL"/>
              </w:rPr>
            </w:pPr>
            <w:r w:rsidRPr="00237EFE">
              <w:rPr>
                <w:color w:val="000000"/>
                <w:sz w:val="26"/>
                <w:szCs w:val="26"/>
                <w:lang w:val="vi-VN"/>
              </w:rPr>
              <w:t>≥</w:t>
            </w:r>
            <w:r w:rsidRPr="008A582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996" w:type="pct"/>
          </w:tcPr>
          <w:p w:rsidR="004E54C7" w:rsidRPr="007D4A89" w:rsidRDefault="004E54C7" w:rsidP="004E54C7">
            <w:pPr>
              <w:spacing w:before="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&lt; 12 tháng</w:t>
            </w:r>
          </w:p>
        </w:tc>
      </w:tr>
      <w:tr w:rsidR="004E54C7" w:rsidRPr="008A5823" w:rsidTr="004E54C7">
        <w:trPr>
          <w:trHeight w:val="567"/>
          <w:jc w:val="center"/>
        </w:trPr>
        <w:tc>
          <w:tcPr>
            <w:tcW w:w="491" w:type="pct"/>
            <w:vAlign w:val="center"/>
          </w:tcPr>
          <w:p w:rsidR="004E54C7" w:rsidRPr="008A5823" w:rsidRDefault="004E54C7" w:rsidP="004E54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45" w:type="pct"/>
            <w:vAlign w:val="center"/>
          </w:tcPr>
          <w:p w:rsidR="004E54C7" w:rsidRPr="008A5823" w:rsidRDefault="004E54C7" w:rsidP="004E54C7">
            <w:pPr>
              <w:ind w:right="43"/>
              <w:rPr>
                <w:sz w:val="26"/>
                <w:szCs w:val="26"/>
              </w:rPr>
            </w:pPr>
            <w:proofErr w:type="spellStart"/>
            <w:r w:rsidRPr="008A5823">
              <w:rPr>
                <w:sz w:val="26"/>
                <w:szCs w:val="26"/>
              </w:rPr>
              <w:t>Thời</w:t>
            </w:r>
            <w:proofErr w:type="spellEnd"/>
            <w:r w:rsidRPr="008A5823">
              <w:rPr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sz w:val="26"/>
                <w:szCs w:val="26"/>
              </w:rPr>
              <w:t>gian</w:t>
            </w:r>
            <w:proofErr w:type="spellEnd"/>
            <w:r w:rsidRPr="008A5823">
              <w:rPr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sz w:val="26"/>
                <w:szCs w:val="26"/>
              </w:rPr>
              <w:t>thực</w:t>
            </w:r>
            <w:proofErr w:type="spellEnd"/>
            <w:r w:rsidRPr="008A5823">
              <w:rPr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sz w:val="26"/>
                <w:szCs w:val="26"/>
              </w:rPr>
              <w:t>hiện</w:t>
            </w:r>
            <w:proofErr w:type="spellEnd"/>
            <w:r w:rsidRPr="008A5823">
              <w:rPr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sz w:val="26"/>
                <w:szCs w:val="26"/>
              </w:rPr>
              <w:t>hợp</w:t>
            </w:r>
            <w:proofErr w:type="spellEnd"/>
            <w:r w:rsidRPr="008A5823">
              <w:rPr>
                <w:sz w:val="26"/>
                <w:szCs w:val="26"/>
              </w:rPr>
              <w:t xml:space="preserve"> </w:t>
            </w:r>
            <w:proofErr w:type="spellStart"/>
            <w:r w:rsidRPr="008A5823">
              <w:rPr>
                <w:sz w:val="26"/>
                <w:szCs w:val="26"/>
              </w:rPr>
              <w:t>đồng</w:t>
            </w:r>
            <w:proofErr w:type="spellEnd"/>
            <w:r w:rsidRPr="008A58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:rsidR="004E54C7" w:rsidRPr="008A5823" w:rsidRDefault="004E54C7" w:rsidP="004E54C7">
            <w:pPr>
              <w:jc w:val="center"/>
              <w:rPr>
                <w:sz w:val="26"/>
                <w:szCs w:val="26"/>
              </w:rPr>
            </w:pPr>
            <w:r w:rsidRPr="008A5823">
              <w:rPr>
                <w:sz w:val="26"/>
                <w:szCs w:val="26"/>
              </w:rPr>
              <w:t xml:space="preserve">≤ </w:t>
            </w:r>
            <w:r>
              <w:rPr>
                <w:sz w:val="26"/>
                <w:szCs w:val="26"/>
              </w:rPr>
              <w:t xml:space="preserve">60 </w:t>
            </w:r>
            <w:proofErr w:type="spellStart"/>
            <w:r w:rsidRPr="008A5823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996" w:type="pct"/>
            <w:vAlign w:val="center"/>
          </w:tcPr>
          <w:p w:rsidR="004E54C7" w:rsidRPr="008A5823" w:rsidRDefault="004E54C7" w:rsidP="004E54C7">
            <w:pPr>
              <w:jc w:val="center"/>
              <w:rPr>
                <w:sz w:val="26"/>
                <w:szCs w:val="26"/>
              </w:rPr>
            </w:pPr>
            <w:r w:rsidRPr="008A5823">
              <w:rPr>
                <w:sz w:val="26"/>
                <w:szCs w:val="26"/>
              </w:rPr>
              <w:t xml:space="preserve">&gt; </w:t>
            </w:r>
            <w:r>
              <w:rPr>
                <w:sz w:val="26"/>
                <w:szCs w:val="26"/>
              </w:rPr>
              <w:t xml:space="preserve">60 </w:t>
            </w:r>
            <w:proofErr w:type="spellStart"/>
            <w:r w:rsidRPr="008A5823">
              <w:rPr>
                <w:sz w:val="26"/>
                <w:szCs w:val="26"/>
              </w:rPr>
              <w:t>ngày</w:t>
            </w:r>
            <w:proofErr w:type="spellEnd"/>
          </w:p>
        </w:tc>
      </w:tr>
      <w:tr w:rsidR="004E54C7" w:rsidRPr="008A5823" w:rsidTr="004E54C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pct"/>
            <w:shd w:val="clear" w:color="auto" w:fill="auto"/>
            <w:vAlign w:val="center"/>
          </w:tcPr>
          <w:p w:rsidR="004E54C7" w:rsidRPr="008A5823" w:rsidRDefault="004E54C7" w:rsidP="004E54C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4509" w:type="pct"/>
            <w:gridSpan w:val="3"/>
            <w:shd w:val="clear" w:color="auto" w:fill="auto"/>
            <w:vAlign w:val="center"/>
          </w:tcPr>
          <w:p w:rsidR="004E54C7" w:rsidRPr="008A5823" w:rsidRDefault="004E54C7" w:rsidP="004E54C7">
            <w:pPr>
              <w:jc w:val="left"/>
              <w:rPr>
                <w:b/>
                <w:bCs/>
                <w:sz w:val="26"/>
                <w:szCs w:val="26"/>
                <w:lang w:val="nl-NL"/>
              </w:rPr>
            </w:pPr>
            <w:r w:rsidRPr="008A5823">
              <w:rPr>
                <w:b/>
                <w:bCs/>
                <w:sz w:val="26"/>
                <w:szCs w:val="26"/>
                <w:lang w:val="nl-NL"/>
              </w:rPr>
              <w:t>KẾT LUẬN</w:t>
            </w:r>
          </w:p>
        </w:tc>
      </w:tr>
      <w:tr w:rsidR="004E54C7" w:rsidRPr="008A5823" w:rsidTr="004E54C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:rsidR="004E54C7" w:rsidRPr="008A5823" w:rsidRDefault="004E54C7" w:rsidP="004E54C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:rsidR="004E54C7" w:rsidRPr="008A5823" w:rsidRDefault="004E54C7" w:rsidP="004E54C7">
            <w:pPr>
              <w:rPr>
                <w:sz w:val="26"/>
                <w:szCs w:val="26"/>
                <w:lang w:val="nl-NL"/>
              </w:rPr>
            </w:pPr>
            <w:r w:rsidRPr="008A5823">
              <w:rPr>
                <w:sz w:val="26"/>
                <w:szCs w:val="26"/>
                <w:lang w:val="nl-NL"/>
              </w:rPr>
              <w:t>Đạt tất cả các nội dung nêu trên</w:t>
            </w:r>
          </w:p>
        </w:tc>
        <w:tc>
          <w:tcPr>
            <w:tcW w:w="1864" w:type="pct"/>
            <w:gridSpan w:val="2"/>
            <w:shd w:val="clear" w:color="auto" w:fill="auto"/>
            <w:vAlign w:val="center"/>
          </w:tcPr>
          <w:p w:rsidR="004E54C7" w:rsidRPr="008A5823" w:rsidRDefault="004E54C7" w:rsidP="004E54C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A5823">
              <w:rPr>
                <w:b/>
                <w:sz w:val="26"/>
                <w:szCs w:val="26"/>
                <w:lang w:val="nl-NL"/>
              </w:rPr>
              <w:t>Đạt</w:t>
            </w:r>
          </w:p>
        </w:tc>
      </w:tr>
      <w:tr w:rsidR="004E54C7" w:rsidRPr="008A5823" w:rsidTr="004E54C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:rsidR="004E54C7" w:rsidRPr="008A5823" w:rsidRDefault="004E54C7" w:rsidP="004E54C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:rsidR="004E54C7" w:rsidRPr="008A5823" w:rsidRDefault="004E54C7" w:rsidP="004E54C7">
            <w:pPr>
              <w:tabs>
                <w:tab w:val="left" w:pos="1455"/>
              </w:tabs>
              <w:rPr>
                <w:sz w:val="26"/>
                <w:szCs w:val="26"/>
                <w:lang w:val="nl-NL"/>
              </w:rPr>
            </w:pPr>
            <w:r w:rsidRPr="008A5823">
              <w:rPr>
                <w:sz w:val="26"/>
                <w:szCs w:val="26"/>
                <w:lang w:val="nl-NL"/>
              </w:rPr>
              <w:t>Không đạt bất kỳ nội dung nào nêu trên</w:t>
            </w:r>
          </w:p>
        </w:tc>
        <w:tc>
          <w:tcPr>
            <w:tcW w:w="1864" w:type="pct"/>
            <w:gridSpan w:val="2"/>
            <w:shd w:val="clear" w:color="auto" w:fill="auto"/>
            <w:vAlign w:val="center"/>
          </w:tcPr>
          <w:p w:rsidR="004E54C7" w:rsidRPr="008A5823" w:rsidRDefault="004E54C7" w:rsidP="004E54C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A5823">
              <w:rPr>
                <w:b/>
                <w:sz w:val="26"/>
                <w:szCs w:val="26"/>
                <w:lang w:val="nl-NL"/>
              </w:rPr>
              <w:t>Không đạt</w:t>
            </w:r>
          </w:p>
        </w:tc>
      </w:tr>
    </w:tbl>
    <w:p w:rsidR="0095542B" w:rsidRPr="004E6C06" w:rsidRDefault="0095542B" w:rsidP="009E76C3">
      <w:pPr>
        <w:pStyle w:val="TOC1"/>
        <w:rPr>
          <w:rFonts w:hint="eastAsia"/>
        </w:rPr>
      </w:pPr>
    </w:p>
    <w:sectPr w:rsidR="0095542B" w:rsidRPr="004E6C06" w:rsidSect="006D541F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25B27"/>
    <w:multiLevelType w:val="hybridMultilevel"/>
    <w:tmpl w:val="F56AAF22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EE"/>
    <w:rsid w:val="00016951"/>
    <w:rsid w:val="00090D25"/>
    <w:rsid w:val="000D5208"/>
    <w:rsid w:val="000E5627"/>
    <w:rsid w:val="001D2F4A"/>
    <w:rsid w:val="001D3AC6"/>
    <w:rsid w:val="002047DE"/>
    <w:rsid w:val="0024035F"/>
    <w:rsid w:val="00255B22"/>
    <w:rsid w:val="00282384"/>
    <w:rsid w:val="00282769"/>
    <w:rsid w:val="00290490"/>
    <w:rsid w:val="00306347"/>
    <w:rsid w:val="003152D0"/>
    <w:rsid w:val="00412AB0"/>
    <w:rsid w:val="00421F64"/>
    <w:rsid w:val="004432DF"/>
    <w:rsid w:val="0045215C"/>
    <w:rsid w:val="00457266"/>
    <w:rsid w:val="00472C35"/>
    <w:rsid w:val="00490587"/>
    <w:rsid w:val="004A2B92"/>
    <w:rsid w:val="004D34A8"/>
    <w:rsid w:val="004E47E0"/>
    <w:rsid w:val="004E54C7"/>
    <w:rsid w:val="004E6C06"/>
    <w:rsid w:val="00562CA4"/>
    <w:rsid w:val="005A4E35"/>
    <w:rsid w:val="006238C8"/>
    <w:rsid w:val="00637F6D"/>
    <w:rsid w:val="00673EEE"/>
    <w:rsid w:val="00687E7F"/>
    <w:rsid w:val="006A30A7"/>
    <w:rsid w:val="006D0C03"/>
    <w:rsid w:val="006D541F"/>
    <w:rsid w:val="006F081A"/>
    <w:rsid w:val="007563B3"/>
    <w:rsid w:val="0077284E"/>
    <w:rsid w:val="007C42B8"/>
    <w:rsid w:val="007C5BAC"/>
    <w:rsid w:val="007D1E0F"/>
    <w:rsid w:val="007D4A89"/>
    <w:rsid w:val="00801661"/>
    <w:rsid w:val="008020C8"/>
    <w:rsid w:val="0082288A"/>
    <w:rsid w:val="00827234"/>
    <w:rsid w:val="00850D8D"/>
    <w:rsid w:val="008A5823"/>
    <w:rsid w:val="008C0963"/>
    <w:rsid w:val="008E282F"/>
    <w:rsid w:val="0095542B"/>
    <w:rsid w:val="009A15CE"/>
    <w:rsid w:val="009B2425"/>
    <w:rsid w:val="009E2B24"/>
    <w:rsid w:val="009E5487"/>
    <w:rsid w:val="009E76C3"/>
    <w:rsid w:val="00A47E2F"/>
    <w:rsid w:val="00AF128E"/>
    <w:rsid w:val="00AF2A06"/>
    <w:rsid w:val="00B51223"/>
    <w:rsid w:val="00B84E5E"/>
    <w:rsid w:val="00BD24AC"/>
    <w:rsid w:val="00C76608"/>
    <w:rsid w:val="00C81D8C"/>
    <w:rsid w:val="00C87E02"/>
    <w:rsid w:val="00CC29EC"/>
    <w:rsid w:val="00D54157"/>
    <w:rsid w:val="00DB095B"/>
    <w:rsid w:val="00DE281C"/>
    <w:rsid w:val="00DF2553"/>
    <w:rsid w:val="00E122D5"/>
    <w:rsid w:val="00E27BEA"/>
    <w:rsid w:val="00E50C3A"/>
    <w:rsid w:val="00ED4BE9"/>
    <w:rsid w:val="00F36BFE"/>
    <w:rsid w:val="00F61D66"/>
    <w:rsid w:val="00F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3CB94-193C-4C5B-B06B-1454357C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2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E76C3"/>
    <w:pPr>
      <w:tabs>
        <w:tab w:val="right" w:leader="dot" w:pos="9062"/>
      </w:tabs>
      <w:spacing w:before="480" w:after="80"/>
      <w:ind w:firstLine="567"/>
      <w:outlineLvl w:val="2"/>
    </w:pPr>
    <w:rPr>
      <w:rFonts w:ascii="Times New Roman Bold" w:eastAsia="Batang" w:hAnsi="Times New Roman Bold"/>
      <w:b/>
      <w:bCs/>
      <w:iCs/>
      <w:noProof/>
      <w:vanish/>
      <w:kern w:val="36"/>
      <w:sz w:val="28"/>
      <w:szCs w:val="28"/>
      <w:lang w:val="nl-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3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E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2827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7D4A8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</vt:lpstr>
      <vt:lpstr>        </vt:lpstr>
      <vt:lpstr>        </vt:lpstr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VAECO</dc:creator>
  <cp:keywords/>
  <dc:description/>
  <cp:lastModifiedBy>Nguyen Thuy Duong</cp:lastModifiedBy>
  <cp:revision>7</cp:revision>
  <cp:lastPrinted>2025-11-12T07:45:00Z</cp:lastPrinted>
  <dcterms:created xsi:type="dcterms:W3CDTF">2025-11-12T02:39:00Z</dcterms:created>
  <dcterms:modified xsi:type="dcterms:W3CDTF">2025-11-13T00:48:00Z</dcterms:modified>
</cp:coreProperties>
</file>