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0CD7CB3C"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2469AA">
        <w:rPr>
          <w:color w:val="FF0000"/>
          <w:sz w:val="28"/>
          <w:szCs w:val="28"/>
          <w:lang w:val="nl-NL"/>
        </w:rPr>
        <w:t>Cải tạo lộ 971 TG Cẩm Vân lên vận hành cấp điện áp 22kV</w:t>
      </w:r>
      <w:r w:rsidR="0046589A" w:rsidRPr="00D81C4A">
        <w:rPr>
          <w:color w:val="FF0000"/>
          <w:sz w:val="28"/>
          <w:szCs w:val="28"/>
          <w:lang w:val="nl-NL"/>
        </w:rPr>
        <w:t>.</w:t>
      </w:r>
    </w:p>
    <w:p w14:paraId="0AC1EBD5" w14:textId="0FC95032" w:rsidR="00910FD4" w:rsidRPr="00284C10" w:rsidRDefault="00910FD4" w:rsidP="000E41E1">
      <w:pPr>
        <w:pStyle w:val="Dau-"/>
        <w:numPr>
          <w:ilvl w:val="0"/>
          <w:numId w:val="0"/>
        </w:numPr>
        <w:spacing w:before="0" w:after="0" w:line="240" w:lineRule="auto"/>
        <w:ind w:firstLine="567"/>
        <w:rPr>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51624B" w:rsidRPr="0051624B">
        <w:rPr>
          <w:color w:val="FF0000"/>
          <w:sz w:val="28"/>
          <w:szCs w:val="28"/>
          <w:lang w:val="nl-NL"/>
        </w:rPr>
        <w:t xml:space="preserve">Trên địa bàn </w:t>
      </w:r>
      <w:r w:rsidR="00CF59B2">
        <w:rPr>
          <w:color w:val="FF0000"/>
          <w:sz w:val="28"/>
          <w:szCs w:val="28"/>
          <w:lang w:val="nl-NL"/>
        </w:rPr>
        <w:t>c</w:t>
      </w:r>
      <w:r w:rsidR="00CF59B2" w:rsidRPr="00CF59B2">
        <w:rPr>
          <w:color w:val="FF0000"/>
          <w:sz w:val="28"/>
          <w:szCs w:val="28"/>
          <w:lang w:val="nl-NL"/>
        </w:rPr>
        <w:t xml:space="preserve">ác </w:t>
      </w:r>
      <w:r w:rsidR="002469AA" w:rsidRPr="002469AA">
        <w:rPr>
          <w:color w:val="FF0000"/>
          <w:sz w:val="28"/>
          <w:szCs w:val="28"/>
          <w:lang w:val="nl-NL"/>
        </w:rPr>
        <w:t>các xã Cẩm Vân, Cẩm Tân, Cẩm Phú – tỉnh Thanh Hóa</w:t>
      </w:r>
      <w:r w:rsidR="002469AA">
        <w:rPr>
          <w:color w:val="FF0000"/>
          <w:sz w:val="28"/>
          <w:szCs w:val="28"/>
          <w:lang w:val="nl-NL"/>
        </w:rPr>
        <w:t>.</w:t>
      </w:r>
    </w:p>
    <w:p w14:paraId="55A03903" w14:textId="0B011B47" w:rsidR="00910FD4" w:rsidRPr="00284C10" w:rsidRDefault="00910FD4" w:rsidP="00686C40">
      <w:pPr>
        <w:tabs>
          <w:tab w:val="left" w:pos="720"/>
        </w:tabs>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0900C65B"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51624B">
        <w:rPr>
          <w:color w:val="FF0000"/>
          <w:sz w:val="28"/>
          <w:szCs w:val="28"/>
          <w:lang w:val="nl-NL"/>
        </w:rPr>
        <w:t>2</w:t>
      </w:r>
      <w:r w:rsidR="002469AA">
        <w:rPr>
          <w:color w:val="FF0000"/>
          <w:sz w:val="28"/>
          <w:szCs w:val="28"/>
          <w:lang w:val="nl-NL"/>
        </w:rPr>
        <w:t>1</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shd w:val="clear" w:color="auto" w:fill="auto"/>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shd w:val="clear" w:color="auto" w:fill="auto"/>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shd w:val="clear" w:color="auto" w:fill="auto"/>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shd w:val="clear" w:color="auto" w:fill="auto"/>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shd w:val="clear" w:color="auto" w:fill="auto"/>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shd w:val="clear" w:color="auto" w:fill="auto"/>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shd w:val="clear" w:color="auto" w:fill="auto"/>
            <w:vAlign w:val="center"/>
          </w:tcPr>
          <w:p w14:paraId="0905222D" w14:textId="08B97A82"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2469AA">
              <w:rPr>
                <w:color w:val="FF0000"/>
                <w:sz w:val="28"/>
                <w:szCs w:val="28"/>
              </w:rPr>
              <w:t>Cải tạo lộ 971 TG Cẩm Vân lên vận hành cấp điện áp 22kV</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0342F194" w14:textId="77777777" w:rsidR="002469AA" w:rsidRPr="002469AA" w:rsidRDefault="002469AA" w:rsidP="002469AA">
            <w:pPr>
              <w:ind w:firstLine="139"/>
              <w:rPr>
                <w:color w:val="FF0000"/>
                <w:sz w:val="28"/>
                <w:szCs w:val="28"/>
              </w:rPr>
            </w:pPr>
            <w:r w:rsidRPr="002469AA">
              <w:rPr>
                <w:color w:val="FF0000"/>
                <w:sz w:val="28"/>
                <w:szCs w:val="28"/>
              </w:rPr>
              <w:t xml:space="preserve">-  Cải tạo 22,1km đường dây 10kV lên vận hành điện áp 22kV trong đó: </w:t>
            </w:r>
          </w:p>
          <w:p w14:paraId="3A3A5A50" w14:textId="77777777" w:rsidR="002469AA" w:rsidRPr="002469AA" w:rsidRDefault="002469AA" w:rsidP="002469AA">
            <w:pPr>
              <w:ind w:firstLine="139"/>
              <w:rPr>
                <w:color w:val="FF0000"/>
                <w:sz w:val="28"/>
                <w:szCs w:val="28"/>
              </w:rPr>
            </w:pPr>
            <w:r w:rsidRPr="002469AA">
              <w:rPr>
                <w:color w:val="FF0000"/>
                <w:sz w:val="28"/>
                <w:szCs w:val="28"/>
              </w:rPr>
              <w:t>- Cải tạo 5,65 km Đ.D.K 10kV dây dẫn AC50, AC70 lên Đ.D.K 22kV sử dụng dây ACSR-150/19; ACSR-150/34; AC185/24-XLPE-2.5/HDPE.</w:t>
            </w:r>
          </w:p>
          <w:p w14:paraId="6BA77499" w14:textId="77777777" w:rsidR="002469AA" w:rsidRPr="002469AA" w:rsidRDefault="002469AA" w:rsidP="002469AA">
            <w:pPr>
              <w:ind w:firstLine="139"/>
              <w:rPr>
                <w:color w:val="FF0000"/>
                <w:sz w:val="28"/>
                <w:szCs w:val="28"/>
              </w:rPr>
            </w:pPr>
            <w:r w:rsidRPr="002469AA">
              <w:rPr>
                <w:color w:val="FF0000"/>
                <w:sz w:val="28"/>
                <w:szCs w:val="28"/>
              </w:rPr>
              <w:t>- Cải tạo 12,29km đường dây 10kV dây dẫn AC50 lên dây AC70 vận hành 22kV (sử dụng lại 1,921km dây dẫn AC70 đường trục) và Cải tạo không thay dây 2,002 km nhánh rẽ lên vận hành 22kV.</w:t>
            </w:r>
          </w:p>
          <w:p w14:paraId="1230F1A5" w14:textId="77777777" w:rsidR="002469AA" w:rsidRPr="002469AA" w:rsidRDefault="002469AA" w:rsidP="002469AA">
            <w:pPr>
              <w:ind w:firstLine="139"/>
              <w:rPr>
                <w:color w:val="FF0000"/>
                <w:sz w:val="28"/>
                <w:szCs w:val="28"/>
              </w:rPr>
            </w:pPr>
            <w:r w:rsidRPr="002469AA">
              <w:rPr>
                <w:color w:val="FF0000"/>
                <w:sz w:val="28"/>
                <w:szCs w:val="28"/>
              </w:rPr>
              <w:t xml:space="preserve">- Cải tạo 2,158km đường dây 10kV dây dẫn AC50 thành dây AC70-XLPE-2.5/HDPE vận hành 22kV. </w:t>
            </w:r>
          </w:p>
          <w:p w14:paraId="7AB2F552" w14:textId="77777777" w:rsidR="002469AA" w:rsidRPr="002469AA" w:rsidRDefault="002469AA" w:rsidP="002469AA">
            <w:pPr>
              <w:ind w:firstLine="139"/>
              <w:rPr>
                <w:color w:val="FF0000"/>
                <w:sz w:val="28"/>
                <w:szCs w:val="28"/>
              </w:rPr>
            </w:pPr>
            <w:r w:rsidRPr="002469AA">
              <w:rPr>
                <w:color w:val="FF0000"/>
                <w:sz w:val="28"/>
                <w:szCs w:val="28"/>
              </w:rPr>
              <w:t>- Cải tạo 20 TBA 10kV lên vận hành 22kV, trong đó thay thế 10 MBA 10kV bằng MBA 22kV gồm ( điều chuyển nội bộ) :10 MBA 180-22/0,4kV, chuyển nấc vận hành lên 22kV cho 10 MBA.</w:t>
            </w:r>
          </w:p>
          <w:p w14:paraId="24FCC010" w14:textId="3E7A3556" w:rsidR="00EB1620" w:rsidRPr="00284C10" w:rsidRDefault="002469AA" w:rsidP="002469AA">
            <w:pPr>
              <w:ind w:firstLine="139"/>
              <w:rPr>
                <w:sz w:val="28"/>
                <w:szCs w:val="28"/>
              </w:rPr>
            </w:pPr>
            <w:r w:rsidRPr="002469AA">
              <w:rPr>
                <w:color w:val="FF0000"/>
                <w:sz w:val="28"/>
                <w:szCs w:val="28"/>
              </w:rPr>
              <w:t xml:space="preserve">- Lắp mới 01 Recloser 22kV và kết nối Recloser tại TTĐK và từ TTĐK kết nối </w:t>
            </w:r>
            <w:r w:rsidRPr="002469AA">
              <w:rPr>
                <w:color w:val="FF0000"/>
                <w:sz w:val="28"/>
                <w:szCs w:val="28"/>
              </w:rPr>
              <w:lastRenderedPageBreak/>
              <w:t>về Trung tâm giám sát dữ liệu của Tổng công ty nhằm đảm bảo ATTT theo quy định của EVNNPC.</w:t>
            </w:r>
          </w:p>
        </w:tc>
        <w:tc>
          <w:tcPr>
            <w:tcW w:w="1085" w:type="dxa"/>
            <w:shd w:val="clear" w:color="auto" w:fill="auto"/>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shd w:val="clear" w:color="auto" w:fill="auto"/>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shd w:val="clear" w:color="auto" w:fill="auto"/>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w:t>
      </w:r>
      <w:r w:rsidRPr="00C5429C">
        <w:rPr>
          <w:sz w:val="28"/>
          <w:szCs w:val="28"/>
          <w:lang w:val="it-IT"/>
        </w:rPr>
        <w:lastRenderedPageBreak/>
        <w:t xml:space="preserve">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6EF5" w14:textId="77777777" w:rsidR="00EC0EB1" w:rsidRDefault="00EC0EB1" w:rsidP="00E05AF1">
      <w:r>
        <w:separator/>
      </w:r>
    </w:p>
  </w:endnote>
  <w:endnote w:type="continuationSeparator" w:id="0">
    <w:p w14:paraId="6DFB0EE1" w14:textId="77777777" w:rsidR="00EC0EB1" w:rsidRDefault="00EC0E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52E" w14:textId="77777777" w:rsidR="00EC0EB1" w:rsidRDefault="00EC0EB1" w:rsidP="00E05AF1">
      <w:r>
        <w:separator/>
      </w:r>
    </w:p>
  </w:footnote>
  <w:footnote w:type="continuationSeparator" w:id="0">
    <w:p w14:paraId="47721303" w14:textId="77777777" w:rsidR="00EC0EB1" w:rsidRDefault="00EC0EB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370</cp:revision>
  <cp:lastPrinted>2024-09-20T00:38:00Z</cp:lastPrinted>
  <dcterms:created xsi:type="dcterms:W3CDTF">2018-10-21T03:53:00Z</dcterms:created>
  <dcterms:modified xsi:type="dcterms:W3CDTF">2025-11-10T07:14:00Z</dcterms:modified>
</cp:coreProperties>
</file>