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37C" w:rsidRPr="00F916C7" w:rsidRDefault="00EB237C" w:rsidP="00EB237C">
      <w:pPr>
        <w:spacing w:before="20" w:after="20"/>
        <w:jc w:val="center"/>
        <w:outlineLvl w:val="0"/>
        <w:rPr>
          <w:b/>
          <w:sz w:val="26"/>
          <w:szCs w:val="26"/>
          <w:lang w:val="nl-NL"/>
        </w:rPr>
      </w:pPr>
      <w:r w:rsidRPr="00F916C7">
        <w:rPr>
          <w:b/>
          <w:sz w:val="26"/>
          <w:szCs w:val="26"/>
          <w:lang w:val="nl-NL"/>
        </w:rPr>
        <w:t>Phần 2. YÊU CẦU VỀ KỸ THUẬT</w:t>
      </w:r>
    </w:p>
    <w:p w:rsidR="00EB237C" w:rsidRPr="00F916C7" w:rsidRDefault="00EB237C" w:rsidP="00EB237C">
      <w:pPr>
        <w:widowControl w:val="0"/>
        <w:spacing w:before="20" w:after="20"/>
        <w:jc w:val="center"/>
        <w:outlineLvl w:val="1"/>
        <w:rPr>
          <w:sz w:val="26"/>
          <w:szCs w:val="26"/>
          <w:lang w:val="nl-NL"/>
        </w:rPr>
      </w:pPr>
      <w:bookmarkStart w:id="0" w:name="_Hlk194476204"/>
      <w:bookmarkStart w:id="1" w:name="_Hlk201042844"/>
      <w:r w:rsidRPr="00F916C7">
        <w:rPr>
          <w:b/>
          <w:sz w:val="26"/>
          <w:szCs w:val="26"/>
          <w:lang w:val="nl-NL"/>
        </w:rPr>
        <w:t>Chương V. YÊU CẦU VỀ KỸ THUẬT</w:t>
      </w:r>
    </w:p>
    <w:p w:rsidR="00EB237C" w:rsidRPr="00F916C7" w:rsidRDefault="00EB237C" w:rsidP="00EB237C">
      <w:pPr>
        <w:pStyle w:val="Subtitle"/>
        <w:spacing w:before="20" w:after="20"/>
        <w:rPr>
          <w:sz w:val="26"/>
          <w:szCs w:val="26"/>
          <w:lang w:val="nl-NL"/>
        </w:rPr>
      </w:pPr>
    </w:p>
    <w:p w:rsidR="00EB237C" w:rsidRPr="00F916C7" w:rsidRDefault="00EB237C" w:rsidP="00EB237C">
      <w:pPr>
        <w:pStyle w:val="Subtitle"/>
        <w:rPr>
          <w:sz w:val="26"/>
          <w:szCs w:val="26"/>
          <w:lang w:val="nl-NL"/>
        </w:rPr>
      </w:pPr>
    </w:p>
    <w:bookmarkEnd w:id="0"/>
    <w:p w:rsidR="00EB237C" w:rsidRPr="00F916C7" w:rsidRDefault="00EB237C" w:rsidP="00EB237C">
      <w:pPr>
        <w:widowControl w:val="0"/>
        <w:spacing w:before="120" w:after="120" w:line="264" w:lineRule="auto"/>
        <w:ind w:firstLine="567"/>
        <w:rPr>
          <w:b/>
          <w:i/>
          <w:sz w:val="26"/>
          <w:szCs w:val="26"/>
          <w:lang w:val="nl-NL"/>
        </w:rPr>
      </w:pPr>
      <w:r w:rsidRPr="00F916C7">
        <w:rPr>
          <w:b/>
          <w:i/>
          <w:sz w:val="26"/>
          <w:szCs w:val="26"/>
          <w:lang w:val="nl-NL"/>
        </w:rPr>
        <w:t>1.1. Giới thiệu chung về dự án/</w:t>
      </w:r>
      <w:r w:rsidRPr="00F916C7">
        <w:rPr>
          <w:b/>
          <w:i/>
          <w:sz w:val="26"/>
          <w:szCs w:val="26"/>
        </w:rPr>
        <w:t>dự toán mua sắm</w:t>
      </w:r>
      <w:r w:rsidRPr="00F916C7">
        <w:rPr>
          <w:b/>
          <w:i/>
          <w:sz w:val="26"/>
          <w:szCs w:val="26"/>
          <w:lang w:val="nl-NL"/>
        </w:rPr>
        <w:t>, gói thầu</w:t>
      </w:r>
    </w:p>
    <w:p w:rsidR="00EB237C" w:rsidRPr="00F916C7" w:rsidRDefault="00EB237C" w:rsidP="00EB237C">
      <w:pPr>
        <w:spacing w:before="60" w:after="60"/>
        <w:ind w:firstLine="567"/>
        <w:rPr>
          <w:sz w:val="26"/>
          <w:szCs w:val="26"/>
          <w:lang w:val="nl-NL"/>
        </w:rPr>
      </w:pPr>
      <w:r w:rsidRPr="00F916C7">
        <w:rPr>
          <w:sz w:val="26"/>
          <w:szCs w:val="26"/>
        </w:rPr>
        <w:t xml:space="preserve">- </w:t>
      </w:r>
      <w:r w:rsidRPr="00F916C7">
        <w:rPr>
          <w:sz w:val="26"/>
          <w:szCs w:val="26"/>
          <w:lang w:val="nl-NL"/>
        </w:rPr>
        <w:t>Chủ đầu tư: Tổng công ty Giấy Việt Nam.</w:t>
      </w:r>
    </w:p>
    <w:p w:rsidR="00EB237C" w:rsidRPr="00F916C7" w:rsidRDefault="00EB237C" w:rsidP="00EB237C">
      <w:pPr>
        <w:spacing w:before="60" w:after="60"/>
        <w:ind w:firstLine="567"/>
        <w:rPr>
          <w:sz w:val="26"/>
          <w:szCs w:val="26"/>
        </w:rPr>
      </w:pPr>
      <w:r w:rsidRPr="00F916C7">
        <w:rPr>
          <w:sz w:val="26"/>
          <w:szCs w:val="26"/>
          <w:lang w:val="nl-NL"/>
        </w:rPr>
        <w:t xml:space="preserve">- </w:t>
      </w:r>
      <w:r w:rsidR="003D1F11">
        <w:rPr>
          <w:sz w:val="26"/>
          <w:szCs w:val="26"/>
          <w:lang w:val="nl-NL"/>
        </w:rPr>
        <w:t>Tên hàng hóa</w:t>
      </w:r>
      <w:r w:rsidRPr="00F916C7">
        <w:rPr>
          <w:sz w:val="26"/>
          <w:szCs w:val="26"/>
          <w:lang w:val="nl-NL"/>
        </w:rPr>
        <w:t xml:space="preserve">: </w:t>
      </w:r>
      <w:r w:rsidR="003D1F11">
        <w:rPr>
          <w:color w:val="FF0000"/>
          <w:sz w:val="26"/>
          <w:szCs w:val="26"/>
        </w:rPr>
        <w:t>Muối Natriclorua (Nacl).</w:t>
      </w:r>
      <w:bookmarkStart w:id="2" w:name="_GoBack"/>
      <w:bookmarkEnd w:id="2"/>
    </w:p>
    <w:p w:rsidR="00EB237C" w:rsidRPr="00F916C7" w:rsidRDefault="00EB237C" w:rsidP="00EB237C">
      <w:pPr>
        <w:spacing w:before="60" w:after="60"/>
        <w:ind w:firstLine="567"/>
        <w:rPr>
          <w:sz w:val="26"/>
          <w:szCs w:val="26"/>
        </w:rPr>
      </w:pPr>
      <w:r w:rsidRPr="00F916C7">
        <w:rPr>
          <w:sz w:val="26"/>
          <w:szCs w:val="26"/>
          <w:lang w:val="nl-NL"/>
        </w:rPr>
        <w:t xml:space="preserve">- Nguồn vốn: </w:t>
      </w:r>
      <w:r w:rsidRPr="00F916C7">
        <w:rPr>
          <w:sz w:val="26"/>
          <w:szCs w:val="26"/>
        </w:rPr>
        <w:t>Vốn sản xuất, kinh doanh</w:t>
      </w:r>
    </w:p>
    <w:p w:rsidR="00EB237C" w:rsidRPr="00F916C7" w:rsidRDefault="00EB237C" w:rsidP="00EB237C">
      <w:pPr>
        <w:spacing w:before="60" w:after="60"/>
        <w:ind w:firstLine="567"/>
        <w:rPr>
          <w:sz w:val="26"/>
          <w:szCs w:val="26"/>
          <w:lang w:val="da-DK"/>
        </w:rPr>
      </w:pPr>
      <w:r w:rsidRPr="00F916C7">
        <w:rPr>
          <w:sz w:val="26"/>
          <w:szCs w:val="26"/>
        </w:rPr>
        <w:t xml:space="preserve">- Hình thức, Phương thức lựa chọn nhà thầu: </w:t>
      </w:r>
      <w:r w:rsidR="00C12F9E" w:rsidRPr="00F916C7">
        <w:rPr>
          <w:sz w:val="26"/>
          <w:szCs w:val="26"/>
          <w:lang w:val="da-DK"/>
        </w:rPr>
        <w:t>Chào hàng cạnh tranh</w:t>
      </w:r>
      <w:r w:rsidRPr="00F916C7">
        <w:rPr>
          <w:sz w:val="26"/>
          <w:szCs w:val="26"/>
          <w:lang w:val="da-DK"/>
        </w:rPr>
        <w:t xml:space="preserve"> qua mạng, 01 giai đoạn 01 túi hồ sơ.</w:t>
      </w:r>
    </w:p>
    <w:p w:rsidR="00EB237C" w:rsidRPr="00F916C7" w:rsidRDefault="00EB237C" w:rsidP="00EB237C">
      <w:pPr>
        <w:spacing w:before="60" w:after="60"/>
        <w:ind w:firstLine="567"/>
        <w:rPr>
          <w:sz w:val="26"/>
          <w:szCs w:val="26"/>
          <w:lang w:val="da-DK"/>
        </w:rPr>
      </w:pPr>
      <w:r w:rsidRPr="00F916C7">
        <w:rPr>
          <w:sz w:val="26"/>
          <w:szCs w:val="26"/>
          <w:lang w:val="da-DK"/>
        </w:rPr>
        <w:t>- Yêu cầu về cung cấp hàng hóa thuộc gói thầu: Đạt chất lượng, số lượng và thời gian thực hiện gói thầu.</w:t>
      </w:r>
    </w:p>
    <w:p w:rsidR="00EB237C" w:rsidRPr="00F916C7" w:rsidRDefault="00EB237C" w:rsidP="00EB237C">
      <w:pPr>
        <w:spacing w:before="100"/>
        <w:ind w:firstLine="567"/>
        <w:rPr>
          <w:sz w:val="26"/>
          <w:szCs w:val="26"/>
          <w:lang w:val="da-DK"/>
        </w:rPr>
      </w:pPr>
      <w:r w:rsidRPr="00F916C7">
        <w:rPr>
          <w:sz w:val="26"/>
          <w:szCs w:val="26"/>
          <w:lang w:val="da-DK"/>
        </w:rPr>
        <w:t>- Loại hợp đồng: Trọn gói</w:t>
      </w:r>
    </w:p>
    <w:p w:rsidR="00EB237C" w:rsidRPr="00F916C7" w:rsidRDefault="00EB237C" w:rsidP="00EB237C">
      <w:pPr>
        <w:spacing w:before="100"/>
        <w:ind w:firstLine="567"/>
        <w:rPr>
          <w:sz w:val="26"/>
          <w:szCs w:val="26"/>
          <w:lang w:val="pt-BR"/>
        </w:rPr>
      </w:pPr>
      <w:r w:rsidRPr="00F916C7">
        <w:rPr>
          <w:sz w:val="26"/>
          <w:szCs w:val="26"/>
          <w:lang w:val="da-DK"/>
        </w:rPr>
        <w:t xml:space="preserve">- Thời gian thực hiện hợp đồng: </w:t>
      </w:r>
      <w:r w:rsidRPr="00F916C7">
        <w:rPr>
          <w:sz w:val="26"/>
          <w:szCs w:val="26"/>
          <w:lang w:val="pt-BR"/>
        </w:rPr>
        <w:t>Trong vòng 30 ngày kể từ ngày hợp đồng được ký kết.</w:t>
      </w:r>
    </w:p>
    <w:p w:rsidR="00EB237C" w:rsidRPr="00F916C7" w:rsidRDefault="00EB237C" w:rsidP="00EB237C">
      <w:pPr>
        <w:spacing w:before="60" w:after="60"/>
        <w:ind w:firstLine="567"/>
        <w:rPr>
          <w:sz w:val="26"/>
          <w:szCs w:val="26"/>
          <w:lang w:val="nl-NL"/>
        </w:rPr>
      </w:pPr>
      <w:r w:rsidRPr="00F916C7">
        <w:rPr>
          <w:sz w:val="26"/>
          <w:szCs w:val="26"/>
          <w:lang w:val="nl-NL"/>
        </w:rPr>
        <w:t xml:space="preserve">- Địa điểm: </w:t>
      </w:r>
      <w:r w:rsidRPr="00F916C7">
        <w:rPr>
          <w:color w:val="000000" w:themeColor="text1"/>
          <w:sz w:val="26"/>
          <w:szCs w:val="26"/>
        </w:rPr>
        <w:t xml:space="preserve">Tổng công ty Giấy Việt Nam, </w:t>
      </w:r>
      <w:r w:rsidR="00D23019" w:rsidRPr="00F916C7">
        <w:rPr>
          <w:color w:val="000000" w:themeColor="text1"/>
          <w:sz w:val="26"/>
          <w:szCs w:val="26"/>
        </w:rPr>
        <w:t>Xã</w:t>
      </w:r>
      <w:r w:rsidRPr="00F916C7">
        <w:rPr>
          <w:color w:val="000000" w:themeColor="text1"/>
          <w:sz w:val="26"/>
          <w:szCs w:val="26"/>
        </w:rPr>
        <w:t xml:space="preserve"> Phù Ninh, tỉnh Phú Thọ</w:t>
      </w:r>
      <w:r w:rsidRPr="00F916C7">
        <w:rPr>
          <w:sz w:val="26"/>
          <w:szCs w:val="26"/>
          <w:lang w:val="nl-NL"/>
        </w:rPr>
        <w:t>.</w:t>
      </w:r>
    </w:p>
    <w:p w:rsidR="00EB237C" w:rsidRPr="00F916C7" w:rsidRDefault="00EB237C" w:rsidP="00EB237C">
      <w:pPr>
        <w:widowControl w:val="0"/>
        <w:spacing w:before="120" w:after="120" w:line="264" w:lineRule="auto"/>
        <w:ind w:firstLine="567"/>
        <w:rPr>
          <w:b/>
          <w:i/>
          <w:sz w:val="26"/>
          <w:szCs w:val="26"/>
          <w:lang w:val="nl-NL"/>
        </w:rPr>
      </w:pPr>
      <w:r w:rsidRPr="00F916C7">
        <w:rPr>
          <w:b/>
          <w:i/>
          <w:sz w:val="26"/>
          <w:szCs w:val="26"/>
          <w:lang w:val="nl-NL"/>
        </w:rPr>
        <w:t>1.2. Yêu cầu về kỹ thuật</w:t>
      </w:r>
    </w:p>
    <w:p w:rsidR="00EB237C" w:rsidRPr="00F916C7" w:rsidRDefault="00EB237C" w:rsidP="00EB237C">
      <w:pPr>
        <w:widowControl w:val="0"/>
        <w:spacing w:before="120" w:after="120" w:line="264" w:lineRule="auto"/>
        <w:ind w:firstLine="567"/>
        <w:rPr>
          <w:i/>
          <w:spacing w:val="-2"/>
          <w:sz w:val="26"/>
          <w:szCs w:val="26"/>
          <w:lang w:val="nl-NL"/>
        </w:rPr>
      </w:pPr>
      <w:r w:rsidRPr="00F916C7">
        <w:rPr>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rsidR="00EB237C" w:rsidRPr="00F916C7" w:rsidRDefault="00EB237C" w:rsidP="00EB237C">
      <w:pPr>
        <w:widowControl w:val="0"/>
        <w:spacing w:before="120" w:after="120" w:line="264" w:lineRule="auto"/>
        <w:ind w:firstLine="567"/>
        <w:rPr>
          <w:i/>
          <w:spacing w:val="-2"/>
          <w:sz w:val="26"/>
          <w:szCs w:val="26"/>
          <w:lang w:val="nl-NL"/>
        </w:rPr>
      </w:pPr>
      <w:r w:rsidRPr="00F916C7">
        <w:rPr>
          <w:i/>
          <w:spacing w:val="-2"/>
          <w:sz w:val="26"/>
          <w:szCs w:val="26"/>
          <w:lang w:val="nl-NL"/>
        </w:rPr>
        <w:t>a) Yêu cầu về kỹ thuật chung:</w:t>
      </w:r>
    </w:p>
    <w:p w:rsidR="00EB237C" w:rsidRPr="00470025" w:rsidRDefault="00EB237C" w:rsidP="00470025">
      <w:pPr>
        <w:spacing w:before="60" w:after="60"/>
        <w:ind w:firstLine="567"/>
        <w:rPr>
          <w:sz w:val="26"/>
          <w:szCs w:val="26"/>
          <w:lang w:val="da-DK"/>
        </w:rPr>
      </w:pPr>
      <w:r w:rsidRPr="005C0A70">
        <w:rPr>
          <w:color w:val="FF0000"/>
          <w:sz w:val="26"/>
          <w:szCs w:val="26"/>
          <w:lang w:val="da-DK"/>
        </w:rPr>
        <w:t xml:space="preserve">- Muối </w:t>
      </w:r>
      <w:r w:rsidR="004A08FB" w:rsidRPr="005C0A70">
        <w:rPr>
          <w:color w:val="FF0000"/>
          <w:sz w:val="26"/>
          <w:szCs w:val="26"/>
          <w:lang w:val="da-DK"/>
        </w:rPr>
        <w:t>Natriclorua (</w:t>
      </w:r>
      <w:r w:rsidR="005E6B65" w:rsidRPr="005C0A70">
        <w:rPr>
          <w:color w:val="FF0000"/>
          <w:sz w:val="26"/>
          <w:szCs w:val="26"/>
          <w:lang w:val="da-DK"/>
        </w:rPr>
        <w:t>Nacl</w:t>
      </w:r>
      <w:r w:rsidR="004A08FB">
        <w:rPr>
          <w:sz w:val="26"/>
          <w:szCs w:val="26"/>
          <w:lang w:val="da-DK"/>
        </w:rPr>
        <w:t>)</w:t>
      </w:r>
      <w:r w:rsidRPr="00470025">
        <w:rPr>
          <w:sz w:val="26"/>
          <w:szCs w:val="26"/>
          <w:lang w:val="da-DK"/>
        </w:rPr>
        <w:t xml:space="preserve"> có thể ở dạng rời hoặc được đóng trong bao khô, sạch, hợp vệ sinh, duy trì được chất lượng sản phẩm.</w:t>
      </w:r>
    </w:p>
    <w:p w:rsidR="00EB237C" w:rsidRPr="00470025" w:rsidRDefault="00EB237C" w:rsidP="00470025">
      <w:pPr>
        <w:spacing w:before="60" w:after="60"/>
        <w:ind w:firstLine="567"/>
        <w:rPr>
          <w:sz w:val="26"/>
          <w:szCs w:val="26"/>
          <w:lang w:val="da-DK"/>
        </w:rPr>
      </w:pPr>
      <w:r w:rsidRPr="00470025">
        <w:rPr>
          <w:sz w:val="26"/>
          <w:szCs w:val="26"/>
          <w:lang w:val="da-DK"/>
        </w:rPr>
        <w:t>- Phương tiện vận chuyển muối công nghiệp phải khô, sạch, không có mùi lạ và không làm ảnh hưởng đến chất lượng của sản phẩm</w:t>
      </w:r>
    </w:p>
    <w:p w:rsidR="00EB237C" w:rsidRPr="00F916C7" w:rsidRDefault="00EB237C" w:rsidP="00EB237C">
      <w:pPr>
        <w:widowControl w:val="0"/>
        <w:spacing w:before="120" w:after="120" w:line="264" w:lineRule="auto"/>
        <w:ind w:firstLine="567"/>
        <w:rPr>
          <w:i/>
          <w:spacing w:val="-2"/>
          <w:sz w:val="26"/>
          <w:szCs w:val="26"/>
          <w:lang w:val="nl-NL"/>
        </w:rPr>
      </w:pPr>
      <w:r w:rsidRPr="00F916C7">
        <w:rPr>
          <w:i/>
          <w:spacing w:val="-2"/>
          <w:sz w:val="26"/>
          <w:szCs w:val="26"/>
          <w:lang w:val="nl-NL"/>
        </w:rPr>
        <w:t>b) Yêu cầu về kỹ thuật cụ thể:</w:t>
      </w: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4551"/>
        <w:gridCol w:w="1918"/>
        <w:gridCol w:w="2527"/>
      </w:tblGrid>
      <w:tr w:rsidR="00EB237C" w:rsidRPr="00F916C7" w:rsidTr="00A06599">
        <w:trPr>
          <w:jc w:val="center"/>
        </w:trPr>
        <w:tc>
          <w:tcPr>
            <w:tcW w:w="738" w:type="dxa"/>
            <w:shd w:val="clear" w:color="auto" w:fill="auto"/>
            <w:vAlign w:val="center"/>
          </w:tcPr>
          <w:p w:rsidR="00EB237C" w:rsidRPr="00F916C7" w:rsidRDefault="00EB237C" w:rsidP="00A06599">
            <w:pPr>
              <w:jc w:val="center"/>
              <w:rPr>
                <w:b/>
                <w:sz w:val="26"/>
                <w:szCs w:val="26"/>
                <w:lang w:val="nl-NL"/>
              </w:rPr>
            </w:pPr>
            <w:r w:rsidRPr="00F916C7">
              <w:rPr>
                <w:b/>
                <w:sz w:val="26"/>
                <w:szCs w:val="26"/>
                <w:lang w:val="nl-NL"/>
              </w:rPr>
              <w:t>STT</w:t>
            </w:r>
          </w:p>
        </w:tc>
        <w:tc>
          <w:tcPr>
            <w:tcW w:w="4551" w:type="dxa"/>
            <w:shd w:val="clear" w:color="auto" w:fill="auto"/>
            <w:vAlign w:val="center"/>
          </w:tcPr>
          <w:p w:rsidR="00EB237C" w:rsidRPr="00F916C7" w:rsidRDefault="00EB237C" w:rsidP="00A06599">
            <w:pPr>
              <w:jc w:val="center"/>
              <w:rPr>
                <w:b/>
                <w:sz w:val="26"/>
                <w:szCs w:val="26"/>
                <w:lang w:val="nl-NL"/>
              </w:rPr>
            </w:pPr>
            <w:r w:rsidRPr="00F916C7">
              <w:rPr>
                <w:b/>
                <w:sz w:val="26"/>
                <w:szCs w:val="26"/>
                <w:lang w:val="nl-NL"/>
              </w:rPr>
              <w:t>Tên chỉ tiêu chất lượng</w:t>
            </w:r>
          </w:p>
        </w:tc>
        <w:tc>
          <w:tcPr>
            <w:tcW w:w="1918" w:type="dxa"/>
            <w:shd w:val="clear" w:color="auto" w:fill="auto"/>
            <w:vAlign w:val="center"/>
          </w:tcPr>
          <w:p w:rsidR="00EB237C" w:rsidRPr="00F916C7" w:rsidRDefault="00EB237C" w:rsidP="00A06599">
            <w:pPr>
              <w:jc w:val="center"/>
              <w:rPr>
                <w:b/>
                <w:sz w:val="26"/>
                <w:szCs w:val="26"/>
                <w:lang w:val="nl-NL"/>
              </w:rPr>
            </w:pPr>
            <w:r w:rsidRPr="00F916C7">
              <w:rPr>
                <w:b/>
                <w:bCs/>
                <w:sz w:val="26"/>
                <w:szCs w:val="26"/>
              </w:rPr>
              <w:t>Đơn vị</w:t>
            </w:r>
          </w:p>
        </w:tc>
        <w:tc>
          <w:tcPr>
            <w:tcW w:w="2527" w:type="dxa"/>
            <w:vAlign w:val="center"/>
          </w:tcPr>
          <w:p w:rsidR="00EB237C" w:rsidRPr="00F916C7" w:rsidRDefault="00EB237C" w:rsidP="00A06599">
            <w:pPr>
              <w:jc w:val="center"/>
              <w:rPr>
                <w:b/>
                <w:sz w:val="26"/>
                <w:szCs w:val="26"/>
                <w:lang w:val="nl-NL"/>
              </w:rPr>
            </w:pPr>
            <w:r w:rsidRPr="00F916C7">
              <w:rPr>
                <w:b/>
                <w:bCs/>
                <w:sz w:val="26"/>
                <w:szCs w:val="26"/>
              </w:rPr>
              <w:t>Yêu cầu</w:t>
            </w:r>
          </w:p>
        </w:tc>
      </w:tr>
      <w:tr w:rsidR="00EB237C" w:rsidRPr="00F916C7" w:rsidTr="00A06599">
        <w:trPr>
          <w:jc w:val="center"/>
        </w:trPr>
        <w:tc>
          <w:tcPr>
            <w:tcW w:w="738" w:type="dxa"/>
            <w:shd w:val="clear" w:color="auto" w:fill="auto"/>
            <w:vAlign w:val="center"/>
          </w:tcPr>
          <w:p w:rsidR="00EB237C" w:rsidRPr="00F916C7" w:rsidRDefault="00EB237C" w:rsidP="00A06599">
            <w:pPr>
              <w:jc w:val="center"/>
              <w:rPr>
                <w:sz w:val="26"/>
                <w:szCs w:val="26"/>
                <w:lang w:val="nl-NL"/>
              </w:rPr>
            </w:pPr>
            <w:r w:rsidRPr="00F916C7">
              <w:rPr>
                <w:sz w:val="26"/>
                <w:szCs w:val="26"/>
                <w:lang w:val="nl-NL"/>
              </w:rPr>
              <w:t>1</w:t>
            </w:r>
          </w:p>
        </w:tc>
        <w:tc>
          <w:tcPr>
            <w:tcW w:w="4551" w:type="dxa"/>
            <w:shd w:val="clear" w:color="auto" w:fill="auto"/>
            <w:vAlign w:val="center"/>
          </w:tcPr>
          <w:p w:rsidR="00EB237C" w:rsidRPr="00F916C7" w:rsidRDefault="00EB237C" w:rsidP="00A06599">
            <w:pPr>
              <w:rPr>
                <w:sz w:val="26"/>
                <w:szCs w:val="26"/>
                <w:lang w:val="nl-NL"/>
              </w:rPr>
            </w:pPr>
            <w:r w:rsidRPr="00F916C7">
              <w:rPr>
                <w:sz w:val="26"/>
                <w:szCs w:val="26"/>
              </w:rPr>
              <w:t>Hàm lượng NaCl</w:t>
            </w:r>
          </w:p>
        </w:tc>
        <w:tc>
          <w:tcPr>
            <w:tcW w:w="1918" w:type="dxa"/>
            <w:shd w:val="clear" w:color="auto" w:fill="auto"/>
            <w:vAlign w:val="center"/>
          </w:tcPr>
          <w:p w:rsidR="00EB237C" w:rsidRPr="00F916C7" w:rsidRDefault="00EB237C" w:rsidP="00A06599">
            <w:pPr>
              <w:jc w:val="center"/>
              <w:rPr>
                <w:sz w:val="26"/>
                <w:szCs w:val="26"/>
                <w:lang w:val="nl-NL"/>
              </w:rPr>
            </w:pPr>
            <w:r w:rsidRPr="00F916C7">
              <w:rPr>
                <w:sz w:val="26"/>
                <w:szCs w:val="26"/>
              </w:rPr>
              <w:t>%</w:t>
            </w:r>
          </w:p>
        </w:tc>
        <w:tc>
          <w:tcPr>
            <w:tcW w:w="2527" w:type="dxa"/>
            <w:vAlign w:val="center"/>
          </w:tcPr>
          <w:p w:rsidR="00EB237C" w:rsidRPr="00F916C7" w:rsidRDefault="00EB237C" w:rsidP="00A06599">
            <w:pPr>
              <w:jc w:val="center"/>
              <w:rPr>
                <w:sz w:val="26"/>
                <w:szCs w:val="26"/>
                <w:lang w:val="nl-NL"/>
              </w:rPr>
            </w:pPr>
            <w:r w:rsidRPr="00F916C7">
              <w:rPr>
                <w:sz w:val="26"/>
                <w:szCs w:val="26"/>
              </w:rPr>
              <w:t>≥ 95,0</w:t>
            </w:r>
          </w:p>
        </w:tc>
      </w:tr>
      <w:tr w:rsidR="00EB237C" w:rsidRPr="00F916C7" w:rsidTr="00A06599">
        <w:trPr>
          <w:jc w:val="center"/>
        </w:trPr>
        <w:tc>
          <w:tcPr>
            <w:tcW w:w="738" w:type="dxa"/>
            <w:shd w:val="clear" w:color="auto" w:fill="auto"/>
            <w:vAlign w:val="center"/>
          </w:tcPr>
          <w:p w:rsidR="00EB237C" w:rsidRPr="00F916C7" w:rsidRDefault="00EB237C" w:rsidP="00A06599">
            <w:pPr>
              <w:jc w:val="center"/>
              <w:rPr>
                <w:sz w:val="26"/>
                <w:szCs w:val="26"/>
                <w:lang w:val="nl-NL"/>
              </w:rPr>
            </w:pPr>
            <w:r w:rsidRPr="00F916C7">
              <w:rPr>
                <w:sz w:val="26"/>
                <w:szCs w:val="26"/>
                <w:lang w:val="nl-NL"/>
              </w:rPr>
              <w:t>2</w:t>
            </w:r>
          </w:p>
        </w:tc>
        <w:tc>
          <w:tcPr>
            <w:tcW w:w="4551" w:type="dxa"/>
            <w:shd w:val="clear" w:color="auto" w:fill="auto"/>
            <w:vAlign w:val="center"/>
          </w:tcPr>
          <w:p w:rsidR="00EB237C" w:rsidRPr="00F916C7" w:rsidRDefault="00EB237C" w:rsidP="00A06599">
            <w:pPr>
              <w:rPr>
                <w:sz w:val="26"/>
                <w:szCs w:val="26"/>
                <w:lang w:val="nl-NL"/>
              </w:rPr>
            </w:pPr>
            <w:r w:rsidRPr="00F916C7">
              <w:rPr>
                <w:sz w:val="26"/>
                <w:szCs w:val="26"/>
              </w:rPr>
              <w:t>Hàm lượng Ca</w:t>
            </w:r>
            <w:r w:rsidRPr="00F916C7">
              <w:rPr>
                <w:sz w:val="26"/>
                <w:szCs w:val="26"/>
                <w:vertAlign w:val="superscript"/>
              </w:rPr>
              <w:t>2+</w:t>
            </w:r>
          </w:p>
        </w:tc>
        <w:tc>
          <w:tcPr>
            <w:tcW w:w="1918" w:type="dxa"/>
            <w:shd w:val="clear" w:color="auto" w:fill="auto"/>
            <w:vAlign w:val="center"/>
          </w:tcPr>
          <w:p w:rsidR="00EB237C" w:rsidRPr="00F916C7" w:rsidRDefault="00EB237C" w:rsidP="00A06599">
            <w:pPr>
              <w:jc w:val="center"/>
              <w:rPr>
                <w:sz w:val="26"/>
                <w:szCs w:val="26"/>
                <w:lang w:val="nl-NL"/>
              </w:rPr>
            </w:pPr>
            <w:r w:rsidRPr="00F916C7">
              <w:rPr>
                <w:sz w:val="26"/>
                <w:szCs w:val="26"/>
              </w:rPr>
              <w:t>%</w:t>
            </w:r>
          </w:p>
        </w:tc>
        <w:tc>
          <w:tcPr>
            <w:tcW w:w="2527" w:type="dxa"/>
            <w:vAlign w:val="center"/>
          </w:tcPr>
          <w:p w:rsidR="00EB237C" w:rsidRPr="00F916C7" w:rsidRDefault="00EB237C" w:rsidP="00A06599">
            <w:pPr>
              <w:jc w:val="center"/>
              <w:rPr>
                <w:sz w:val="26"/>
                <w:szCs w:val="26"/>
                <w:lang w:val="nl-NL"/>
              </w:rPr>
            </w:pPr>
            <w:r w:rsidRPr="00F916C7">
              <w:rPr>
                <w:sz w:val="26"/>
                <w:szCs w:val="26"/>
              </w:rPr>
              <w:t>≤ 0,2</w:t>
            </w:r>
          </w:p>
        </w:tc>
      </w:tr>
      <w:tr w:rsidR="00EB237C" w:rsidRPr="00F916C7" w:rsidTr="00A06599">
        <w:trPr>
          <w:jc w:val="center"/>
        </w:trPr>
        <w:tc>
          <w:tcPr>
            <w:tcW w:w="738" w:type="dxa"/>
            <w:shd w:val="clear" w:color="auto" w:fill="auto"/>
            <w:vAlign w:val="center"/>
          </w:tcPr>
          <w:p w:rsidR="00EB237C" w:rsidRPr="00F916C7" w:rsidRDefault="00EB237C" w:rsidP="00A06599">
            <w:pPr>
              <w:jc w:val="center"/>
              <w:rPr>
                <w:sz w:val="26"/>
                <w:szCs w:val="26"/>
                <w:lang w:val="nl-NL"/>
              </w:rPr>
            </w:pPr>
            <w:r w:rsidRPr="00F916C7">
              <w:rPr>
                <w:sz w:val="26"/>
                <w:szCs w:val="26"/>
                <w:lang w:val="nl-NL"/>
              </w:rPr>
              <w:t>3</w:t>
            </w:r>
          </w:p>
        </w:tc>
        <w:tc>
          <w:tcPr>
            <w:tcW w:w="4551" w:type="dxa"/>
            <w:shd w:val="clear" w:color="auto" w:fill="auto"/>
          </w:tcPr>
          <w:p w:rsidR="00EB237C" w:rsidRPr="00F916C7" w:rsidRDefault="00EB237C" w:rsidP="00A06599">
            <w:pPr>
              <w:rPr>
                <w:sz w:val="26"/>
                <w:szCs w:val="26"/>
              </w:rPr>
            </w:pPr>
            <w:r w:rsidRPr="00F916C7">
              <w:rPr>
                <w:sz w:val="26"/>
                <w:szCs w:val="26"/>
              </w:rPr>
              <w:t>Hàm lượng Mg</w:t>
            </w:r>
            <w:r w:rsidRPr="00F916C7">
              <w:rPr>
                <w:sz w:val="26"/>
                <w:szCs w:val="26"/>
                <w:vertAlign w:val="superscript"/>
              </w:rPr>
              <w:t>2+</w:t>
            </w:r>
          </w:p>
        </w:tc>
        <w:tc>
          <w:tcPr>
            <w:tcW w:w="1918" w:type="dxa"/>
            <w:shd w:val="clear" w:color="auto" w:fill="auto"/>
          </w:tcPr>
          <w:p w:rsidR="00EB237C" w:rsidRPr="00F916C7" w:rsidRDefault="00EB237C" w:rsidP="00A06599">
            <w:pPr>
              <w:jc w:val="center"/>
              <w:rPr>
                <w:sz w:val="26"/>
                <w:szCs w:val="26"/>
                <w:lang w:val="nl-NL"/>
              </w:rPr>
            </w:pPr>
            <w:r w:rsidRPr="00F916C7">
              <w:rPr>
                <w:sz w:val="26"/>
                <w:szCs w:val="26"/>
              </w:rPr>
              <w:t>%</w:t>
            </w:r>
          </w:p>
        </w:tc>
        <w:tc>
          <w:tcPr>
            <w:tcW w:w="2527" w:type="dxa"/>
          </w:tcPr>
          <w:p w:rsidR="00EB237C" w:rsidRPr="00F916C7" w:rsidRDefault="00EB237C" w:rsidP="00A06599">
            <w:pPr>
              <w:jc w:val="center"/>
              <w:rPr>
                <w:sz w:val="26"/>
                <w:szCs w:val="26"/>
                <w:lang w:val="nl-NL"/>
              </w:rPr>
            </w:pPr>
            <w:r w:rsidRPr="00F916C7">
              <w:rPr>
                <w:sz w:val="26"/>
                <w:szCs w:val="26"/>
              </w:rPr>
              <w:t>≤  0,15</w:t>
            </w:r>
          </w:p>
        </w:tc>
      </w:tr>
      <w:tr w:rsidR="00EB237C" w:rsidRPr="00F916C7" w:rsidTr="00A06599">
        <w:trPr>
          <w:jc w:val="center"/>
        </w:trPr>
        <w:tc>
          <w:tcPr>
            <w:tcW w:w="738" w:type="dxa"/>
            <w:shd w:val="clear" w:color="auto" w:fill="auto"/>
            <w:vAlign w:val="center"/>
          </w:tcPr>
          <w:p w:rsidR="00EB237C" w:rsidRPr="00F916C7" w:rsidRDefault="00EB237C" w:rsidP="00A06599">
            <w:pPr>
              <w:jc w:val="center"/>
              <w:rPr>
                <w:sz w:val="26"/>
                <w:szCs w:val="26"/>
                <w:lang w:val="nl-NL"/>
              </w:rPr>
            </w:pPr>
            <w:r w:rsidRPr="00F916C7">
              <w:rPr>
                <w:sz w:val="26"/>
                <w:szCs w:val="26"/>
                <w:lang w:val="nl-NL"/>
              </w:rPr>
              <w:t>4</w:t>
            </w:r>
          </w:p>
        </w:tc>
        <w:tc>
          <w:tcPr>
            <w:tcW w:w="4551" w:type="dxa"/>
            <w:shd w:val="clear" w:color="auto" w:fill="auto"/>
          </w:tcPr>
          <w:p w:rsidR="00EB237C" w:rsidRPr="00F916C7" w:rsidRDefault="00EB237C" w:rsidP="00A06599">
            <w:pPr>
              <w:rPr>
                <w:sz w:val="26"/>
                <w:szCs w:val="26"/>
              </w:rPr>
            </w:pPr>
            <w:r w:rsidRPr="00F916C7">
              <w:rPr>
                <w:sz w:val="26"/>
                <w:szCs w:val="26"/>
              </w:rPr>
              <w:t>Hàm lượng SO</w:t>
            </w:r>
            <w:r w:rsidRPr="00F916C7">
              <w:rPr>
                <w:sz w:val="26"/>
                <w:szCs w:val="26"/>
                <w:vertAlign w:val="subscript"/>
              </w:rPr>
              <w:t>4</w:t>
            </w:r>
            <w:r w:rsidRPr="00F916C7">
              <w:rPr>
                <w:sz w:val="26"/>
                <w:szCs w:val="26"/>
                <w:vertAlign w:val="superscript"/>
              </w:rPr>
              <w:t>2</w:t>
            </w:r>
            <w:r w:rsidRPr="00F916C7">
              <w:rPr>
                <w:sz w:val="26"/>
                <w:szCs w:val="26"/>
              </w:rPr>
              <w:t>'</w:t>
            </w:r>
          </w:p>
        </w:tc>
        <w:tc>
          <w:tcPr>
            <w:tcW w:w="1918" w:type="dxa"/>
            <w:shd w:val="clear" w:color="auto" w:fill="auto"/>
          </w:tcPr>
          <w:p w:rsidR="00EB237C" w:rsidRPr="00F916C7" w:rsidRDefault="00EB237C" w:rsidP="00A06599">
            <w:pPr>
              <w:jc w:val="center"/>
              <w:rPr>
                <w:sz w:val="26"/>
                <w:szCs w:val="26"/>
                <w:lang w:val="nl-NL"/>
              </w:rPr>
            </w:pPr>
            <w:r w:rsidRPr="00F916C7">
              <w:rPr>
                <w:sz w:val="26"/>
                <w:szCs w:val="26"/>
              </w:rPr>
              <w:t>%</w:t>
            </w:r>
          </w:p>
        </w:tc>
        <w:tc>
          <w:tcPr>
            <w:tcW w:w="2527" w:type="dxa"/>
          </w:tcPr>
          <w:p w:rsidR="00EB237C" w:rsidRPr="00F916C7" w:rsidRDefault="00EB237C" w:rsidP="00A06599">
            <w:pPr>
              <w:jc w:val="center"/>
              <w:rPr>
                <w:sz w:val="26"/>
                <w:szCs w:val="26"/>
                <w:lang w:val="nl-NL"/>
              </w:rPr>
            </w:pPr>
            <w:r w:rsidRPr="00F916C7">
              <w:rPr>
                <w:sz w:val="26"/>
                <w:szCs w:val="26"/>
              </w:rPr>
              <w:t>≤ 0,6</w:t>
            </w:r>
          </w:p>
        </w:tc>
      </w:tr>
      <w:tr w:rsidR="00EB237C" w:rsidRPr="00F916C7" w:rsidTr="00A06599">
        <w:trPr>
          <w:jc w:val="center"/>
        </w:trPr>
        <w:tc>
          <w:tcPr>
            <w:tcW w:w="738" w:type="dxa"/>
            <w:shd w:val="clear" w:color="auto" w:fill="auto"/>
            <w:vAlign w:val="center"/>
          </w:tcPr>
          <w:p w:rsidR="00EB237C" w:rsidRPr="00F916C7" w:rsidRDefault="00EB237C" w:rsidP="00A06599">
            <w:pPr>
              <w:jc w:val="center"/>
              <w:rPr>
                <w:sz w:val="26"/>
                <w:szCs w:val="26"/>
                <w:lang w:val="nl-NL"/>
              </w:rPr>
            </w:pPr>
            <w:r w:rsidRPr="00F916C7">
              <w:rPr>
                <w:sz w:val="26"/>
                <w:szCs w:val="26"/>
                <w:lang w:val="nl-NL"/>
              </w:rPr>
              <w:t>5</w:t>
            </w:r>
          </w:p>
        </w:tc>
        <w:tc>
          <w:tcPr>
            <w:tcW w:w="4551" w:type="dxa"/>
            <w:shd w:val="clear" w:color="auto" w:fill="auto"/>
          </w:tcPr>
          <w:p w:rsidR="00EB237C" w:rsidRPr="00F916C7" w:rsidRDefault="00EB237C" w:rsidP="00A06599">
            <w:pPr>
              <w:rPr>
                <w:sz w:val="26"/>
                <w:szCs w:val="26"/>
              </w:rPr>
            </w:pPr>
            <w:r w:rsidRPr="00F916C7">
              <w:rPr>
                <w:sz w:val="26"/>
                <w:szCs w:val="26"/>
              </w:rPr>
              <w:t>Độ ẩm</w:t>
            </w:r>
          </w:p>
        </w:tc>
        <w:tc>
          <w:tcPr>
            <w:tcW w:w="1918" w:type="dxa"/>
            <w:shd w:val="clear" w:color="auto" w:fill="auto"/>
          </w:tcPr>
          <w:p w:rsidR="00EB237C" w:rsidRPr="00F916C7" w:rsidRDefault="00EB237C" w:rsidP="00A06599">
            <w:pPr>
              <w:jc w:val="center"/>
              <w:rPr>
                <w:sz w:val="26"/>
                <w:szCs w:val="26"/>
                <w:lang w:val="nl-NL"/>
              </w:rPr>
            </w:pPr>
            <w:r w:rsidRPr="00F916C7">
              <w:rPr>
                <w:sz w:val="26"/>
                <w:szCs w:val="26"/>
              </w:rPr>
              <w:t>%</w:t>
            </w:r>
          </w:p>
        </w:tc>
        <w:tc>
          <w:tcPr>
            <w:tcW w:w="2527" w:type="dxa"/>
          </w:tcPr>
          <w:p w:rsidR="00EB237C" w:rsidRPr="00F916C7" w:rsidRDefault="00EB237C" w:rsidP="00A06599">
            <w:pPr>
              <w:jc w:val="center"/>
              <w:rPr>
                <w:sz w:val="26"/>
                <w:szCs w:val="26"/>
                <w:lang w:val="nl-NL"/>
              </w:rPr>
            </w:pPr>
            <w:r w:rsidRPr="00F916C7">
              <w:rPr>
                <w:sz w:val="26"/>
                <w:szCs w:val="26"/>
              </w:rPr>
              <w:t>≤ 5,0</w:t>
            </w:r>
          </w:p>
        </w:tc>
      </w:tr>
      <w:tr w:rsidR="00EB237C" w:rsidRPr="00F916C7" w:rsidTr="00A06599">
        <w:trPr>
          <w:jc w:val="center"/>
        </w:trPr>
        <w:tc>
          <w:tcPr>
            <w:tcW w:w="738" w:type="dxa"/>
            <w:shd w:val="clear" w:color="auto" w:fill="auto"/>
            <w:vAlign w:val="center"/>
          </w:tcPr>
          <w:p w:rsidR="00EB237C" w:rsidRPr="00F916C7" w:rsidRDefault="00EB237C" w:rsidP="00A06599">
            <w:pPr>
              <w:jc w:val="center"/>
              <w:rPr>
                <w:sz w:val="26"/>
                <w:szCs w:val="26"/>
                <w:lang w:val="nl-NL"/>
              </w:rPr>
            </w:pPr>
            <w:r w:rsidRPr="00F916C7">
              <w:rPr>
                <w:sz w:val="26"/>
                <w:szCs w:val="26"/>
                <w:lang w:val="nl-NL"/>
              </w:rPr>
              <w:t>6</w:t>
            </w:r>
          </w:p>
        </w:tc>
        <w:tc>
          <w:tcPr>
            <w:tcW w:w="4551" w:type="dxa"/>
            <w:shd w:val="clear" w:color="auto" w:fill="auto"/>
          </w:tcPr>
          <w:p w:rsidR="00EB237C" w:rsidRPr="00F916C7" w:rsidRDefault="00EB237C" w:rsidP="00A06599">
            <w:pPr>
              <w:pStyle w:val="Khc0"/>
              <w:ind w:firstLine="0"/>
              <w:rPr>
                <w:rFonts w:ascii="Times New Roman" w:hAnsi="Times New Roman"/>
                <w:sz w:val="26"/>
                <w:szCs w:val="26"/>
              </w:rPr>
            </w:pPr>
            <w:r w:rsidRPr="00F916C7">
              <w:rPr>
                <w:rFonts w:ascii="Times New Roman" w:hAnsi="Times New Roman"/>
                <w:sz w:val="26"/>
                <w:szCs w:val="26"/>
              </w:rPr>
              <w:t>Hàm lượng chất không tan trong nước (khối lượng chất khô)</w:t>
            </w:r>
          </w:p>
        </w:tc>
        <w:tc>
          <w:tcPr>
            <w:tcW w:w="1918" w:type="dxa"/>
            <w:shd w:val="clear" w:color="auto" w:fill="auto"/>
            <w:vAlign w:val="center"/>
          </w:tcPr>
          <w:p w:rsidR="00EB237C" w:rsidRPr="00F916C7" w:rsidRDefault="00EB237C" w:rsidP="00A06599">
            <w:pPr>
              <w:jc w:val="center"/>
              <w:rPr>
                <w:sz w:val="26"/>
                <w:szCs w:val="26"/>
              </w:rPr>
            </w:pPr>
            <w:r w:rsidRPr="00F916C7">
              <w:rPr>
                <w:sz w:val="26"/>
                <w:szCs w:val="26"/>
              </w:rPr>
              <w:t>%</w:t>
            </w:r>
          </w:p>
        </w:tc>
        <w:tc>
          <w:tcPr>
            <w:tcW w:w="2527" w:type="dxa"/>
            <w:vAlign w:val="center"/>
          </w:tcPr>
          <w:p w:rsidR="00EB237C" w:rsidRPr="00F916C7" w:rsidRDefault="00EB237C" w:rsidP="00A06599">
            <w:pPr>
              <w:jc w:val="center"/>
              <w:rPr>
                <w:sz w:val="26"/>
                <w:szCs w:val="26"/>
              </w:rPr>
            </w:pPr>
            <w:r w:rsidRPr="00F916C7">
              <w:rPr>
                <w:sz w:val="26"/>
                <w:szCs w:val="26"/>
              </w:rPr>
              <w:t>≤ 0,3</w:t>
            </w:r>
          </w:p>
        </w:tc>
      </w:tr>
      <w:tr w:rsidR="00EB237C" w:rsidRPr="00F916C7" w:rsidTr="00A06599">
        <w:trPr>
          <w:jc w:val="center"/>
        </w:trPr>
        <w:tc>
          <w:tcPr>
            <w:tcW w:w="738" w:type="dxa"/>
            <w:shd w:val="clear" w:color="auto" w:fill="auto"/>
            <w:vAlign w:val="center"/>
          </w:tcPr>
          <w:p w:rsidR="00EB237C" w:rsidRPr="00F916C7" w:rsidRDefault="00EB237C" w:rsidP="00A06599">
            <w:pPr>
              <w:jc w:val="center"/>
              <w:rPr>
                <w:sz w:val="26"/>
                <w:szCs w:val="26"/>
                <w:lang w:val="nl-NL"/>
              </w:rPr>
            </w:pPr>
            <w:r w:rsidRPr="00F916C7">
              <w:rPr>
                <w:sz w:val="26"/>
                <w:szCs w:val="26"/>
                <w:lang w:val="nl-NL"/>
              </w:rPr>
              <w:t>7</w:t>
            </w:r>
          </w:p>
        </w:tc>
        <w:tc>
          <w:tcPr>
            <w:tcW w:w="8996" w:type="dxa"/>
            <w:gridSpan w:val="3"/>
            <w:shd w:val="clear" w:color="auto" w:fill="auto"/>
            <w:vAlign w:val="center"/>
          </w:tcPr>
          <w:p w:rsidR="00EB237C" w:rsidRPr="00F916C7" w:rsidRDefault="00EB237C" w:rsidP="00A06599">
            <w:pPr>
              <w:pStyle w:val="Khc0"/>
              <w:ind w:firstLine="0"/>
              <w:rPr>
                <w:rFonts w:ascii="Times New Roman" w:hAnsi="Times New Roman"/>
                <w:sz w:val="26"/>
                <w:szCs w:val="26"/>
              </w:rPr>
            </w:pPr>
            <w:r w:rsidRPr="00F916C7">
              <w:rPr>
                <w:rFonts w:ascii="Times New Roman" w:hAnsi="Times New Roman"/>
                <w:sz w:val="26"/>
                <w:szCs w:val="26"/>
              </w:rPr>
              <w:t>Cảm quan:</w:t>
            </w:r>
          </w:p>
          <w:p w:rsidR="00EB237C" w:rsidRPr="00F916C7" w:rsidRDefault="00EB237C" w:rsidP="00EB237C">
            <w:pPr>
              <w:pStyle w:val="Khc0"/>
              <w:numPr>
                <w:ilvl w:val="0"/>
                <w:numId w:val="1"/>
              </w:numPr>
              <w:tabs>
                <w:tab w:val="left" w:pos="154"/>
              </w:tabs>
              <w:spacing w:after="0" w:line="240" w:lineRule="auto"/>
              <w:ind w:firstLine="0"/>
              <w:rPr>
                <w:rFonts w:ascii="Times New Roman" w:hAnsi="Times New Roman"/>
                <w:sz w:val="26"/>
                <w:szCs w:val="26"/>
              </w:rPr>
            </w:pPr>
            <w:r w:rsidRPr="00F916C7">
              <w:rPr>
                <w:rFonts w:ascii="Times New Roman" w:hAnsi="Times New Roman"/>
                <w:sz w:val="26"/>
                <w:szCs w:val="26"/>
              </w:rPr>
              <w:t>Màu sắc: Trắng, trắng trong, trắ</w:t>
            </w:r>
            <w:r w:rsidR="00C33986">
              <w:rPr>
                <w:rFonts w:ascii="Times New Roman" w:hAnsi="Times New Roman"/>
                <w:sz w:val="26"/>
                <w:szCs w:val="26"/>
              </w:rPr>
              <w:t xml:space="preserve">ng ánh vàng hoặc </w:t>
            </w:r>
            <w:r w:rsidRPr="00F916C7">
              <w:rPr>
                <w:rFonts w:ascii="Times New Roman" w:hAnsi="Times New Roman"/>
                <w:sz w:val="26"/>
                <w:szCs w:val="26"/>
              </w:rPr>
              <w:t>trắng ánh hồng;</w:t>
            </w:r>
          </w:p>
          <w:p w:rsidR="00EB237C" w:rsidRPr="00F916C7" w:rsidRDefault="00EB237C" w:rsidP="00EB237C">
            <w:pPr>
              <w:pStyle w:val="Khc0"/>
              <w:numPr>
                <w:ilvl w:val="0"/>
                <w:numId w:val="1"/>
              </w:numPr>
              <w:tabs>
                <w:tab w:val="left" w:pos="158"/>
              </w:tabs>
              <w:spacing w:after="0" w:line="240" w:lineRule="auto"/>
              <w:ind w:firstLine="0"/>
              <w:rPr>
                <w:rFonts w:ascii="Times New Roman" w:hAnsi="Times New Roman"/>
                <w:sz w:val="26"/>
                <w:szCs w:val="26"/>
              </w:rPr>
            </w:pPr>
            <w:r w:rsidRPr="00F916C7">
              <w:rPr>
                <w:rFonts w:ascii="Times New Roman" w:hAnsi="Times New Roman"/>
                <w:sz w:val="26"/>
                <w:szCs w:val="26"/>
              </w:rPr>
              <w:lastRenderedPageBreak/>
              <w:t>Mùi: Không mùi;</w:t>
            </w:r>
          </w:p>
          <w:p w:rsidR="00CC12DD" w:rsidRDefault="00EB237C" w:rsidP="00A06599">
            <w:pPr>
              <w:rPr>
                <w:sz w:val="26"/>
                <w:szCs w:val="26"/>
              </w:rPr>
            </w:pPr>
            <w:r w:rsidRPr="00F916C7">
              <w:rPr>
                <w:sz w:val="26"/>
                <w:szCs w:val="26"/>
              </w:rPr>
              <w:t xml:space="preserve">- Vị: Dung dịch 5% có vị mặn đặc trưng của muối, không có vị lạ; </w:t>
            </w:r>
          </w:p>
          <w:p w:rsidR="00EB237C" w:rsidRPr="00F916C7" w:rsidRDefault="00EB237C" w:rsidP="00A06599">
            <w:pPr>
              <w:rPr>
                <w:sz w:val="26"/>
                <w:szCs w:val="26"/>
              </w:rPr>
            </w:pPr>
            <w:r w:rsidRPr="00F916C7">
              <w:rPr>
                <w:sz w:val="26"/>
                <w:szCs w:val="26"/>
              </w:rPr>
              <w:t>Trạng thái: Khô rời</w:t>
            </w:r>
          </w:p>
        </w:tc>
      </w:tr>
    </w:tbl>
    <w:p w:rsidR="00EB237C" w:rsidRPr="00F916C7" w:rsidRDefault="00EB237C" w:rsidP="00EB237C">
      <w:pPr>
        <w:ind w:firstLine="567"/>
        <w:rPr>
          <w:sz w:val="26"/>
          <w:szCs w:val="26"/>
        </w:rPr>
      </w:pPr>
    </w:p>
    <w:p w:rsidR="00EB237C" w:rsidRPr="00F916C7" w:rsidRDefault="00EB237C" w:rsidP="00EB237C">
      <w:pPr>
        <w:spacing w:before="120" w:after="120" w:line="264" w:lineRule="auto"/>
        <w:ind w:firstLine="567"/>
        <w:rPr>
          <w:b/>
          <w:i/>
          <w:sz w:val="26"/>
          <w:szCs w:val="26"/>
          <w:lang w:val="nl-NL"/>
        </w:rPr>
      </w:pPr>
      <w:r w:rsidRPr="00F916C7">
        <w:rPr>
          <w:b/>
          <w:i/>
          <w:sz w:val="26"/>
          <w:szCs w:val="26"/>
          <w:lang w:val="nl-NL"/>
        </w:rPr>
        <w:t>1.3. Các yêu cầu khác</w:t>
      </w:r>
    </w:p>
    <w:p w:rsidR="00EB237C" w:rsidRPr="00F916C7" w:rsidRDefault="00EB237C" w:rsidP="00EB237C">
      <w:pPr>
        <w:ind w:firstLine="567"/>
        <w:rPr>
          <w:sz w:val="26"/>
          <w:szCs w:val="26"/>
          <w:lang w:val="vi-VN"/>
        </w:rPr>
      </w:pPr>
      <w:r w:rsidRPr="00F916C7">
        <w:rPr>
          <w:sz w:val="26"/>
          <w:szCs w:val="26"/>
        </w:rPr>
        <w:t xml:space="preserve">-  Phương thức thanh toán: </w:t>
      </w:r>
      <w:r w:rsidRPr="00F916C7">
        <w:rPr>
          <w:sz w:val="26"/>
          <w:szCs w:val="26"/>
          <w:lang w:val="vi-VN"/>
        </w:rPr>
        <w:t>Thanh toán</w:t>
      </w:r>
      <w:r w:rsidRPr="00F916C7">
        <w:rPr>
          <w:sz w:val="26"/>
          <w:szCs w:val="26"/>
        </w:rPr>
        <w:t xml:space="preserve"> 100%</w:t>
      </w:r>
      <w:r w:rsidRPr="00F916C7">
        <w:rPr>
          <w:sz w:val="26"/>
          <w:szCs w:val="26"/>
          <w:lang w:val="vi-VN"/>
        </w:rPr>
        <w:t xml:space="preserve"> bằng c</w:t>
      </w:r>
      <w:r w:rsidRPr="00F916C7">
        <w:rPr>
          <w:sz w:val="26"/>
          <w:szCs w:val="26"/>
        </w:rPr>
        <w:t xml:space="preserve">huyển khoản qua ngân hàng. </w:t>
      </w:r>
      <w:proofErr w:type="gramStart"/>
      <w:r w:rsidRPr="00F916C7">
        <w:rPr>
          <w:sz w:val="26"/>
          <w:szCs w:val="26"/>
        </w:rPr>
        <w:t>Đồng tiền ký hợp đồng và đồng tiền thanh toán là tiền Việt Nam đồng.</w:t>
      </w:r>
      <w:proofErr w:type="gramEnd"/>
    </w:p>
    <w:p w:rsidR="00EB237C" w:rsidRPr="00F916C7" w:rsidRDefault="00EB237C" w:rsidP="00EB237C">
      <w:pPr>
        <w:spacing w:before="60" w:after="60"/>
        <w:ind w:firstLine="567"/>
        <w:rPr>
          <w:color w:val="FF0000"/>
          <w:sz w:val="26"/>
          <w:szCs w:val="26"/>
        </w:rPr>
      </w:pPr>
      <w:r w:rsidRPr="00F916C7">
        <w:rPr>
          <w:color w:val="FF0000"/>
          <w:sz w:val="26"/>
          <w:szCs w:val="26"/>
        </w:rPr>
        <w:t xml:space="preserve">- </w:t>
      </w:r>
      <w:r w:rsidRPr="00F916C7">
        <w:rPr>
          <w:color w:val="FF0000"/>
          <w:sz w:val="26"/>
          <w:szCs w:val="26"/>
          <w:lang w:val="vi-VN"/>
        </w:rPr>
        <w:t>Điều kiện thành toán:</w:t>
      </w:r>
      <w:r w:rsidRPr="00F916C7">
        <w:rPr>
          <w:color w:val="FF0000"/>
          <w:sz w:val="26"/>
          <w:szCs w:val="26"/>
        </w:rPr>
        <w:t xml:space="preserve"> Thanh toán </w:t>
      </w:r>
      <w:proofErr w:type="gramStart"/>
      <w:r w:rsidRPr="00F916C7">
        <w:rPr>
          <w:color w:val="FF0000"/>
          <w:sz w:val="26"/>
          <w:szCs w:val="26"/>
        </w:rPr>
        <w:t>theo</w:t>
      </w:r>
      <w:proofErr w:type="gramEnd"/>
      <w:r w:rsidRPr="00F916C7">
        <w:rPr>
          <w:color w:val="FF0000"/>
          <w:sz w:val="26"/>
          <w:szCs w:val="26"/>
        </w:rPr>
        <w:t xml:space="preserve"> phương thức chuyển khoản qua ngân hàng trong vòng 30 ngày kể từ ngày giao hàng và bên mua nhận đầy đủ bộ hồ sơ thanh toán.</w:t>
      </w:r>
    </w:p>
    <w:p w:rsidR="00EB237C" w:rsidRPr="00F916C7" w:rsidRDefault="00EB237C" w:rsidP="00EB237C">
      <w:pPr>
        <w:spacing w:before="60" w:after="60"/>
        <w:ind w:firstLine="567"/>
        <w:rPr>
          <w:color w:val="FF0000"/>
          <w:sz w:val="26"/>
          <w:szCs w:val="26"/>
        </w:rPr>
      </w:pPr>
      <w:r w:rsidRPr="00F916C7">
        <w:rPr>
          <w:color w:val="FF0000"/>
          <w:sz w:val="26"/>
          <w:szCs w:val="26"/>
        </w:rPr>
        <w:t>- Cung cấp Giấy chứng nhận xuất xứ, chất lượng sản phẩm bản gốc hoặc bản sao công chứng khi giao hàng.</w:t>
      </w:r>
    </w:p>
    <w:p w:rsidR="00EB237C" w:rsidRPr="00F916C7" w:rsidRDefault="00EB237C" w:rsidP="00EB237C">
      <w:pPr>
        <w:spacing w:before="60" w:after="60"/>
        <w:ind w:firstLine="567"/>
        <w:rPr>
          <w:sz w:val="26"/>
          <w:szCs w:val="26"/>
          <w:lang w:val="nl-NL"/>
        </w:rPr>
      </w:pPr>
      <w:r w:rsidRPr="00F916C7">
        <w:rPr>
          <w:sz w:val="26"/>
          <w:szCs w:val="26"/>
          <w:lang w:val="nl-NL"/>
        </w:rPr>
        <w:t>Mục 2. Bản vẽ: Không có bản vẽ</w:t>
      </w:r>
    </w:p>
    <w:p w:rsidR="00EB237C" w:rsidRPr="00F916C7" w:rsidRDefault="00EB237C" w:rsidP="00EB237C">
      <w:pPr>
        <w:pStyle w:val="SectionVIHeader"/>
        <w:widowControl w:val="0"/>
        <w:spacing w:after="120" w:line="264" w:lineRule="auto"/>
        <w:ind w:firstLine="567"/>
        <w:jc w:val="left"/>
        <w:rPr>
          <w:sz w:val="26"/>
          <w:szCs w:val="26"/>
        </w:rPr>
      </w:pPr>
      <w:proofErr w:type="gramStart"/>
      <w:r w:rsidRPr="00F916C7">
        <w:rPr>
          <w:sz w:val="26"/>
          <w:szCs w:val="26"/>
        </w:rPr>
        <w:t>Mục 3.</w:t>
      </w:r>
      <w:proofErr w:type="gramEnd"/>
      <w:r w:rsidRPr="00F916C7">
        <w:rPr>
          <w:sz w:val="26"/>
          <w:szCs w:val="26"/>
        </w:rPr>
        <w:t xml:space="preserve"> Kiểm tra và thử nghiệm</w:t>
      </w:r>
    </w:p>
    <w:p w:rsidR="00EB237C" w:rsidRPr="00F916C7" w:rsidRDefault="00EB237C" w:rsidP="00EB237C">
      <w:pPr>
        <w:tabs>
          <w:tab w:val="left" w:pos="0"/>
        </w:tabs>
        <w:spacing w:line="276" w:lineRule="auto"/>
        <w:ind w:firstLine="567"/>
        <w:rPr>
          <w:sz w:val="26"/>
          <w:szCs w:val="26"/>
          <w:lang w:val="nl-NL"/>
        </w:rPr>
      </w:pPr>
      <w:r w:rsidRPr="00F916C7">
        <w:rPr>
          <w:sz w:val="26"/>
          <w:szCs w:val="26"/>
          <w:lang w:val="nl-NL"/>
        </w:rPr>
        <w:t xml:space="preserve">- Tổ chức nghiệm thu hàng hoá tại địa điểm giao hàng: Tổng kho của </w:t>
      </w:r>
      <w:r w:rsidRPr="00F916C7">
        <w:rPr>
          <w:color w:val="000000" w:themeColor="text1"/>
          <w:sz w:val="26"/>
          <w:szCs w:val="26"/>
        </w:rPr>
        <w:t xml:space="preserve">Tổng công ty Giấy Việt Nam, </w:t>
      </w:r>
      <w:r w:rsidR="00630B45">
        <w:rPr>
          <w:color w:val="000000" w:themeColor="text1"/>
          <w:sz w:val="26"/>
          <w:szCs w:val="26"/>
        </w:rPr>
        <w:t>Xã</w:t>
      </w:r>
      <w:r w:rsidRPr="00F916C7">
        <w:rPr>
          <w:color w:val="000000" w:themeColor="text1"/>
          <w:sz w:val="26"/>
          <w:szCs w:val="26"/>
        </w:rPr>
        <w:t xml:space="preserve"> Phù Ninh, tỉnh Phú Thọ.</w:t>
      </w:r>
    </w:p>
    <w:p w:rsidR="00EB237C" w:rsidRPr="00F916C7" w:rsidRDefault="00EB237C" w:rsidP="00EB237C">
      <w:pPr>
        <w:tabs>
          <w:tab w:val="left" w:pos="0"/>
        </w:tabs>
        <w:spacing w:line="276" w:lineRule="auto"/>
        <w:ind w:firstLine="567"/>
        <w:rPr>
          <w:sz w:val="26"/>
          <w:szCs w:val="26"/>
          <w:lang w:val="nl-NL"/>
        </w:rPr>
      </w:pPr>
      <w:r w:rsidRPr="00F916C7">
        <w:rPr>
          <w:rStyle w:val="normaltextrun"/>
          <w:color w:val="000000"/>
          <w:sz w:val="26"/>
          <w:szCs w:val="26"/>
          <w:shd w:val="clear" w:color="auto" w:fill="FFFFFF"/>
          <w:lang w:val="nl-NL"/>
        </w:rPr>
        <w:t>- Khi nhận hàng, Bên mời thầu kiểm tra chất lượng, số lượng, chủng loại, quy cách hàng hóa, nếu không đảm bảo (có xác nhận của hai bên bằng văn bản) thì bên Nhà thầu phải nhận lại và chịu mọi phí tổn của lô hàng đó. Mọi phản hồi về chất lượng hàng hóa được Bên mời thầu thông báo cho Nhà thầu trong vòng 03 ngày làm việc kể từ ngày giao hàng.</w:t>
      </w:r>
    </w:p>
    <w:p w:rsidR="00EB237C" w:rsidRPr="00F916C7" w:rsidRDefault="00EB237C" w:rsidP="00EB237C">
      <w:pPr>
        <w:tabs>
          <w:tab w:val="left" w:pos="0"/>
        </w:tabs>
        <w:spacing w:after="120" w:line="276" w:lineRule="auto"/>
        <w:ind w:firstLine="567"/>
        <w:rPr>
          <w:sz w:val="26"/>
          <w:szCs w:val="26"/>
          <w:lang w:val="nl-NL"/>
        </w:rPr>
      </w:pPr>
      <w:r w:rsidRPr="00F916C7">
        <w:rPr>
          <w:sz w:val="26"/>
          <w:szCs w:val="26"/>
          <w:lang w:val="vi-VN"/>
        </w:rPr>
        <w:t xml:space="preserve">- </w:t>
      </w:r>
      <w:r w:rsidRPr="00F916C7">
        <w:rPr>
          <w:sz w:val="26"/>
          <w:szCs w:val="26"/>
          <w:lang w:val="nl-NL"/>
        </w:rPr>
        <w:t>Trong trường hợp bên mua hàng có nghi ngờ về chất lượng hàng hóa, 2 bên tiến hành thử nghiệm tại một phòng thí nghiệm đạt tiêu chuẩn do bên mua chỉ định. Nếu kết quả kiểm tra thử nghiệm đạt yêu cầu kỹ thuật thì Bên mời thầu chịu mọi chi phí thử nghiệm, ngược lại nếu kết quả kiểm tra thử nghiệm không đạt yêu cầu kỹ thuật thì Nhà thầu chịu chi phí thử nghiệm và các chi phí phát sinh khác khi đó Bên mời thầu từ chối không nhận hàng hoá.</w:t>
      </w:r>
    </w:p>
    <w:p w:rsidR="00EB237C" w:rsidRPr="00F916C7" w:rsidRDefault="00EB237C" w:rsidP="00EB237C">
      <w:pPr>
        <w:spacing w:after="200" w:line="276" w:lineRule="auto"/>
        <w:ind w:firstLine="567"/>
        <w:rPr>
          <w:b/>
          <w:iCs/>
          <w:sz w:val="26"/>
          <w:szCs w:val="26"/>
        </w:rPr>
      </w:pPr>
      <w:r w:rsidRPr="00F916C7">
        <w:rPr>
          <w:b/>
          <w:iCs/>
          <w:sz w:val="26"/>
          <w:szCs w:val="26"/>
        </w:rPr>
        <w:t>Mục 4: Giao nhận hàng hóa</w:t>
      </w:r>
    </w:p>
    <w:p w:rsidR="00EB237C" w:rsidRPr="00F916C7" w:rsidRDefault="00EB237C" w:rsidP="00EB237C">
      <w:pPr>
        <w:tabs>
          <w:tab w:val="left" w:pos="350"/>
          <w:tab w:val="left" w:pos="700"/>
        </w:tabs>
        <w:spacing w:line="276" w:lineRule="auto"/>
        <w:ind w:firstLine="567"/>
        <w:rPr>
          <w:sz w:val="26"/>
          <w:szCs w:val="26"/>
          <w:lang w:val="nl-NL"/>
        </w:rPr>
      </w:pPr>
      <w:r w:rsidRPr="00F916C7">
        <w:rPr>
          <w:sz w:val="26"/>
          <w:szCs w:val="26"/>
          <w:lang w:val="nl-NL"/>
        </w:rPr>
        <w:t>- Sau khi đánh giá hàng hóa đáp ứng chất lượng thì bên mời thầu mới tiến hành làm thủ tục giao nhận hàng hoá.</w:t>
      </w:r>
    </w:p>
    <w:p w:rsidR="00EB237C" w:rsidRPr="00F916C7" w:rsidRDefault="00EB237C" w:rsidP="00EB237C">
      <w:pPr>
        <w:tabs>
          <w:tab w:val="left" w:pos="350"/>
        </w:tabs>
        <w:spacing w:line="276" w:lineRule="auto"/>
        <w:ind w:firstLine="567"/>
        <w:rPr>
          <w:sz w:val="26"/>
          <w:szCs w:val="26"/>
          <w:lang w:val="nl-NL"/>
        </w:rPr>
      </w:pPr>
      <w:r w:rsidRPr="00F916C7">
        <w:rPr>
          <w:sz w:val="26"/>
          <w:szCs w:val="26"/>
          <w:lang w:val="nl-NL"/>
        </w:rPr>
        <w:t>- Biện pháp an toàn: Nhà thầu phải có đầy đủ các phương tiện, quy trình, biện pháp an toàn cho người, thiết bị và tự chịu mọi trách nhiệm liên quan trong quá trình vận chuyển, bảo quản và giao nhận hàng hoá.</w:t>
      </w:r>
      <w:r w:rsidRPr="00F916C7">
        <w:rPr>
          <w:sz w:val="26"/>
          <w:szCs w:val="26"/>
          <w:lang w:val="vi-VN"/>
        </w:rPr>
        <w:t xml:space="preserve"> </w:t>
      </w:r>
      <w:r w:rsidRPr="00F916C7">
        <w:rPr>
          <w:sz w:val="26"/>
          <w:szCs w:val="26"/>
          <w:lang w:val="nl-NL"/>
        </w:rPr>
        <w:t>Trong trường hợp do lỗi của Nhà thầu làm thiệt hại tới sản xuất của Bên mời thầu thì Nhà thầu phải chịu trách nhiệm bồi hoàn thiệt hại hoặc chịu trách nhiệm trước các cơ quan chức năng, tùy theo mức độ thiệt hại gây nên (nếu có).</w:t>
      </w:r>
    </w:p>
    <w:bookmarkEnd w:id="1"/>
    <w:p w:rsidR="00EB237C" w:rsidRPr="00F916C7" w:rsidRDefault="00EB237C" w:rsidP="00EB237C">
      <w:pPr>
        <w:tabs>
          <w:tab w:val="left" w:pos="350"/>
        </w:tabs>
        <w:spacing w:line="276" w:lineRule="auto"/>
        <w:ind w:firstLine="567"/>
        <w:rPr>
          <w:sz w:val="26"/>
          <w:szCs w:val="26"/>
          <w:lang w:val="nl-NL"/>
        </w:rPr>
      </w:pPr>
    </w:p>
    <w:p w:rsidR="00EB237C" w:rsidRPr="00E90E83" w:rsidRDefault="00EB237C" w:rsidP="00EB237C">
      <w:pPr>
        <w:spacing w:after="200" w:line="276" w:lineRule="auto"/>
        <w:ind w:firstLine="567"/>
        <w:jc w:val="left"/>
        <w:rPr>
          <w:rFonts w:asciiTheme="majorHAnsi" w:hAnsiTheme="majorHAnsi" w:cstheme="majorHAnsi"/>
          <w:i/>
          <w:iCs/>
          <w:sz w:val="26"/>
          <w:szCs w:val="26"/>
        </w:rPr>
      </w:pPr>
    </w:p>
    <w:p w:rsidR="00453D58" w:rsidRDefault="00453D58"/>
    <w:sectPr w:rsidR="00453D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C115A"/>
    <w:multiLevelType w:val="multilevel"/>
    <w:tmpl w:val="A2E84F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37C"/>
    <w:rsid w:val="003D1F11"/>
    <w:rsid w:val="00453D58"/>
    <w:rsid w:val="00470025"/>
    <w:rsid w:val="004A08FB"/>
    <w:rsid w:val="005C0A70"/>
    <w:rsid w:val="005E6B65"/>
    <w:rsid w:val="00630B45"/>
    <w:rsid w:val="006E47CF"/>
    <w:rsid w:val="00C12F9E"/>
    <w:rsid w:val="00C33986"/>
    <w:rsid w:val="00CC12DD"/>
    <w:rsid w:val="00D23019"/>
    <w:rsid w:val="00EB237C"/>
    <w:rsid w:val="00F9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37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B237C"/>
    <w:pPr>
      <w:jc w:val="center"/>
    </w:pPr>
    <w:rPr>
      <w:b/>
      <w:sz w:val="44"/>
    </w:rPr>
  </w:style>
  <w:style w:type="character" w:customStyle="1" w:styleId="SubtitleChar">
    <w:name w:val="Subtitle Char"/>
    <w:basedOn w:val="DefaultParagraphFont"/>
    <w:link w:val="Subtitle"/>
    <w:rsid w:val="00EB237C"/>
    <w:rPr>
      <w:rFonts w:ascii="Times New Roman" w:eastAsia="Times New Roman" w:hAnsi="Times New Roman" w:cs="Times New Roman"/>
      <w:b/>
      <w:sz w:val="44"/>
      <w:szCs w:val="20"/>
    </w:rPr>
  </w:style>
  <w:style w:type="paragraph" w:customStyle="1" w:styleId="SectionVIHeader">
    <w:name w:val="Section VI. Header"/>
    <w:basedOn w:val="Normal"/>
    <w:rsid w:val="00EB237C"/>
    <w:pPr>
      <w:spacing w:before="120" w:after="240"/>
      <w:jc w:val="center"/>
    </w:pPr>
    <w:rPr>
      <w:b/>
      <w:sz w:val="36"/>
    </w:rPr>
  </w:style>
  <w:style w:type="character" w:customStyle="1" w:styleId="Khc">
    <w:name w:val="Khác_"/>
    <w:link w:val="Khc0"/>
    <w:rsid w:val="00EB237C"/>
    <w:rPr>
      <w:rFonts w:cs="Times New Roman"/>
      <w:szCs w:val="28"/>
    </w:rPr>
  </w:style>
  <w:style w:type="paragraph" w:customStyle="1" w:styleId="Khc0">
    <w:name w:val="Khác"/>
    <w:basedOn w:val="Normal"/>
    <w:link w:val="Khc"/>
    <w:rsid w:val="00EB237C"/>
    <w:pPr>
      <w:widowControl w:val="0"/>
      <w:spacing w:after="60" w:line="312" w:lineRule="auto"/>
      <w:ind w:firstLine="400"/>
      <w:jc w:val="left"/>
    </w:pPr>
    <w:rPr>
      <w:rFonts w:asciiTheme="minorHAnsi" w:eastAsiaTheme="minorHAnsi" w:hAnsiTheme="minorHAnsi"/>
      <w:sz w:val="22"/>
      <w:szCs w:val="28"/>
    </w:rPr>
  </w:style>
  <w:style w:type="character" w:customStyle="1" w:styleId="normaltextrun">
    <w:name w:val="normaltextrun"/>
    <w:basedOn w:val="DefaultParagraphFont"/>
    <w:rsid w:val="00EB23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37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B237C"/>
    <w:pPr>
      <w:jc w:val="center"/>
    </w:pPr>
    <w:rPr>
      <w:b/>
      <w:sz w:val="44"/>
    </w:rPr>
  </w:style>
  <w:style w:type="character" w:customStyle="1" w:styleId="SubtitleChar">
    <w:name w:val="Subtitle Char"/>
    <w:basedOn w:val="DefaultParagraphFont"/>
    <w:link w:val="Subtitle"/>
    <w:rsid w:val="00EB237C"/>
    <w:rPr>
      <w:rFonts w:ascii="Times New Roman" w:eastAsia="Times New Roman" w:hAnsi="Times New Roman" w:cs="Times New Roman"/>
      <w:b/>
      <w:sz w:val="44"/>
      <w:szCs w:val="20"/>
    </w:rPr>
  </w:style>
  <w:style w:type="paragraph" w:customStyle="1" w:styleId="SectionVIHeader">
    <w:name w:val="Section VI. Header"/>
    <w:basedOn w:val="Normal"/>
    <w:rsid w:val="00EB237C"/>
    <w:pPr>
      <w:spacing w:before="120" w:after="240"/>
      <w:jc w:val="center"/>
    </w:pPr>
    <w:rPr>
      <w:b/>
      <w:sz w:val="36"/>
    </w:rPr>
  </w:style>
  <w:style w:type="character" w:customStyle="1" w:styleId="Khc">
    <w:name w:val="Khác_"/>
    <w:link w:val="Khc0"/>
    <w:rsid w:val="00EB237C"/>
    <w:rPr>
      <w:rFonts w:cs="Times New Roman"/>
      <w:szCs w:val="28"/>
    </w:rPr>
  </w:style>
  <w:style w:type="paragraph" w:customStyle="1" w:styleId="Khc0">
    <w:name w:val="Khác"/>
    <w:basedOn w:val="Normal"/>
    <w:link w:val="Khc"/>
    <w:rsid w:val="00EB237C"/>
    <w:pPr>
      <w:widowControl w:val="0"/>
      <w:spacing w:after="60" w:line="312" w:lineRule="auto"/>
      <w:ind w:firstLine="400"/>
      <w:jc w:val="left"/>
    </w:pPr>
    <w:rPr>
      <w:rFonts w:asciiTheme="minorHAnsi" w:eastAsiaTheme="minorHAnsi" w:hAnsiTheme="minorHAnsi"/>
      <w:sz w:val="22"/>
      <w:szCs w:val="28"/>
    </w:rPr>
  </w:style>
  <w:style w:type="character" w:customStyle="1" w:styleId="normaltextrun">
    <w:name w:val="normaltextrun"/>
    <w:basedOn w:val="DefaultParagraphFont"/>
    <w:rsid w:val="00EB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2025-11-11T10:05:00Z</dcterms:created>
  <dcterms:modified xsi:type="dcterms:W3CDTF">2025-11-20T01:16:00Z</dcterms:modified>
</cp:coreProperties>
</file>