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E7C" w:rsidRPr="00427E7C" w:rsidRDefault="00427E7C" w:rsidP="00427E7C">
      <w:pPr>
        <w:keepNext/>
        <w:spacing w:before="120" w:after="120" w:line="269" w:lineRule="auto"/>
        <w:ind w:firstLine="567"/>
        <w:jc w:val="center"/>
        <w:outlineLvl w:val="1"/>
        <w:rPr>
          <w:rFonts w:ascii="Times New Roman" w:eastAsia="Times New Roman" w:hAnsi="Times New Roman" w:cs="Times New Roman"/>
          <w:i/>
          <w:sz w:val="26"/>
          <w:szCs w:val="26"/>
          <w:lang w:val="it-IT" w:eastAsia="x-none"/>
        </w:rPr>
      </w:pPr>
      <w:bookmarkStart w:id="0" w:name="_Toc397006866"/>
      <w:bookmarkStart w:id="1" w:name="_Toc397008935"/>
      <w:bookmarkStart w:id="2" w:name="_Toc397009021"/>
      <w:bookmarkStart w:id="3" w:name="_Toc398902605"/>
      <w:bookmarkStart w:id="4" w:name="_Toc401236877"/>
      <w:bookmarkStart w:id="5" w:name="_Toc401239689"/>
      <w:bookmarkStart w:id="6" w:name="_Toc401239741"/>
      <w:bookmarkStart w:id="7" w:name="_GoBack"/>
      <w:r w:rsidRPr="00427E7C">
        <w:rPr>
          <w:rFonts w:ascii="Times New Roman" w:eastAsia="Times New Roman" w:hAnsi="Times New Roman" w:cs="Times New Roman"/>
          <w:b/>
          <w:sz w:val="26"/>
          <w:szCs w:val="26"/>
          <w:lang w:val="it-IT" w:eastAsia="x-none"/>
        </w:rPr>
        <w:t>Chương II</w:t>
      </w:r>
      <w:bookmarkEnd w:id="0"/>
      <w:bookmarkEnd w:id="1"/>
      <w:bookmarkEnd w:id="2"/>
      <w:bookmarkEnd w:id="3"/>
      <w:bookmarkEnd w:id="4"/>
      <w:bookmarkEnd w:id="5"/>
      <w:bookmarkEnd w:id="6"/>
      <w:r w:rsidRPr="00427E7C">
        <w:rPr>
          <w:rFonts w:ascii="Times New Roman" w:eastAsia="Times New Roman" w:hAnsi="Times New Roman" w:cs="Times New Roman"/>
          <w:b/>
          <w:sz w:val="26"/>
          <w:szCs w:val="26"/>
          <w:lang w:val="it-IT" w:eastAsia="x-none"/>
        </w:rPr>
        <w:t>. TIÊU CHUẨN ĐÁNH GIÁ HS</w:t>
      </w:r>
      <w:r>
        <w:rPr>
          <w:rFonts w:ascii="Times New Roman" w:eastAsia="Times New Roman" w:hAnsi="Times New Roman" w:cs="Times New Roman"/>
          <w:b/>
          <w:sz w:val="26"/>
          <w:szCs w:val="26"/>
          <w:lang w:val="it-IT" w:eastAsia="x-none"/>
        </w:rPr>
        <w:t>DT</w:t>
      </w:r>
    </w:p>
    <w:p w:rsidR="00427E7C" w:rsidRPr="00427E7C" w:rsidRDefault="00427E7C" w:rsidP="00427E7C">
      <w:pPr>
        <w:spacing w:before="120" w:after="120" w:line="240" w:lineRule="auto"/>
        <w:ind w:firstLine="567"/>
        <w:jc w:val="both"/>
        <w:rPr>
          <w:rFonts w:ascii="Times New Roman" w:eastAsia="Times New Roman" w:hAnsi="Times New Roman" w:cs="Times New Roman"/>
          <w:b/>
          <w:iCs/>
          <w:sz w:val="26"/>
          <w:szCs w:val="26"/>
          <w:lang w:val="it-IT"/>
        </w:rPr>
      </w:pPr>
    </w:p>
    <w:p w:rsidR="00427E7C" w:rsidRPr="00427E7C" w:rsidRDefault="00427E7C" w:rsidP="00427E7C">
      <w:pPr>
        <w:spacing w:before="80" w:after="80" w:line="276" w:lineRule="auto"/>
        <w:ind w:firstLine="709"/>
        <w:jc w:val="both"/>
        <w:rPr>
          <w:rFonts w:ascii="Times New Roman" w:eastAsia="Times New Roman" w:hAnsi="Times New Roman" w:cs="Times New Roman"/>
          <w:b/>
          <w:iCs/>
          <w:sz w:val="26"/>
          <w:szCs w:val="26"/>
          <w:lang w:val="it-IT"/>
        </w:rPr>
      </w:pPr>
      <w:r w:rsidRPr="00427E7C">
        <w:rPr>
          <w:rFonts w:ascii="Times New Roman" w:eastAsia="Times New Roman" w:hAnsi="Times New Roman" w:cs="Times New Roman"/>
          <w:b/>
          <w:iCs/>
          <w:sz w:val="26"/>
          <w:szCs w:val="26"/>
          <w:lang w:val="it-IT"/>
        </w:rPr>
        <w:t>Mục 1. Kiểm tra và đánh giá tính hợp lệ của HS</w:t>
      </w:r>
      <w:r>
        <w:rPr>
          <w:rFonts w:ascii="Times New Roman" w:eastAsia="Times New Roman" w:hAnsi="Times New Roman" w:cs="Times New Roman"/>
          <w:b/>
          <w:iCs/>
          <w:sz w:val="26"/>
          <w:szCs w:val="26"/>
          <w:lang w:val="it-IT"/>
        </w:rPr>
        <w:t>DT</w:t>
      </w:r>
    </w:p>
    <w:p w:rsidR="00427E7C" w:rsidRPr="00427E7C" w:rsidRDefault="00427E7C" w:rsidP="00427E7C">
      <w:pPr>
        <w:spacing w:before="80" w:after="80" w:line="276" w:lineRule="auto"/>
        <w:ind w:firstLine="709"/>
        <w:jc w:val="both"/>
        <w:rPr>
          <w:rFonts w:ascii="Times New Roman" w:eastAsia="Times New Roman" w:hAnsi="Times New Roman" w:cs="Times New Roman"/>
          <w:b/>
          <w:iCs/>
          <w:sz w:val="26"/>
          <w:szCs w:val="26"/>
          <w:lang w:val="it-IT"/>
        </w:rPr>
      </w:pPr>
      <w:r w:rsidRPr="00427E7C">
        <w:rPr>
          <w:rFonts w:ascii="Times New Roman" w:eastAsia="Times New Roman" w:hAnsi="Times New Roman" w:cs="Times New Roman"/>
          <w:b/>
          <w:iCs/>
          <w:sz w:val="26"/>
          <w:szCs w:val="26"/>
          <w:lang w:val="it-IT"/>
        </w:rPr>
        <w:t>1.1. Kiểm tra HSĐX</w:t>
      </w:r>
    </w:p>
    <w:p w:rsidR="00427E7C" w:rsidRPr="00427E7C" w:rsidRDefault="00427E7C" w:rsidP="00427E7C">
      <w:pPr>
        <w:widowControl w:val="0"/>
        <w:spacing w:before="80" w:after="80" w:line="276" w:lineRule="auto"/>
        <w:ind w:firstLine="709"/>
        <w:rPr>
          <w:rFonts w:ascii="Times New Roman" w:eastAsia="Times New Roman" w:hAnsi="Times New Roman" w:cs="Times New Roman"/>
          <w:sz w:val="26"/>
          <w:szCs w:val="26"/>
          <w:lang w:val="it-IT"/>
        </w:rPr>
      </w:pPr>
      <w:r w:rsidRPr="00427E7C">
        <w:rPr>
          <w:rFonts w:ascii="Times New Roman" w:eastAsia="Times New Roman" w:hAnsi="Times New Roman" w:cs="Times New Roman"/>
          <w:sz w:val="26"/>
          <w:szCs w:val="26"/>
          <w:lang w:val="it-IT"/>
        </w:rPr>
        <w:t>a) Kiểm tra số lượng bản chụp HS</w:t>
      </w:r>
      <w:r>
        <w:rPr>
          <w:rFonts w:ascii="Times New Roman" w:eastAsia="Times New Roman" w:hAnsi="Times New Roman" w:cs="Times New Roman"/>
          <w:sz w:val="26"/>
          <w:szCs w:val="26"/>
          <w:lang w:val="it-IT"/>
        </w:rPr>
        <w:t>DT</w:t>
      </w:r>
      <w:r w:rsidRPr="00427E7C">
        <w:rPr>
          <w:rFonts w:ascii="Times New Roman" w:eastAsia="Times New Roman" w:hAnsi="Times New Roman" w:cs="Times New Roman"/>
          <w:sz w:val="26"/>
          <w:szCs w:val="26"/>
          <w:lang w:val="it-IT"/>
        </w:rPr>
        <w:t>;</w:t>
      </w:r>
    </w:p>
    <w:p w:rsidR="00427E7C" w:rsidRPr="00427E7C" w:rsidRDefault="00427E7C" w:rsidP="00427E7C">
      <w:pPr>
        <w:widowControl w:val="0"/>
        <w:spacing w:before="80" w:after="80" w:line="276" w:lineRule="auto"/>
        <w:ind w:firstLine="709"/>
        <w:jc w:val="both"/>
        <w:rPr>
          <w:rFonts w:ascii="Times New Roman" w:eastAsia="Times New Roman" w:hAnsi="Times New Roman" w:cs="Times New Roman"/>
          <w:sz w:val="26"/>
          <w:szCs w:val="26"/>
          <w:lang w:val="it-IT"/>
        </w:rPr>
      </w:pPr>
      <w:r w:rsidRPr="00427E7C">
        <w:rPr>
          <w:rFonts w:ascii="Times New Roman" w:eastAsia="Times New Roman" w:hAnsi="Times New Roman" w:cs="Times New Roman"/>
          <w:sz w:val="26"/>
          <w:szCs w:val="26"/>
          <w:lang w:val="it-IT"/>
        </w:rPr>
        <w:t>b) Kiểm tra các thành phần của HS</w:t>
      </w:r>
      <w:r>
        <w:rPr>
          <w:rFonts w:ascii="Times New Roman" w:eastAsia="Times New Roman" w:hAnsi="Times New Roman" w:cs="Times New Roman"/>
          <w:sz w:val="26"/>
          <w:szCs w:val="26"/>
          <w:lang w:val="it-IT"/>
        </w:rPr>
        <w:t>DT</w:t>
      </w:r>
      <w:r w:rsidRPr="00427E7C">
        <w:rPr>
          <w:rFonts w:ascii="Times New Roman" w:eastAsia="Times New Roman" w:hAnsi="Times New Roman" w:cs="Times New Roman"/>
          <w:sz w:val="26"/>
          <w:szCs w:val="26"/>
          <w:lang w:val="it-IT"/>
        </w:rPr>
        <w:t xml:space="preserve"> theo quy định tại Mục 6 Chương I;</w:t>
      </w:r>
    </w:p>
    <w:p w:rsidR="00427E7C" w:rsidRPr="00427E7C" w:rsidRDefault="00427E7C" w:rsidP="00427E7C">
      <w:pPr>
        <w:widowControl w:val="0"/>
        <w:spacing w:before="80" w:after="80" w:line="276" w:lineRule="auto"/>
        <w:ind w:firstLine="709"/>
        <w:jc w:val="both"/>
        <w:rPr>
          <w:rFonts w:ascii="Times New Roman" w:eastAsia="Times New Roman" w:hAnsi="Times New Roman" w:cs="Times New Roman"/>
          <w:sz w:val="26"/>
          <w:szCs w:val="26"/>
          <w:lang w:val="it-IT"/>
        </w:rPr>
      </w:pPr>
      <w:r w:rsidRPr="00427E7C">
        <w:rPr>
          <w:rFonts w:ascii="Times New Roman" w:eastAsia="Times New Roman" w:hAnsi="Times New Roman" w:cs="Times New Roman"/>
          <w:sz w:val="26"/>
          <w:szCs w:val="26"/>
          <w:lang w:val="it-IT"/>
        </w:rPr>
        <w:t>c) Kiểm tra sự thống nhất nội dung giữa bản gốc và bản chụp để phục vụ quá trình đánh giá chi tiết HSĐX.</w:t>
      </w:r>
    </w:p>
    <w:p w:rsidR="00427E7C" w:rsidRPr="00427E7C" w:rsidRDefault="00427E7C" w:rsidP="00427E7C">
      <w:pPr>
        <w:spacing w:before="80" w:after="80" w:line="276" w:lineRule="auto"/>
        <w:ind w:firstLine="709"/>
        <w:jc w:val="both"/>
        <w:rPr>
          <w:rFonts w:ascii="Times New Roman" w:eastAsia="Times New Roman" w:hAnsi="Times New Roman" w:cs="Times New Roman"/>
          <w:b/>
          <w:iCs/>
          <w:sz w:val="26"/>
          <w:szCs w:val="26"/>
          <w:lang w:val="it-IT"/>
        </w:rPr>
      </w:pPr>
      <w:r w:rsidRPr="00427E7C">
        <w:rPr>
          <w:rFonts w:ascii="Times New Roman" w:eastAsia="Times New Roman" w:hAnsi="Times New Roman" w:cs="Times New Roman"/>
          <w:b/>
          <w:iCs/>
          <w:sz w:val="26"/>
          <w:szCs w:val="26"/>
          <w:lang w:val="it-IT"/>
        </w:rPr>
        <w:t>1.2. Đánh giá tính hợp lệ của HS</w:t>
      </w:r>
      <w:r>
        <w:rPr>
          <w:rFonts w:ascii="Times New Roman" w:eastAsia="Times New Roman" w:hAnsi="Times New Roman" w:cs="Times New Roman"/>
          <w:b/>
          <w:iCs/>
          <w:sz w:val="26"/>
          <w:szCs w:val="26"/>
          <w:lang w:val="it-IT"/>
        </w:rPr>
        <w:t>DT</w:t>
      </w:r>
    </w:p>
    <w:p w:rsidR="00427E7C" w:rsidRPr="00427E7C" w:rsidRDefault="00427E7C" w:rsidP="00427E7C">
      <w:pPr>
        <w:spacing w:before="80" w:after="80" w:line="276" w:lineRule="auto"/>
        <w:ind w:firstLine="709"/>
        <w:jc w:val="both"/>
        <w:rPr>
          <w:rFonts w:ascii="Times New Roman" w:eastAsia="Times New Roman" w:hAnsi="Times New Roman" w:cs="Times New Roman"/>
          <w:sz w:val="26"/>
          <w:szCs w:val="26"/>
          <w:lang w:val="it-IT"/>
        </w:rPr>
      </w:pPr>
      <w:bookmarkStart w:id="8" w:name="_Hlk162340239"/>
      <w:r w:rsidRPr="00427E7C">
        <w:rPr>
          <w:rFonts w:ascii="Times New Roman" w:eastAsia="Times New Roman" w:hAnsi="Times New Roman" w:cs="Times New Roman"/>
          <w:sz w:val="26"/>
          <w:szCs w:val="26"/>
          <w:lang w:val="it-IT"/>
        </w:rPr>
        <w:t>HSĐX của nhà thầu được đánh giá là hợp lệ khi đáp ứng đầy đủ các nội dung sau đây:</w:t>
      </w:r>
    </w:p>
    <w:p w:rsidR="00427E7C" w:rsidRPr="00427E7C" w:rsidRDefault="00427E7C" w:rsidP="00427E7C">
      <w:pPr>
        <w:spacing w:before="80" w:after="80" w:line="276" w:lineRule="auto"/>
        <w:ind w:firstLine="709"/>
        <w:jc w:val="both"/>
        <w:rPr>
          <w:rFonts w:ascii="Times New Roman" w:eastAsia="Times New Roman" w:hAnsi="Times New Roman" w:cs="Times New Roman"/>
          <w:sz w:val="26"/>
          <w:szCs w:val="26"/>
        </w:rPr>
      </w:pPr>
      <w:r w:rsidRPr="00427E7C">
        <w:rPr>
          <w:rFonts w:ascii="Times New Roman" w:eastAsia="Times New Roman" w:hAnsi="Times New Roman" w:cs="Times New Roman"/>
          <w:sz w:val="26"/>
          <w:szCs w:val="26"/>
        </w:rPr>
        <w:t>a) Có bản gốc HS</w:t>
      </w:r>
      <w:r>
        <w:rPr>
          <w:rFonts w:ascii="Times New Roman" w:eastAsia="Times New Roman" w:hAnsi="Times New Roman" w:cs="Times New Roman"/>
          <w:sz w:val="26"/>
          <w:szCs w:val="26"/>
        </w:rPr>
        <w:t>DT</w:t>
      </w:r>
      <w:r w:rsidRPr="00427E7C">
        <w:rPr>
          <w:rFonts w:ascii="Times New Roman" w:eastAsia="Times New Roman" w:hAnsi="Times New Roman" w:cs="Times New Roman"/>
          <w:sz w:val="26"/>
          <w:szCs w:val="26"/>
        </w:rPr>
        <w:t xml:space="preserve">; </w:t>
      </w:r>
    </w:p>
    <w:p w:rsidR="00427E7C" w:rsidRPr="00427E7C" w:rsidRDefault="00427E7C" w:rsidP="00427E7C">
      <w:pPr>
        <w:spacing w:before="80" w:after="80" w:line="276" w:lineRule="auto"/>
        <w:ind w:firstLine="709"/>
        <w:jc w:val="both"/>
        <w:rPr>
          <w:rFonts w:ascii="Times New Roman" w:eastAsia="Times New Roman" w:hAnsi="Times New Roman" w:cs="Times New Roman"/>
          <w:sz w:val="26"/>
          <w:szCs w:val="26"/>
        </w:rPr>
      </w:pPr>
      <w:r w:rsidRPr="00427E7C">
        <w:rPr>
          <w:rFonts w:ascii="Times New Roman" w:eastAsia="Times New Roman" w:hAnsi="Times New Roman" w:cs="Times New Roman"/>
          <w:sz w:val="26"/>
          <w:szCs w:val="26"/>
        </w:rPr>
        <w:t>b) Có đơn đề xuất dự thầu được đại diện hợp pháp của nhà thầu ký tên, đóng dấu (nếu có) theo yêu cầu của HS</w:t>
      </w:r>
      <w:r>
        <w:rPr>
          <w:rFonts w:ascii="Times New Roman" w:eastAsia="Times New Roman" w:hAnsi="Times New Roman" w:cs="Times New Roman"/>
          <w:sz w:val="26"/>
          <w:szCs w:val="26"/>
        </w:rPr>
        <w:t>DT</w:t>
      </w:r>
      <w:r w:rsidRPr="00427E7C">
        <w:rPr>
          <w:rFonts w:ascii="Times New Roman" w:eastAsia="Times New Roman" w:hAnsi="Times New Roman" w:cs="Times New Roman"/>
          <w:sz w:val="26"/>
          <w:szCs w:val="26"/>
        </w:rPr>
        <w:t xml:space="preserve">; thời gian ký đơn dự thầu </w:t>
      </w:r>
      <w:bookmarkStart w:id="9" w:name="_Hlk156227721"/>
      <w:r w:rsidRPr="00427E7C">
        <w:rPr>
          <w:rFonts w:ascii="Times New Roman" w:eastAsia="Times New Roman" w:hAnsi="Times New Roman" w:cs="Times New Roman"/>
          <w:sz w:val="26"/>
          <w:szCs w:val="26"/>
        </w:rPr>
        <w:t xml:space="preserve">phải sau thời điểm phát hành </w:t>
      </w:r>
      <w:bookmarkEnd w:id="9"/>
      <w:r w:rsidRPr="00427E7C">
        <w:rPr>
          <w:rFonts w:ascii="Times New Roman" w:eastAsia="Times New Roman" w:hAnsi="Times New Roman" w:cs="Times New Roman"/>
          <w:sz w:val="26"/>
          <w:szCs w:val="26"/>
        </w:rPr>
        <w:t>HS</w:t>
      </w:r>
      <w:r>
        <w:rPr>
          <w:rFonts w:ascii="Times New Roman" w:eastAsia="Times New Roman" w:hAnsi="Times New Roman" w:cs="Times New Roman"/>
          <w:sz w:val="26"/>
          <w:szCs w:val="26"/>
        </w:rPr>
        <w:t>DT</w:t>
      </w:r>
      <w:r w:rsidRPr="00427E7C">
        <w:rPr>
          <w:rFonts w:ascii="Times New Roman" w:eastAsia="Times New Roman" w:hAnsi="Times New Roman" w:cs="Times New Roman"/>
          <w:sz w:val="26"/>
          <w:szCs w:val="26"/>
        </w:rPr>
        <w:t xml:space="preserve">;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 </w:t>
      </w:r>
    </w:p>
    <w:p w:rsidR="00427E7C" w:rsidRPr="00427E7C" w:rsidRDefault="00427E7C" w:rsidP="00427E7C">
      <w:pPr>
        <w:spacing w:before="80" w:after="80" w:line="276" w:lineRule="auto"/>
        <w:ind w:firstLine="709"/>
        <w:jc w:val="both"/>
        <w:rPr>
          <w:rFonts w:ascii="Times New Roman" w:eastAsia="Times New Roman" w:hAnsi="Times New Roman" w:cs="Times New Roman"/>
          <w:sz w:val="26"/>
          <w:szCs w:val="26"/>
          <w:lang w:val="de-DE"/>
        </w:rPr>
      </w:pPr>
      <w:r w:rsidRPr="00427E7C">
        <w:rPr>
          <w:rFonts w:ascii="Times New Roman" w:eastAsia="Times New Roman" w:hAnsi="Times New Roman" w:cs="Times New Roman"/>
          <w:sz w:val="26"/>
          <w:szCs w:val="26"/>
          <w:lang w:val="de-DE"/>
        </w:rPr>
        <w:t xml:space="preserve">c) Hiệu lực HSĐX đáp ứng yêu cầu theo quy định tại Mục 9 Chương I; </w:t>
      </w:r>
    </w:p>
    <w:p w:rsidR="00427E7C" w:rsidRPr="00427E7C" w:rsidRDefault="00427E7C" w:rsidP="00427E7C">
      <w:pPr>
        <w:spacing w:before="80" w:after="80" w:line="276" w:lineRule="auto"/>
        <w:ind w:firstLine="709"/>
        <w:jc w:val="both"/>
        <w:rPr>
          <w:rFonts w:ascii="Times New Roman" w:eastAsia="Times New Roman" w:hAnsi="Times New Roman" w:cs="Times New Roman"/>
          <w:sz w:val="26"/>
          <w:szCs w:val="26"/>
          <w:lang w:val="de-DE"/>
        </w:rPr>
      </w:pPr>
      <w:r w:rsidRPr="00427E7C">
        <w:rPr>
          <w:rFonts w:ascii="Times New Roman" w:eastAsia="Times New Roman" w:hAnsi="Times New Roman" w:cs="Times New Roman"/>
          <w:sz w:val="26"/>
          <w:szCs w:val="26"/>
          <w:lang w:val="de-DE"/>
        </w:rPr>
        <w:t>d) 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 (Mẫu số 04, 04.1, 04.2 Chương III);</w:t>
      </w:r>
    </w:p>
    <w:p w:rsidR="00427E7C" w:rsidRPr="00427E7C" w:rsidRDefault="00427E7C" w:rsidP="00427E7C">
      <w:pPr>
        <w:spacing w:before="80" w:after="80" w:line="276" w:lineRule="auto"/>
        <w:ind w:firstLine="709"/>
        <w:jc w:val="both"/>
        <w:rPr>
          <w:rFonts w:ascii="Times New Roman" w:eastAsia="Times New Roman" w:hAnsi="Times New Roman" w:cs="Times New Roman"/>
          <w:sz w:val="26"/>
          <w:szCs w:val="26"/>
          <w:lang w:val="de-DE"/>
        </w:rPr>
      </w:pPr>
      <w:r w:rsidRPr="00427E7C">
        <w:rPr>
          <w:rFonts w:ascii="Times New Roman" w:eastAsia="Times New Roman" w:hAnsi="Times New Roman" w:cs="Times New Roman"/>
          <w:sz w:val="26"/>
          <w:szCs w:val="26"/>
          <w:lang w:val="de-DE"/>
        </w:rPr>
        <w:t>đ) Nhà thầu bảo đảm tư cách hợp lệ theo quy định tại Mục 3 Chương I.</w:t>
      </w:r>
    </w:p>
    <w:p w:rsidR="00427E7C" w:rsidRPr="00427E7C" w:rsidRDefault="00427E7C" w:rsidP="00427E7C">
      <w:pPr>
        <w:spacing w:before="80" w:after="80" w:line="276" w:lineRule="auto"/>
        <w:ind w:firstLine="709"/>
        <w:jc w:val="both"/>
        <w:rPr>
          <w:rFonts w:ascii="Times New Roman" w:eastAsia="Times New Roman" w:hAnsi="Times New Roman" w:cs="Times New Roman"/>
          <w:b/>
          <w:sz w:val="26"/>
          <w:szCs w:val="26"/>
          <w:lang w:val="de-DE"/>
        </w:rPr>
      </w:pPr>
      <w:r w:rsidRPr="00427E7C">
        <w:rPr>
          <w:rFonts w:ascii="Times New Roman" w:eastAsia="Times New Roman" w:hAnsi="Times New Roman" w:cs="Times New Roman"/>
          <w:sz w:val="26"/>
          <w:szCs w:val="26"/>
          <w:lang w:val="de-DE"/>
        </w:rPr>
        <w:t>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bookmarkEnd w:id="8"/>
    </w:p>
    <w:p w:rsidR="00427E7C" w:rsidRPr="00427E7C" w:rsidRDefault="00427E7C" w:rsidP="00427E7C">
      <w:pPr>
        <w:spacing w:before="80" w:after="80" w:line="276" w:lineRule="auto"/>
        <w:ind w:firstLine="709"/>
        <w:jc w:val="both"/>
        <w:rPr>
          <w:rFonts w:ascii="Times New Roman" w:eastAsia="Times New Roman" w:hAnsi="Times New Roman" w:cs="Times New Roman"/>
          <w:b/>
          <w:bCs/>
          <w:sz w:val="26"/>
          <w:szCs w:val="26"/>
          <w:lang w:val="it-IT"/>
        </w:rPr>
      </w:pPr>
      <w:r w:rsidRPr="00427E7C">
        <w:rPr>
          <w:rFonts w:ascii="Times New Roman" w:eastAsia="Times New Roman" w:hAnsi="Times New Roman" w:cs="Times New Roman"/>
          <w:b/>
          <w:sz w:val="26"/>
          <w:szCs w:val="26"/>
          <w:lang w:val="de-DE"/>
        </w:rPr>
        <w:t xml:space="preserve">Mục 2. </w:t>
      </w:r>
      <w:r w:rsidRPr="00427E7C">
        <w:rPr>
          <w:rFonts w:ascii="Times New Roman" w:eastAsia="Times New Roman" w:hAnsi="Times New Roman" w:cs="Times New Roman"/>
          <w:b/>
          <w:bCs/>
          <w:sz w:val="26"/>
          <w:szCs w:val="26"/>
          <w:lang w:val="it-IT"/>
        </w:rPr>
        <w:t>Tiêu chuẩn đánh giá về năng lực, kinh nghiệm</w:t>
      </w:r>
    </w:p>
    <w:p w:rsidR="00427E7C" w:rsidRPr="00427E7C" w:rsidRDefault="00427E7C" w:rsidP="00427E7C">
      <w:pPr>
        <w:widowControl w:val="0"/>
        <w:tabs>
          <w:tab w:val="left" w:leader="dot" w:pos="8424"/>
        </w:tabs>
        <w:autoSpaceDE w:val="0"/>
        <w:autoSpaceDN w:val="0"/>
        <w:spacing w:before="80" w:after="80" w:line="276" w:lineRule="auto"/>
        <w:ind w:firstLine="709"/>
        <w:jc w:val="both"/>
        <w:outlineLvl w:val="2"/>
        <w:rPr>
          <w:rFonts w:ascii="Times New Roman" w:eastAsia="Times New Roman" w:hAnsi="Times New Roman" w:cs="Times New Roman"/>
          <w:b/>
          <w:sz w:val="26"/>
          <w:szCs w:val="26"/>
          <w:lang w:val="it-IT"/>
        </w:rPr>
      </w:pPr>
      <w:r w:rsidRPr="00427E7C">
        <w:rPr>
          <w:rFonts w:ascii="Times New Roman" w:eastAsia="Times New Roman" w:hAnsi="Times New Roman" w:cs="Times New Roman"/>
          <w:b/>
          <w:sz w:val="26"/>
          <w:szCs w:val="26"/>
          <w:lang w:val="it-IT"/>
        </w:rPr>
        <w:t>2.1. Tiêu chuẩn đánh giá về năng lực, kinh nghiệm</w:t>
      </w:r>
    </w:p>
    <w:p w:rsidR="00427E7C" w:rsidRPr="00427E7C" w:rsidRDefault="00427E7C" w:rsidP="00427E7C">
      <w:pPr>
        <w:widowControl w:val="0"/>
        <w:tabs>
          <w:tab w:val="left" w:leader="dot" w:pos="8424"/>
        </w:tabs>
        <w:autoSpaceDE w:val="0"/>
        <w:autoSpaceDN w:val="0"/>
        <w:spacing w:before="80" w:after="80" w:line="276" w:lineRule="auto"/>
        <w:ind w:firstLine="709"/>
        <w:jc w:val="both"/>
        <w:outlineLvl w:val="2"/>
        <w:rPr>
          <w:rFonts w:ascii="Times New Roman" w:eastAsia="Times New Roman" w:hAnsi="Times New Roman" w:cs="Times New Roman"/>
          <w:sz w:val="26"/>
          <w:szCs w:val="26"/>
          <w:lang w:val="es-ES"/>
        </w:rPr>
      </w:pPr>
      <w:r w:rsidRPr="00427E7C">
        <w:rPr>
          <w:rFonts w:ascii="Times New Roman" w:eastAsia="Times New Roman" w:hAnsi="Times New Roman" w:cs="Times New Roman"/>
          <w:sz w:val="26"/>
          <w:szCs w:val="26"/>
          <w:lang w:val="es-ES"/>
        </w:rPr>
        <w:lastRenderedPageBreak/>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427E7C">
        <w:rPr>
          <w:rFonts w:ascii="Times New Roman" w:eastAsia="Times New Roman" w:hAnsi="Times New Roman" w:cs="Times New Roman"/>
          <w:sz w:val="26"/>
          <w:szCs w:val="26"/>
          <w:lang w:val="nl-NL"/>
        </w:rPr>
        <w:t>hàng hóa thuộc phạm vi của gói thầu</w:t>
      </w:r>
      <w:r w:rsidRPr="00427E7C">
        <w:rPr>
          <w:rFonts w:ascii="Times New Roman" w:eastAsia="Times New Roman" w:hAnsi="Times New Roman" w:cs="Times New Roman"/>
          <w:sz w:val="26"/>
          <w:szCs w:val="26"/>
          <w:lang w:val="es-ES"/>
        </w:rPr>
        <w:t xml:space="preserve">), nhà thầu được đánh giá là đạt về năng lực và kinh nghiệm khi đáp ứng tất cả các tiêu chuẩn đánh giá. Năng lực và kinh nghiệm của nhà thầu phụ sẽ không được xem xét khi đánh giá HSĐX của nhà thầu. Bản thân nhà thầu phải đáp ứng các tiêu chí đánh giá về năng lực và kinh nghiệm. </w:t>
      </w:r>
    </w:p>
    <w:p w:rsidR="00427E7C" w:rsidRPr="00427E7C" w:rsidRDefault="00427E7C" w:rsidP="00427E7C">
      <w:pPr>
        <w:widowControl w:val="0"/>
        <w:tabs>
          <w:tab w:val="left" w:leader="dot" w:pos="8424"/>
        </w:tabs>
        <w:autoSpaceDE w:val="0"/>
        <w:autoSpaceDN w:val="0"/>
        <w:spacing w:before="80" w:after="80" w:line="276" w:lineRule="auto"/>
        <w:ind w:firstLine="709"/>
        <w:jc w:val="both"/>
        <w:outlineLvl w:val="2"/>
        <w:rPr>
          <w:rFonts w:ascii="Times New Roman" w:eastAsia="Times New Roman" w:hAnsi="Times New Roman" w:cs="Times New Roman"/>
          <w:sz w:val="26"/>
          <w:szCs w:val="26"/>
          <w:lang w:val="vi-VN"/>
        </w:rPr>
      </w:pPr>
      <w:r w:rsidRPr="00427E7C">
        <w:rPr>
          <w:rFonts w:ascii="Times New Roman" w:eastAsia="Times New Roman" w:hAnsi="Times New Roman" w:cs="Times New Roman"/>
          <w:sz w:val="26"/>
          <w:szCs w:val="26"/>
          <w:lang w:val="es-ES"/>
        </w:rPr>
        <w:t xml:space="preserve">Trường hợp nhà thầu là công ty mẹ (ví </w:t>
      </w:r>
      <w:r w:rsidRPr="00427E7C">
        <w:rPr>
          <w:rFonts w:ascii="Times New Roman" w:eastAsia="Times New Roman" w:hAnsi="Times New Roman" w:cs="Times New Roman"/>
          <w:sz w:val="26"/>
          <w:szCs w:val="26"/>
          <w:lang w:val="vi-VN"/>
        </w:rPr>
        <w:t>dụ như Tổng công ty) có huy động công ty con thực hiện một phần công việc của gói thầu thì nhà thầu phải kê khai cụ thể phần công việc dành cho các công ty con theo Mẫu số</w:t>
      </w:r>
      <w:r w:rsidRPr="00427E7C">
        <w:rPr>
          <w:rFonts w:ascii="Times New Roman" w:eastAsia="Times New Roman" w:hAnsi="Times New Roman" w:cs="Times New Roman"/>
          <w:sz w:val="26"/>
          <w:szCs w:val="26"/>
          <w:lang w:val="es-ES"/>
        </w:rPr>
        <w:t xml:space="preserve"> 10a </w:t>
      </w:r>
      <w:r w:rsidRPr="00427E7C">
        <w:rPr>
          <w:rFonts w:ascii="Times New Roman" w:eastAsia="Times New Roman" w:hAnsi="Times New Roman" w:cs="Times New Roman"/>
          <w:sz w:val="26"/>
          <w:szCs w:val="26"/>
          <w:lang w:val="vi-VN"/>
        </w:rPr>
        <w:t xml:space="preserve">Chương </w:t>
      </w:r>
      <w:r w:rsidRPr="00427E7C">
        <w:rPr>
          <w:rFonts w:ascii="Times New Roman" w:eastAsia="Times New Roman" w:hAnsi="Times New Roman" w:cs="Times New Roman"/>
          <w:sz w:val="26"/>
          <w:szCs w:val="26"/>
          <w:lang w:val="es-ES"/>
        </w:rPr>
        <w:t>III</w:t>
      </w:r>
      <w:r w:rsidRPr="00427E7C">
        <w:rPr>
          <w:rFonts w:ascii="Times New Roman" w:eastAsia="Times New Roman" w:hAnsi="Times New Roman" w:cs="Times New Roman"/>
          <w:sz w:val="26"/>
          <w:szCs w:val="26"/>
          <w:lang w:val="vi-VN"/>
        </w:rPr>
        <w:t>. Việc đánh giá kinh nghiệm thực hiện hợp đồng tương tự căn cứ vào giá trị, khối lượng công việc do công ty mẹ, công ty con đảm nhiệm trong gói thầu.</w:t>
      </w:r>
    </w:p>
    <w:bookmarkEnd w:id="7"/>
    <w:p w:rsidR="00427E7C" w:rsidRDefault="00427E7C"/>
    <w:sectPr w:rsidR="00427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7C"/>
    <w:rsid w:val="0042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2088"/>
  <w15:chartTrackingRefBased/>
  <w15:docId w15:val="{EBF415A6-19CF-4454-8023-DC4B9497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2025-11-11T08:30:00Z</dcterms:created>
  <dcterms:modified xsi:type="dcterms:W3CDTF">2025-11-11T08:32:00Z</dcterms:modified>
</cp:coreProperties>
</file>