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D5" w:rsidRPr="00EA11D5" w:rsidRDefault="00EA11D5" w:rsidP="00EA11D5">
      <w:pPr>
        <w:pStyle w:val="TOC1"/>
        <w:spacing w:before="0" w:after="60"/>
        <w:ind w:firstLine="0"/>
        <w:rPr>
          <w:rFonts w:ascii="Times New Roman" w:eastAsia="Times New Roman" w:hAnsi="Times New Roman" w:cs="Times New Roman"/>
          <w:iCs w:val="0"/>
          <w:noProof w:val="0"/>
          <w:kern w:val="0"/>
          <w:sz w:val="26"/>
          <w:szCs w:val="26"/>
        </w:rPr>
      </w:pPr>
      <w:r w:rsidRPr="00EA11D5">
        <w:rPr>
          <w:rFonts w:ascii="Times New Roman" w:hAnsi="Times New Roman" w:cs="Times New Roman"/>
          <w:sz w:val="26"/>
          <w:szCs w:val="26"/>
        </w:rPr>
        <w:t xml:space="preserve">Mục </w:t>
      </w:r>
      <w:r w:rsidRPr="00EA11D5">
        <w:rPr>
          <w:rFonts w:ascii="Times New Roman" w:hAnsi="Times New Roman" w:cs="Times New Roman"/>
          <w:sz w:val="26"/>
          <w:szCs w:val="26"/>
          <w:lang w:val="pl-PL"/>
        </w:rPr>
        <w:t>3</w:t>
      </w:r>
      <w:r w:rsidRPr="00EA11D5">
        <w:rPr>
          <w:rFonts w:ascii="Times New Roman" w:hAnsi="Times New Roman" w:cs="Times New Roman"/>
          <w:sz w:val="26"/>
          <w:szCs w:val="26"/>
        </w:rPr>
        <w:t>. Tiêu chuẩn đánh giá về kỹ thuật</w:t>
      </w:r>
    </w:p>
    <w:p w:rsidR="00EA11D5" w:rsidRPr="00EA11D5" w:rsidRDefault="00EA11D5" w:rsidP="00EA11D5">
      <w:pPr>
        <w:spacing w:after="60"/>
        <w:ind w:firstLine="709"/>
        <w:rPr>
          <w:sz w:val="26"/>
          <w:szCs w:val="26"/>
          <w:lang w:val="vi-VN"/>
        </w:rPr>
      </w:pPr>
      <w:r w:rsidRPr="00EA11D5">
        <w:rPr>
          <w:sz w:val="26"/>
          <w:szCs w:val="26"/>
          <w:lang w:val="vi-VN"/>
        </w:rPr>
        <w:t>Sử dụng tiêu chí đạt/không đạt để xây dựng tiêu chuẩn đánh giá về kỹ thuật.</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082"/>
        <w:gridCol w:w="1307"/>
      </w:tblGrid>
      <w:tr w:rsidR="00EA11D5" w:rsidRPr="00EA11D5" w:rsidTr="00A81D73">
        <w:trPr>
          <w:trHeight w:val="1116"/>
        </w:trPr>
        <w:tc>
          <w:tcPr>
            <w:tcW w:w="42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jc w:val="center"/>
              <w:rPr>
                <w:b/>
                <w:sz w:val="26"/>
                <w:szCs w:val="26"/>
              </w:rPr>
            </w:pPr>
            <w:r w:rsidRPr="00EA11D5">
              <w:rPr>
                <w:sz w:val="26"/>
                <w:szCs w:val="26"/>
              </w:rPr>
              <w:br w:type="page"/>
            </w:r>
            <w:r w:rsidRPr="00EA11D5">
              <w:rPr>
                <w:sz w:val="26"/>
                <w:szCs w:val="26"/>
              </w:rPr>
              <w:br w:type="page"/>
            </w:r>
            <w:r w:rsidRPr="00EA11D5">
              <w:rPr>
                <w:b/>
                <w:sz w:val="26"/>
                <w:szCs w:val="26"/>
              </w:rPr>
              <w:t>Nội dung đánh giá</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6" w:right="45" w:hanging="6"/>
              <w:jc w:val="center"/>
              <w:rPr>
                <w:b/>
                <w:sz w:val="26"/>
                <w:szCs w:val="26"/>
              </w:rPr>
            </w:pPr>
            <w:r w:rsidRPr="00EA11D5">
              <w:rPr>
                <w:b/>
                <w:sz w:val="26"/>
                <w:szCs w:val="26"/>
              </w:rPr>
              <w:t>Sử dụng tiêu chí đạt, không đạt</w:t>
            </w:r>
          </w:p>
        </w:tc>
        <w:bookmarkStart w:id="0" w:name="_GoBack"/>
        <w:bookmarkEnd w:id="0"/>
      </w:tr>
      <w:tr w:rsidR="00EA11D5" w:rsidRPr="00EA11D5" w:rsidTr="00A81D73">
        <w:tc>
          <w:tcPr>
            <w:tcW w:w="5000" w:type="pct"/>
            <w:gridSpan w:val="3"/>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left"/>
              <w:rPr>
                <w:b/>
                <w:sz w:val="26"/>
                <w:szCs w:val="26"/>
              </w:rPr>
            </w:pPr>
            <w:r w:rsidRPr="00EA11D5">
              <w:rPr>
                <w:b/>
                <w:sz w:val="26"/>
                <w:szCs w:val="26"/>
              </w:rPr>
              <w:t xml:space="preserve">1. </w:t>
            </w:r>
            <w:r w:rsidRPr="00EA11D5">
              <w:rPr>
                <w:b/>
                <w:color w:val="000000"/>
                <w:sz w:val="26"/>
                <w:szCs w:val="26"/>
              </w:rPr>
              <w:t>Đặc tính, thông số kỹ thuật của hàng hóa, tiêu chuẩn sản xuất, tiêu chuẩn chế tạo và công nghệ</w:t>
            </w:r>
          </w:p>
        </w:tc>
      </w:tr>
      <w:tr w:rsidR="00EA11D5" w:rsidRPr="00EA11D5" w:rsidTr="00A81D73">
        <w:trPr>
          <w:trHeight w:val="491"/>
        </w:trPr>
        <w:tc>
          <w:tcPr>
            <w:tcW w:w="1982" w:type="pct"/>
            <w:vMerge w:val="restart"/>
            <w:tcBorders>
              <w:left w:val="single" w:sz="4" w:space="0" w:color="auto"/>
              <w:right w:val="single" w:sz="4" w:space="0" w:color="auto"/>
            </w:tcBorders>
            <w:shd w:val="clear" w:color="auto" w:fill="auto"/>
            <w:vAlign w:val="center"/>
          </w:tcPr>
          <w:p w:rsidR="00EA11D5" w:rsidRPr="00EA11D5" w:rsidRDefault="00EA11D5" w:rsidP="00A81D73">
            <w:pPr>
              <w:shd w:val="clear" w:color="auto" w:fill="FFFFFF"/>
              <w:autoSpaceDE w:val="0"/>
              <w:autoSpaceDN w:val="0"/>
              <w:adjustRightInd w:val="0"/>
              <w:spacing w:after="60"/>
              <w:rPr>
                <w:sz w:val="26"/>
                <w:szCs w:val="26"/>
              </w:rPr>
            </w:pPr>
            <w:r w:rsidRPr="00EA11D5">
              <w:rPr>
                <w:sz w:val="26"/>
                <w:szCs w:val="26"/>
              </w:rPr>
              <w:t>1.1. Tình trạng bộ quần áo bảo hộ lao động cung cấp cho gói thầu</w:t>
            </w: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autoSpaceDE w:val="0"/>
              <w:autoSpaceDN w:val="0"/>
              <w:adjustRightInd w:val="0"/>
              <w:spacing w:after="60"/>
              <w:rPr>
                <w:sz w:val="26"/>
                <w:szCs w:val="26"/>
              </w:rPr>
            </w:pPr>
            <w:r w:rsidRPr="00EA11D5">
              <w:rPr>
                <w:sz w:val="26"/>
                <w:szCs w:val="26"/>
              </w:rPr>
              <w:t>Bộ quần áo bảo hộ lao động mới 100%</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Đạt</w:t>
            </w:r>
          </w:p>
        </w:tc>
      </w:tr>
      <w:tr w:rsidR="00EA11D5" w:rsidRPr="00EA11D5" w:rsidTr="00A81D73">
        <w:tc>
          <w:tcPr>
            <w:tcW w:w="1982" w:type="pct"/>
            <w:vMerge/>
            <w:tcBorders>
              <w:left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autoSpaceDE w:val="0"/>
              <w:autoSpaceDN w:val="0"/>
              <w:adjustRightInd w:val="0"/>
              <w:spacing w:after="60"/>
              <w:rPr>
                <w:sz w:val="26"/>
                <w:szCs w:val="26"/>
              </w:rPr>
            </w:pPr>
            <w:r w:rsidRPr="00EA11D5">
              <w:rPr>
                <w:sz w:val="26"/>
                <w:szCs w:val="26"/>
              </w:rPr>
              <w:t>Không đáp ứng nội dung trên.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Không đạt</w:t>
            </w:r>
          </w:p>
        </w:tc>
      </w:tr>
      <w:tr w:rsidR="00EA11D5" w:rsidRPr="00EA11D5" w:rsidTr="00A81D73">
        <w:tc>
          <w:tcPr>
            <w:tcW w:w="1982" w:type="pct"/>
            <w:vMerge w:val="restart"/>
            <w:tcBorders>
              <w:left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r w:rsidRPr="00EA11D5">
              <w:rPr>
                <w:sz w:val="26"/>
                <w:szCs w:val="26"/>
              </w:rPr>
              <w:t>1.2. Yêu cầu về kỹ thuật, tiêu chuẩn trang phục, các tiêu chí đánh giá, kiểm định</w:t>
            </w: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ind w:right="113"/>
              <w:rPr>
                <w:color w:val="000000"/>
                <w:sz w:val="26"/>
                <w:szCs w:val="26"/>
              </w:rPr>
            </w:pPr>
            <w:r w:rsidRPr="00EA11D5">
              <w:rPr>
                <w:color w:val="000000"/>
                <w:sz w:val="26"/>
                <w:szCs w:val="26"/>
              </w:rPr>
              <w:t>- Đáp ứng tất cả các yêu cầu nêu tại Chương V của HSMT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Đạt</w:t>
            </w:r>
          </w:p>
        </w:tc>
      </w:tr>
      <w:tr w:rsidR="00EA11D5" w:rsidRPr="00EA11D5" w:rsidTr="00A81D73">
        <w:tc>
          <w:tcPr>
            <w:tcW w:w="1982" w:type="pct"/>
            <w:vMerge/>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ind w:right="113"/>
              <w:rPr>
                <w:sz w:val="26"/>
                <w:szCs w:val="26"/>
              </w:rPr>
            </w:pPr>
            <w:r w:rsidRPr="00EA11D5">
              <w:rPr>
                <w:sz w:val="26"/>
                <w:szCs w:val="26"/>
              </w:rPr>
              <w:t>- Không đáp ứng tối thiểu 01 nội dung yêu cầu nêu tại Chương V của HSMT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Không đạt</w:t>
            </w:r>
          </w:p>
        </w:tc>
      </w:tr>
      <w:tr w:rsidR="00EA11D5" w:rsidRPr="00EA11D5" w:rsidTr="00A81D73">
        <w:tc>
          <w:tcPr>
            <w:tcW w:w="1982" w:type="pct"/>
            <w:vMerge w:val="restart"/>
            <w:tcBorders>
              <w:left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r w:rsidRPr="00EA11D5">
              <w:rPr>
                <w:sz w:val="26"/>
                <w:szCs w:val="26"/>
              </w:rPr>
              <w:t xml:space="preserve">1.3. </w:t>
            </w:r>
            <w:r w:rsidRPr="00EA11D5">
              <w:rPr>
                <w:bCs/>
                <w:color w:val="000000"/>
                <w:sz w:val="26"/>
                <w:szCs w:val="26"/>
              </w:rPr>
              <w:t>Sử dụng loại vải theo đúng quy cách trang phục được phê duyệt</w:t>
            </w: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ind w:right="113"/>
              <w:rPr>
                <w:sz w:val="26"/>
                <w:szCs w:val="26"/>
              </w:rPr>
            </w:pPr>
            <w:r w:rsidRPr="00EA11D5">
              <w:rPr>
                <w:sz w:val="26"/>
                <w:szCs w:val="26"/>
              </w:rPr>
              <w:t>Có cam kết đáp ứng yêu cầu của HSMT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Đạt</w:t>
            </w:r>
          </w:p>
        </w:tc>
      </w:tr>
      <w:tr w:rsidR="00EA11D5" w:rsidRPr="00EA11D5" w:rsidTr="00A81D73">
        <w:tc>
          <w:tcPr>
            <w:tcW w:w="1982" w:type="pct"/>
            <w:vMerge/>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ind w:right="113"/>
              <w:rPr>
                <w:sz w:val="26"/>
                <w:szCs w:val="26"/>
              </w:rPr>
            </w:pPr>
            <w:r w:rsidRPr="00EA11D5">
              <w:rPr>
                <w:sz w:val="26"/>
                <w:szCs w:val="26"/>
              </w:rPr>
              <w:t>Không có cam kết (kể cả sau khi làm rõ) hoặc có cam kết nhưng không đáp ứng yêu cầu của HSMT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Không đạt</w:t>
            </w:r>
          </w:p>
        </w:tc>
      </w:tr>
      <w:tr w:rsidR="00EA11D5" w:rsidRPr="00EA11D5" w:rsidTr="00A81D73">
        <w:trPr>
          <w:trHeight w:val="924"/>
        </w:trPr>
        <w:tc>
          <w:tcPr>
            <w:tcW w:w="1982" w:type="pct"/>
            <w:vMerge w:val="restart"/>
            <w:tcBorders>
              <w:left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r w:rsidRPr="00EA11D5">
              <w:rPr>
                <w:sz w:val="26"/>
                <w:szCs w:val="26"/>
              </w:rPr>
              <w:t>1.4. Quy cách đóng gói: Hàng hóa phải được bao gói trong túi nilong đựng trong thùng caton, được niêm phong và vận chuyển đến địa điểm giao hàng theo hợp đồng đã ký kết, đảm bảo chất lượng khi giao hàng</w:t>
            </w: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ind w:right="113"/>
              <w:rPr>
                <w:sz w:val="26"/>
                <w:szCs w:val="26"/>
              </w:rPr>
            </w:pPr>
            <w:r w:rsidRPr="00EA11D5">
              <w:rPr>
                <w:sz w:val="26"/>
                <w:szCs w:val="26"/>
              </w:rPr>
              <w:t>Có cam kết đáp ứng yêu cầu của HSMT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p>
        </w:tc>
      </w:tr>
      <w:tr w:rsidR="00EA11D5" w:rsidRPr="00EA11D5" w:rsidTr="00A81D73">
        <w:tc>
          <w:tcPr>
            <w:tcW w:w="1982" w:type="pct"/>
            <w:vMerge/>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ind w:right="113"/>
              <w:rPr>
                <w:sz w:val="26"/>
                <w:szCs w:val="26"/>
              </w:rPr>
            </w:pPr>
            <w:r w:rsidRPr="00EA11D5">
              <w:rPr>
                <w:sz w:val="26"/>
                <w:szCs w:val="26"/>
              </w:rPr>
              <w:t>Không có cam kết hoặc có cam kết nhưng không đáp ứng yêu cầu của HSMT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p>
        </w:tc>
      </w:tr>
      <w:tr w:rsidR="00EA11D5" w:rsidRPr="00EA11D5" w:rsidTr="00A81D73">
        <w:tc>
          <w:tcPr>
            <w:tcW w:w="5000" w:type="pct"/>
            <w:gridSpan w:val="3"/>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rPr>
                <w:b/>
                <w:bCs/>
                <w:sz w:val="26"/>
                <w:szCs w:val="26"/>
              </w:rPr>
            </w:pPr>
            <w:r w:rsidRPr="00EA11D5">
              <w:rPr>
                <w:b/>
                <w:bCs/>
                <w:sz w:val="26"/>
                <w:szCs w:val="26"/>
              </w:rPr>
              <w:t>2. Tính hợp lý và hiệu quả kinh tế của các giải pháp kỹ thuật, biện pháp tổ chức cung cấp hàng hóa</w:t>
            </w:r>
          </w:p>
        </w:tc>
      </w:tr>
      <w:tr w:rsidR="00EA11D5" w:rsidRPr="00EA11D5" w:rsidTr="00A81D73">
        <w:tc>
          <w:tcPr>
            <w:tcW w:w="1982" w:type="pct"/>
            <w:vMerge w:val="restart"/>
            <w:tcBorders>
              <w:left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r w:rsidRPr="00EA11D5">
              <w:rPr>
                <w:color w:val="000000"/>
                <w:sz w:val="26"/>
                <w:szCs w:val="26"/>
              </w:rPr>
              <w:t>2.1 Tính hợp lý và hiệu quả kinh tế của các giải pháp kỹ thuật, biện pháp tổ chức cung cấp</w:t>
            </w: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widowControl w:val="0"/>
              <w:tabs>
                <w:tab w:val="left" w:pos="851"/>
              </w:tabs>
              <w:spacing w:after="60"/>
              <w:ind w:left="-18" w:firstLine="52"/>
              <w:rPr>
                <w:sz w:val="26"/>
                <w:szCs w:val="26"/>
              </w:rPr>
            </w:pPr>
            <w:r w:rsidRPr="00EA11D5">
              <w:rPr>
                <w:sz w:val="26"/>
                <w:szCs w:val="26"/>
              </w:rPr>
              <w:t>- Có thuyết minh giải pháp kỹ thuật, biện pháp tổ chức cung cấp, phòng chống cháy nổ và an toàn lao động.</w:t>
            </w:r>
          </w:p>
          <w:p w:rsidR="00EA11D5" w:rsidRPr="00EA11D5" w:rsidRDefault="00EA11D5" w:rsidP="00A81D73">
            <w:pPr>
              <w:spacing w:after="60"/>
              <w:ind w:right="113"/>
              <w:rPr>
                <w:color w:val="000000"/>
                <w:sz w:val="26"/>
                <w:szCs w:val="26"/>
              </w:rPr>
            </w:pPr>
            <w:r w:rsidRPr="00EA11D5">
              <w:rPr>
                <w:sz w:val="26"/>
                <w:szCs w:val="26"/>
              </w:rPr>
              <w:t>- Có thuyết minh, trình bày các giải pháp, biện pháp tổ chức cung cấp hàng hóa, chuyển giao đầy đủ, chi tiết, hợp lý.</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color w:val="000000"/>
                <w:sz w:val="26"/>
                <w:szCs w:val="26"/>
              </w:rPr>
              <w:t>Đạt</w:t>
            </w:r>
          </w:p>
        </w:tc>
      </w:tr>
      <w:tr w:rsidR="00EA11D5" w:rsidRPr="00EA11D5" w:rsidTr="00A81D73">
        <w:tc>
          <w:tcPr>
            <w:tcW w:w="1982" w:type="pct"/>
            <w:vMerge/>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ind w:right="113"/>
              <w:rPr>
                <w:sz w:val="26"/>
                <w:szCs w:val="26"/>
              </w:rPr>
            </w:pPr>
            <w:r w:rsidRPr="00EA11D5">
              <w:rPr>
                <w:sz w:val="26"/>
                <w:szCs w:val="26"/>
              </w:rPr>
              <w:t>- Không có thuyết minh giải pháp kỹ thuật, biện pháp tổ chức cung cấp, phòng chống cháy nổ và an toàn lao động hoặc có nhưng không đầy đủ.</w:t>
            </w:r>
          </w:p>
          <w:p w:rsidR="00EA11D5" w:rsidRPr="00EA11D5" w:rsidRDefault="00EA11D5" w:rsidP="00A81D73">
            <w:pPr>
              <w:spacing w:after="60"/>
              <w:ind w:right="113"/>
              <w:rPr>
                <w:color w:val="000000"/>
                <w:sz w:val="26"/>
                <w:szCs w:val="26"/>
              </w:rPr>
            </w:pPr>
            <w:r w:rsidRPr="00EA11D5">
              <w:rPr>
                <w:sz w:val="26"/>
                <w:szCs w:val="26"/>
              </w:rPr>
              <w:t>- Không thuyết minh các giải pháp, biện pháp tổ chức cung cấp, đào tạo, chuyển giao hoặc có nhưng không đầy đủ, không chi tiết, không hợp lý.</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color w:val="000000"/>
                <w:sz w:val="26"/>
                <w:szCs w:val="26"/>
              </w:rPr>
              <w:t>Không đạt</w:t>
            </w:r>
          </w:p>
        </w:tc>
      </w:tr>
      <w:tr w:rsidR="00EA11D5" w:rsidRPr="00EA11D5" w:rsidTr="00A81D73">
        <w:tc>
          <w:tcPr>
            <w:tcW w:w="1982" w:type="pct"/>
            <w:vMerge w:val="restart"/>
            <w:tcBorders>
              <w:left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r w:rsidRPr="00EA11D5">
              <w:rPr>
                <w:sz w:val="26"/>
                <w:szCs w:val="26"/>
              </w:rPr>
              <w:lastRenderedPageBreak/>
              <w:t>2.2. Địa điểm cung cấp hàng hóa</w:t>
            </w: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ind w:right="113"/>
              <w:rPr>
                <w:sz w:val="26"/>
                <w:szCs w:val="26"/>
              </w:rPr>
            </w:pPr>
            <w:r w:rsidRPr="00EA11D5">
              <w:rPr>
                <w:sz w:val="26"/>
                <w:szCs w:val="26"/>
              </w:rPr>
              <w:t>Theo yêu cầu của bên mời thầu quy định tại Chương V</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color w:val="000000"/>
                <w:sz w:val="26"/>
                <w:szCs w:val="26"/>
              </w:rPr>
            </w:pPr>
            <w:r w:rsidRPr="00EA11D5">
              <w:rPr>
                <w:b/>
                <w:color w:val="000000"/>
                <w:sz w:val="26"/>
                <w:szCs w:val="26"/>
              </w:rPr>
              <w:t>Đạt</w:t>
            </w:r>
          </w:p>
        </w:tc>
      </w:tr>
      <w:tr w:rsidR="00EA11D5" w:rsidRPr="00EA11D5" w:rsidTr="00A81D73">
        <w:tc>
          <w:tcPr>
            <w:tcW w:w="1982" w:type="pct"/>
            <w:vMerge/>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ind w:right="113"/>
              <w:rPr>
                <w:sz w:val="26"/>
                <w:szCs w:val="26"/>
              </w:rPr>
            </w:pPr>
            <w:r w:rsidRPr="00EA11D5">
              <w:rPr>
                <w:sz w:val="26"/>
                <w:szCs w:val="26"/>
              </w:rPr>
              <w:t>Không theo yêu cầu của bên mời thầu quy định tại Chương V</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color w:val="000000"/>
                <w:sz w:val="26"/>
                <w:szCs w:val="26"/>
              </w:rPr>
            </w:pPr>
            <w:r w:rsidRPr="00EA11D5">
              <w:rPr>
                <w:b/>
                <w:color w:val="000000"/>
                <w:sz w:val="26"/>
                <w:szCs w:val="26"/>
              </w:rPr>
              <w:t>Không đạt</w:t>
            </w:r>
          </w:p>
        </w:tc>
      </w:tr>
      <w:tr w:rsidR="00EA11D5" w:rsidRPr="00EA11D5" w:rsidTr="00A81D73">
        <w:tc>
          <w:tcPr>
            <w:tcW w:w="5000" w:type="pct"/>
            <w:gridSpan w:val="3"/>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rPr>
                <w:b/>
                <w:bCs/>
                <w:color w:val="000000"/>
                <w:sz w:val="26"/>
                <w:szCs w:val="26"/>
              </w:rPr>
            </w:pPr>
            <w:r w:rsidRPr="00EA11D5">
              <w:rPr>
                <w:b/>
                <w:bCs/>
                <w:sz w:val="26"/>
                <w:szCs w:val="26"/>
              </w:rPr>
              <w:t>3. Mức độ đáp ứng các yêu cầu về bảo hành</w:t>
            </w:r>
          </w:p>
        </w:tc>
      </w:tr>
      <w:tr w:rsidR="00EA11D5" w:rsidRPr="00EA11D5" w:rsidTr="00A81D73">
        <w:tc>
          <w:tcPr>
            <w:tcW w:w="1982" w:type="pct"/>
            <w:vMerge w:val="restart"/>
            <w:tcBorders>
              <w:left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r w:rsidRPr="00EA11D5">
              <w:rPr>
                <w:bCs/>
                <w:sz w:val="26"/>
                <w:szCs w:val="26"/>
              </w:rPr>
              <w:t>Thời gian bảo hành hàng hóa: cho toàn bộ hàng hóa của gói thầu theo tiêu chuẩn của nhà sản xuất. Thời hạn bảo hành được tính kể từ khi hàng hoá được bàn giao, nghiệm thu</w:t>
            </w:r>
          </w:p>
        </w:tc>
        <w:tc>
          <w:tcPr>
            <w:tcW w:w="2286" w:type="pct"/>
            <w:tcBorders>
              <w:top w:val="single" w:sz="4" w:space="0" w:color="auto"/>
              <w:left w:val="single" w:sz="4" w:space="0" w:color="auto"/>
              <w:bottom w:val="single" w:sz="4" w:space="0" w:color="auto"/>
              <w:right w:val="single" w:sz="4" w:space="0" w:color="auto"/>
            </w:tcBorders>
            <w:shd w:val="clear" w:color="auto" w:fill="auto"/>
          </w:tcPr>
          <w:p w:rsidR="00EA11D5" w:rsidRPr="00EA11D5" w:rsidRDefault="00EA11D5" w:rsidP="00A81D73">
            <w:pPr>
              <w:spacing w:after="60"/>
              <w:ind w:right="113"/>
              <w:rPr>
                <w:sz w:val="26"/>
                <w:szCs w:val="26"/>
              </w:rPr>
            </w:pPr>
            <w:r w:rsidRPr="00EA11D5">
              <w:rPr>
                <w:sz w:val="26"/>
                <w:szCs w:val="26"/>
              </w:rPr>
              <w:t xml:space="preserve"> ≥ 12 tháng cho toàn bộ hàng hóa của gói thầu, trong đó thời gian bảo hành Logo Petrolimex trên áo BHLĐ Petrolimex ≥ 09 tháng</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color w:val="000000"/>
                <w:sz w:val="26"/>
                <w:szCs w:val="26"/>
              </w:rPr>
            </w:pPr>
            <w:r w:rsidRPr="00EA11D5">
              <w:rPr>
                <w:b/>
                <w:sz w:val="26"/>
                <w:szCs w:val="26"/>
              </w:rPr>
              <w:t>Đạt</w:t>
            </w:r>
          </w:p>
        </w:tc>
      </w:tr>
      <w:tr w:rsidR="00EA11D5" w:rsidRPr="00EA11D5" w:rsidTr="00A81D73">
        <w:tc>
          <w:tcPr>
            <w:tcW w:w="1982" w:type="pct"/>
            <w:vMerge/>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hanging="3"/>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tcPr>
          <w:p w:rsidR="00EA11D5" w:rsidRPr="00EA11D5" w:rsidRDefault="00EA11D5" w:rsidP="00A81D73">
            <w:pPr>
              <w:spacing w:after="60"/>
              <w:ind w:right="113"/>
              <w:rPr>
                <w:sz w:val="26"/>
                <w:szCs w:val="26"/>
              </w:rPr>
            </w:pPr>
            <w:r w:rsidRPr="00EA11D5">
              <w:rPr>
                <w:sz w:val="26"/>
                <w:szCs w:val="26"/>
              </w:rPr>
              <w:t>- Không đáp ứng yêu cầu</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color w:val="000000"/>
                <w:sz w:val="26"/>
                <w:szCs w:val="26"/>
              </w:rPr>
            </w:pPr>
            <w:r w:rsidRPr="00EA11D5">
              <w:rPr>
                <w:b/>
                <w:sz w:val="26"/>
                <w:szCs w:val="26"/>
              </w:rPr>
              <w:t>Không đạt</w:t>
            </w:r>
          </w:p>
        </w:tc>
      </w:tr>
      <w:tr w:rsidR="00EA11D5" w:rsidRPr="00EA11D5" w:rsidTr="00A81D73">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rPr>
                <w:b/>
                <w:sz w:val="26"/>
                <w:szCs w:val="26"/>
              </w:rPr>
            </w:pPr>
            <w:r w:rsidRPr="00EA11D5">
              <w:rPr>
                <w:b/>
                <w:sz w:val="26"/>
                <w:szCs w:val="26"/>
              </w:rPr>
              <w:t>4. Tiến độ cung cấp hàng hóa</w:t>
            </w:r>
          </w:p>
        </w:tc>
      </w:tr>
      <w:tr w:rsidR="00EA11D5" w:rsidRPr="00EA11D5" w:rsidTr="00A81D73">
        <w:tc>
          <w:tcPr>
            <w:tcW w:w="19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rPr>
                <w:sz w:val="26"/>
                <w:szCs w:val="26"/>
              </w:rPr>
            </w:pPr>
            <w:r w:rsidRPr="00EA11D5">
              <w:rPr>
                <w:color w:val="000000"/>
                <w:sz w:val="26"/>
                <w:szCs w:val="26"/>
              </w:rPr>
              <w:t>Tiến độ thực hiện hợp đồng</w:t>
            </w:r>
          </w:p>
        </w:tc>
        <w:tc>
          <w:tcPr>
            <w:tcW w:w="2286" w:type="pct"/>
            <w:tcBorders>
              <w:top w:val="single" w:sz="4" w:space="0" w:color="auto"/>
              <w:left w:val="single" w:sz="4" w:space="0" w:color="auto"/>
              <w:bottom w:val="single" w:sz="4" w:space="0" w:color="auto"/>
              <w:right w:val="single" w:sz="4" w:space="0" w:color="auto"/>
            </w:tcBorders>
            <w:shd w:val="clear" w:color="auto" w:fill="auto"/>
            <w:hideMark/>
          </w:tcPr>
          <w:p w:rsidR="00EA11D5" w:rsidRPr="00EA11D5" w:rsidRDefault="00EA11D5" w:rsidP="00A81D73">
            <w:pPr>
              <w:shd w:val="clear" w:color="auto" w:fill="FFFFFF"/>
              <w:spacing w:after="60"/>
              <w:ind w:left="1" w:right="43" w:hanging="3"/>
              <w:rPr>
                <w:color w:val="000000"/>
                <w:sz w:val="26"/>
                <w:szCs w:val="26"/>
              </w:rPr>
            </w:pPr>
            <w:r w:rsidRPr="00EA11D5">
              <w:rPr>
                <w:sz w:val="26"/>
                <w:szCs w:val="26"/>
              </w:rPr>
              <w:t xml:space="preserve">- Nhà thầu có đề xuất thời gian thực hiện hợp đồng </w:t>
            </w:r>
            <w:r w:rsidRPr="00EA11D5">
              <w:rPr>
                <w:color w:val="000000"/>
                <w:sz w:val="26"/>
                <w:szCs w:val="26"/>
              </w:rPr>
              <w:t>≤ 45 ngày.</w:t>
            </w:r>
          </w:p>
          <w:p w:rsidR="00EA11D5" w:rsidRPr="00EA11D5" w:rsidRDefault="00EA11D5" w:rsidP="00A81D73">
            <w:pPr>
              <w:shd w:val="clear" w:color="auto" w:fill="FFFFFF"/>
              <w:spacing w:after="60"/>
              <w:ind w:left="1" w:right="43" w:hanging="3"/>
              <w:rPr>
                <w:sz w:val="26"/>
                <w:szCs w:val="26"/>
              </w:rPr>
            </w:pPr>
            <w:r w:rsidRPr="00EA11D5">
              <w:rPr>
                <w:sz w:val="26"/>
                <w:szCs w:val="26"/>
              </w:rPr>
              <w:t>- Có biểu tiến độ thực hiện hợp đồng trong đó thể hiện rõ tiến độ cung cấp hàng hóa đáp ứng yêu cầu tại Chương V của HSMT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Đạt</w:t>
            </w:r>
          </w:p>
        </w:tc>
      </w:tr>
      <w:tr w:rsidR="00EA11D5" w:rsidRPr="00EA11D5" w:rsidTr="00A81D73">
        <w:tc>
          <w:tcPr>
            <w:tcW w:w="19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hanging="3"/>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rPr>
                <w:color w:val="000000"/>
                <w:sz w:val="26"/>
                <w:szCs w:val="26"/>
              </w:rPr>
            </w:pPr>
            <w:r w:rsidRPr="00EA11D5">
              <w:rPr>
                <w:sz w:val="26"/>
                <w:szCs w:val="26"/>
              </w:rPr>
              <w:t xml:space="preserve">- Nhà thầu có đề xuất thời gian thực hiện hợp đồng </w:t>
            </w:r>
            <w:r w:rsidRPr="00EA11D5">
              <w:rPr>
                <w:color w:val="000000"/>
                <w:sz w:val="26"/>
                <w:szCs w:val="26"/>
              </w:rPr>
              <w:t>&gt; 45 ngày</w:t>
            </w:r>
          </w:p>
          <w:p w:rsidR="00EA11D5" w:rsidRPr="00EA11D5" w:rsidRDefault="00EA11D5" w:rsidP="00A81D73">
            <w:pPr>
              <w:shd w:val="clear" w:color="auto" w:fill="FFFFFF"/>
              <w:spacing w:after="60"/>
              <w:ind w:left="1" w:right="43" w:hanging="3"/>
              <w:rPr>
                <w:sz w:val="26"/>
                <w:szCs w:val="26"/>
              </w:rPr>
            </w:pPr>
            <w:r w:rsidRPr="00EA11D5">
              <w:rPr>
                <w:color w:val="000000"/>
                <w:sz w:val="26"/>
                <w:szCs w:val="26"/>
              </w:rPr>
              <w:t>- Không có biểu tiến độ hoặc có biểu tiến độ nhưng tiến độ cung cấp hàng hóa không phù hợp với yêu cầu tại Chương V của HSMT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Không đạt</w:t>
            </w:r>
          </w:p>
        </w:tc>
      </w:tr>
      <w:tr w:rsidR="00EA11D5" w:rsidRPr="00EA11D5" w:rsidTr="00A81D73">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EA11D5" w:rsidRPr="00EA11D5" w:rsidRDefault="00EA11D5" w:rsidP="00A81D73">
            <w:pPr>
              <w:shd w:val="clear" w:color="auto" w:fill="FFFFFF"/>
              <w:spacing w:after="60"/>
              <w:ind w:left="1" w:right="43" w:hanging="3"/>
              <w:rPr>
                <w:b/>
                <w:sz w:val="26"/>
                <w:szCs w:val="26"/>
              </w:rPr>
            </w:pPr>
            <w:r w:rsidRPr="00EA11D5">
              <w:rPr>
                <w:b/>
                <w:sz w:val="26"/>
                <w:szCs w:val="26"/>
              </w:rPr>
              <w:t>5. Khả năng thích ứng về địa lý, môi trường; Tác động với môi trường và biện pháp giải quyết</w:t>
            </w:r>
          </w:p>
        </w:tc>
      </w:tr>
      <w:tr w:rsidR="00EA11D5" w:rsidRPr="00EA11D5" w:rsidTr="00A81D73">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EA11D5" w:rsidRPr="00EA11D5" w:rsidRDefault="00EA11D5" w:rsidP="00A81D73">
            <w:pPr>
              <w:shd w:val="clear" w:color="auto" w:fill="FFFFFF"/>
              <w:spacing w:after="60"/>
              <w:ind w:left="1" w:right="43" w:hanging="3"/>
              <w:rPr>
                <w:b/>
                <w:sz w:val="26"/>
                <w:szCs w:val="26"/>
              </w:rPr>
            </w:pPr>
            <w:r w:rsidRPr="00EA11D5">
              <w:rPr>
                <w:b/>
                <w:sz w:val="26"/>
                <w:szCs w:val="26"/>
              </w:rPr>
              <w:t>5.1. Khả năng thích ứng về địa lý, môi trường</w:t>
            </w:r>
          </w:p>
        </w:tc>
      </w:tr>
      <w:tr w:rsidR="00EA11D5" w:rsidRPr="00EA11D5" w:rsidTr="00A81D73">
        <w:tc>
          <w:tcPr>
            <w:tcW w:w="19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rPr>
                <w:sz w:val="26"/>
                <w:szCs w:val="26"/>
              </w:rPr>
            </w:pPr>
            <w:r w:rsidRPr="00EA11D5">
              <w:rPr>
                <w:sz w:val="26"/>
                <w:szCs w:val="26"/>
              </w:rPr>
              <w:t>Khả năng thích ứng về địa lý, môi trường</w:t>
            </w:r>
          </w:p>
        </w:tc>
        <w:tc>
          <w:tcPr>
            <w:tcW w:w="2286" w:type="pct"/>
            <w:tcBorders>
              <w:top w:val="single" w:sz="4" w:space="0" w:color="auto"/>
              <w:left w:val="single" w:sz="4" w:space="0" w:color="auto"/>
              <w:bottom w:val="single" w:sz="4" w:space="0" w:color="auto"/>
              <w:right w:val="single" w:sz="4" w:space="0" w:color="auto"/>
            </w:tcBorders>
            <w:shd w:val="clear" w:color="auto" w:fill="auto"/>
            <w:hideMark/>
          </w:tcPr>
          <w:p w:rsidR="00EA11D5" w:rsidRPr="00EA11D5" w:rsidRDefault="00EA11D5" w:rsidP="00A81D73">
            <w:pPr>
              <w:shd w:val="clear" w:color="auto" w:fill="FFFFFF"/>
              <w:spacing w:after="60"/>
              <w:ind w:left="1" w:right="43" w:hanging="3"/>
              <w:rPr>
                <w:sz w:val="26"/>
                <w:szCs w:val="26"/>
              </w:rPr>
            </w:pPr>
            <w:r w:rsidRPr="00EA11D5">
              <w:rPr>
                <w:sz w:val="26"/>
                <w:szCs w:val="26"/>
              </w:rPr>
              <w:t>Hàng hóa được cung cấp có cam kết hoàn toàn thích ứng về địa lý.</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Đạt</w:t>
            </w:r>
          </w:p>
        </w:tc>
      </w:tr>
      <w:tr w:rsidR="00EA11D5" w:rsidRPr="00EA11D5" w:rsidTr="00A81D73">
        <w:tc>
          <w:tcPr>
            <w:tcW w:w="19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hanging="3"/>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hideMark/>
          </w:tcPr>
          <w:p w:rsidR="00EA11D5" w:rsidRPr="00EA11D5" w:rsidRDefault="00EA11D5" w:rsidP="00A81D73">
            <w:pPr>
              <w:shd w:val="clear" w:color="auto" w:fill="FFFFFF"/>
              <w:spacing w:after="60"/>
              <w:ind w:left="1" w:right="43" w:hanging="3"/>
              <w:rPr>
                <w:sz w:val="26"/>
                <w:szCs w:val="26"/>
              </w:rPr>
            </w:pPr>
            <w:r w:rsidRPr="00EA11D5">
              <w:rPr>
                <w:sz w:val="26"/>
                <w:szCs w:val="26"/>
              </w:rPr>
              <w:t>Hàng hóa được cung cấp không có cam kết thích ứng về địa lý.</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Không đạt</w:t>
            </w:r>
          </w:p>
        </w:tc>
      </w:tr>
      <w:tr w:rsidR="00EA11D5" w:rsidRPr="00EA11D5" w:rsidTr="00A81D73">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EA11D5" w:rsidRPr="00EA11D5" w:rsidRDefault="00EA11D5" w:rsidP="00A81D73">
            <w:pPr>
              <w:shd w:val="clear" w:color="auto" w:fill="FFFFFF"/>
              <w:spacing w:after="60"/>
              <w:ind w:left="1" w:right="43" w:hanging="3"/>
              <w:rPr>
                <w:b/>
                <w:sz w:val="26"/>
                <w:szCs w:val="26"/>
              </w:rPr>
            </w:pPr>
            <w:r w:rsidRPr="00EA11D5">
              <w:rPr>
                <w:b/>
                <w:sz w:val="26"/>
                <w:szCs w:val="26"/>
              </w:rPr>
              <w:t>5.2. Tác động đối với môi trường và biện pháp giải quyết</w:t>
            </w:r>
          </w:p>
        </w:tc>
      </w:tr>
      <w:tr w:rsidR="00EA11D5" w:rsidRPr="00EA11D5" w:rsidTr="00A81D73">
        <w:tc>
          <w:tcPr>
            <w:tcW w:w="19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rPr>
                <w:sz w:val="26"/>
                <w:szCs w:val="26"/>
              </w:rPr>
            </w:pPr>
            <w:r w:rsidRPr="00EA11D5">
              <w:rPr>
                <w:sz w:val="26"/>
                <w:szCs w:val="26"/>
              </w:rPr>
              <w:t>Hàng hóa được cung cấp có ảnh hưởng tác động đến môi trường và đề xuất biện pháp giải quyết</w:t>
            </w:r>
          </w:p>
        </w:tc>
        <w:tc>
          <w:tcPr>
            <w:tcW w:w="2286" w:type="pct"/>
            <w:tcBorders>
              <w:top w:val="single" w:sz="4" w:space="0" w:color="auto"/>
              <w:left w:val="single" w:sz="4" w:space="0" w:color="auto"/>
              <w:bottom w:val="single" w:sz="4" w:space="0" w:color="auto"/>
              <w:right w:val="single" w:sz="4" w:space="0" w:color="auto"/>
            </w:tcBorders>
            <w:shd w:val="clear" w:color="auto" w:fill="auto"/>
            <w:hideMark/>
          </w:tcPr>
          <w:p w:rsidR="00EA11D5" w:rsidRPr="00EA11D5" w:rsidRDefault="00EA11D5" w:rsidP="00A81D73">
            <w:pPr>
              <w:shd w:val="clear" w:color="auto" w:fill="FFFFFF"/>
              <w:spacing w:after="60"/>
              <w:ind w:left="1" w:right="43" w:hanging="3"/>
              <w:rPr>
                <w:sz w:val="26"/>
                <w:szCs w:val="26"/>
              </w:rPr>
            </w:pPr>
            <w:r w:rsidRPr="00EA11D5">
              <w:rPr>
                <w:sz w:val="26"/>
                <w:szCs w:val="26"/>
              </w:rPr>
              <w:t xml:space="preserve">Hàng hóa được cung cấp có cam kết không có ảnh hưởng tác động đến môi trường </w:t>
            </w:r>
          </w:p>
          <w:p w:rsidR="00EA11D5" w:rsidRPr="00EA11D5" w:rsidRDefault="00EA11D5" w:rsidP="00A81D73">
            <w:pPr>
              <w:shd w:val="clear" w:color="auto" w:fill="FFFFFF"/>
              <w:spacing w:after="60"/>
              <w:ind w:left="1" w:right="43" w:hanging="3"/>
              <w:rPr>
                <w:sz w:val="26"/>
                <w:szCs w:val="26"/>
              </w:rPr>
            </w:pPr>
            <w:r w:rsidRPr="00EA11D5">
              <w:rPr>
                <w:sz w:val="26"/>
                <w:szCs w:val="26"/>
              </w:rPr>
              <w:t>Hoặc có tác động đến môi trường nhưng có đề xuất biện pháp giải quyết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Đạt</w:t>
            </w:r>
          </w:p>
        </w:tc>
      </w:tr>
      <w:tr w:rsidR="00EA11D5" w:rsidRPr="00EA11D5" w:rsidTr="00A81D73">
        <w:tc>
          <w:tcPr>
            <w:tcW w:w="19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hanging="3"/>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hideMark/>
          </w:tcPr>
          <w:p w:rsidR="00EA11D5" w:rsidRPr="00EA11D5" w:rsidRDefault="00EA11D5" w:rsidP="00A81D73">
            <w:pPr>
              <w:shd w:val="clear" w:color="auto" w:fill="FFFFFF"/>
              <w:spacing w:after="60"/>
              <w:ind w:left="1" w:right="43" w:hanging="3"/>
              <w:rPr>
                <w:sz w:val="26"/>
                <w:szCs w:val="26"/>
              </w:rPr>
            </w:pPr>
            <w:r w:rsidRPr="00EA11D5">
              <w:rPr>
                <w:sz w:val="26"/>
                <w:szCs w:val="26"/>
              </w:rPr>
              <w:t>Hàng hóa được cung cấp có ảnh hưởng tác động đến môi trường và không đề xuất biện pháp giải quyết.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1D5" w:rsidRPr="00EA11D5" w:rsidRDefault="00EA11D5" w:rsidP="00A81D73">
            <w:pPr>
              <w:shd w:val="clear" w:color="auto" w:fill="FFFFFF"/>
              <w:spacing w:after="60"/>
              <w:ind w:left="1" w:right="43" w:hanging="3"/>
              <w:jc w:val="center"/>
              <w:rPr>
                <w:b/>
                <w:sz w:val="26"/>
                <w:szCs w:val="26"/>
              </w:rPr>
            </w:pPr>
            <w:r w:rsidRPr="00EA11D5">
              <w:rPr>
                <w:b/>
                <w:sz w:val="26"/>
                <w:szCs w:val="26"/>
              </w:rPr>
              <w:t>Không đạt</w:t>
            </w:r>
          </w:p>
        </w:tc>
      </w:tr>
      <w:tr w:rsidR="00EA11D5" w:rsidRPr="00EA11D5" w:rsidTr="00A81D73">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EA11D5" w:rsidRPr="00EA11D5" w:rsidRDefault="00EA11D5" w:rsidP="00A81D73">
            <w:pPr>
              <w:shd w:val="clear" w:color="auto" w:fill="FFFFFF"/>
              <w:spacing w:after="60"/>
              <w:ind w:left="1" w:right="43" w:hanging="3"/>
              <w:rPr>
                <w:b/>
                <w:sz w:val="26"/>
                <w:szCs w:val="26"/>
              </w:rPr>
            </w:pPr>
            <w:r w:rsidRPr="00EA11D5">
              <w:rPr>
                <w:b/>
                <w:sz w:val="26"/>
                <w:szCs w:val="26"/>
              </w:rPr>
              <w:t>6. Uy tín của nhà thầu thông qua việc tham dự thầu và thực hiện các hợp đồng tương tự trước đó</w:t>
            </w:r>
          </w:p>
        </w:tc>
      </w:tr>
      <w:tr w:rsidR="00EA11D5" w:rsidRPr="00EA11D5" w:rsidTr="00A81D73">
        <w:trPr>
          <w:trHeight w:val="471"/>
        </w:trPr>
        <w:tc>
          <w:tcPr>
            <w:tcW w:w="1982" w:type="pct"/>
            <w:vMerge w:val="restart"/>
            <w:tcBorders>
              <w:top w:val="single" w:sz="4" w:space="0" w:color="auto"/>
              <w:left w:val="single" w:sz="4" w:space="0" w:color="auto"/>
              <w:right w:val="single" w:sz="4" w:space="0" w:color="auto"/>
            </w:tcBorders>
            <w:shd w:val="clear" w:color="auto" w:fill="auto"/>
            <w:vAlign w:val="center"/>
          </w:tcPr>
          <w:p w:rsidR="00EA11D5" w:rsidRPr="00EA11D5" w:rsidRDefault="00EA11D5" w:rsidP="00A81D73">
            <w:pPr>
              <w:spacing w:after="60"/>
              <w:rPr>
                <w:sz w:val="26"/>
                <w:szCs w:val="26"/>
              </w:rPr>
            </w:pPr>
            <w:r w:rsidRPr="00EA11D5">
              <w:rPr>
                <w:sz w:val="26"/>
                <w:szCs w:val="26"/>
              </w:rPr>
              <w:lastRenderedPageBreak/>
              <w:t>6.1 Uy tín của nhà thầu thông qua việc tham dự thầu: Tiến hành thương thảo hợp đồng, hành hoàn thiện, ký kết hợp đồng tính từ ngày 01/01/2021 đến thời điểm có thời điểm đóng thầu.</w:t>
            </w:r>
          </w:p>
          <w:p w:rsidR="00EA11D5" w:rsidRPr="00EA11D5" w:rsidRDefault="00EA11D5" w:rsidP="00A81D73">
            <w:pPr>
              <w:shd w:val="clear" w:color="auto" w:fill="FFFFFF"/>
              <w:spacing w:after="60"/>
              <w:ind w:left="1" w:right="45" w:hanging="3"/>
              <w:rPr>
                <w:sz w:val="26"/>
                <w:szCs w:val="26"/>
              </w:rPr>
            </w:pPr>
            <w:r w:rsidRPr="00EA11D5">
              <w:rPr>
                <w:sz w:val="26"/>
                <w:szCs w:val="26"/>
              </w:rPr>
              <w:t>(Việc chấm thầu dựa theo thông tin nhà thầu kê khai, trong quá trình đánh giá E-HSDT, nếu Bên mời thầu có tài liệu chứng minh nhà thầu vi phạm về Uy tín thì sẽ xem xét, làm rõ và tiến hành đánh giá)</w:t>
            </w: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rPr>
                <w:sz w:val="26"/>
                <w:szCs w:val="26"/>
              </w:rPr>
            </w:pPr>
            <w:r w:rsidRPr="00EA11D5">
              <w:rPr>
                <w:sz w:val="26"/>
                <w:szCs w:val="26"/>
              </w:rPr>
              <w:t>- Tiến hành thương thảo hợp đồng, hoàn thiện ký kết hợp đồng khi có quyết định trúng thầu.</w:t>
            </w:r>
          </w:p>
          <w:p w:rsidR="00EA11D5" w:rsidRPr="00EA11D5" w:rsidRDefault="00EA11D5" w:rsidP="00A81D73">
            <w:pPr>
              <w:spacing w:after="60"/>
              <w:rPr>
                <w:sz w:val="26"/>
                <w:szCs w:val="26"/>
              </w:rPr>
            </w:pPr>
            <w:r w:rsidRPr="00EA11D5">
              <w:rPr>
                <w:sz w:val="26"/>
                <w:szCs w:val="26"/>
              </w:rPr>
              <w:t>- Nhà thầu luôn huy động được nhân sự, thiết bị khi trúng thầu và ký kết hợp đồng</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bCs/>
                <w:sz w:val="26"/>
                <w:szCs w:val="26"/>
              </w:rPr>
              <w:t>Đạt</w:t>
            </w:r>
          </w:p>
        </w:tc>
      </w:tr>
      <w:tr w:rsidR="00EA11D5" w:rsidRPr="00EA11D5" w:rsidTr="00A81D73">
        <w:tc>
          <w:tcPr>
            <w:tcW w:w="1982" w:type="pct"/>
            <w:vMerge/>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rPr>
                <w:b/>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pacing w:after="60"/>
              <w:rPr>
                <w:sz w:val="26"/>
                <w:szCs w:val="26"/>
              </w:rPr>
            </w:pPr>
            <w:r w:rsidRPr="00EA11D5">
              <w:rPr>
                <w:sz w:val="26"/>
                <w:szCs w:val="26"/>
              </w:rPr>
              <w:t xml:space="preserve">- Không tiến hành thương thảo hợp đồng hoặc </w:t>
            </w:r>
          </w:p>
          <w:p w:rsidR="00EA11D5" w:rsidRPr="00EA11D5" w:rsidRDefault="00EA11D5" w:rsidP="00A81D73">
            <w:pPr>
              <w:spacing w:after="60"/>
              <w:rPr>
                <w:sz w:val="26"/>
                <w:szCs w:val="26"/>
              </w:rPr>
            </w:pPr>
            <w:r w:rsidRPr="00EA11D5">
              <w:rPr>
                <w:sz w:val="26"/>
                <w:szCs w:val="26"/>
              </w:rPr>
              <w:t>- Có Quyết định trúng thầu nhưng không tiến hành hoàn thiện, ký kết hợp đồng.</w:t>
            </w:r>
          </w:p>
          <w:p w:rsidR="00EA11D5" w:rsidRPr="00EA11D5" w:rsidRDefault="00EA11D5" w:rsidP="00A81D73">
            <w:pPr>
              <w:shd w:val="clear" w:color="auto" w:fill="FFFFFF"/>
              <w:spacing w:after="60"/>
              <w:ind w:left="1" w:right="45" w:hanging="3"/>
              <w:rPr>
                <w:sz w:val="26"/>
                <w:szCs w:val="26"/>
              </w:rPr>
            </w:pPr>
            <w:r w:rsidRPr="00EA11D5">
              <w:rPr>
                <w:sz w:val="26"/>
                <w:szCs w:val="26"/>
              </w:rPr>
              <w:t xml:space="preserve">- Không huy động được nhân sự, thiết bị khi trúng thầu và ký kết hợp đồng </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bCs/>
                <w:sz w:val="26"/>
                <w:szCs w:val="26"/>
              </w:rPr>
              <w:t>Không đạt</w:t>
            </w:r>
          </w:p>
        </w:tc>
      </w:tr>
      <w:tr w:rsidR="00EA11D5" w:rsidRPr="00EA11D5" w:rsidTr="00A81D73">
        <w:trPr>
          <w:trHeight w:val="203"/>
        </w:trPr>
        <w:tc>
          <w:tcPr>
            <w:tcW w:w="1982" w:type="pct"/>
            <w:vMerge w:val="restart"/>
            <w:tcBorders>
              <w:left w:val="single" w:sz="4" w:space="0" w:color="auto"/>
              <w:right w:val="single" w:sz="4" w:space="0" w:color="auto"/>
            </w:tcBorders>
            <w:shd w:val="clear" w:color="auto" w:fill="auto"/>
            <w:vAlign w:val="center"/>
          </w:tcPr>
          <w:p w:rsidR="00EA11D5" w:rsidRPr="00EA11D5" w:rsidRDefault="00EA11D5" w:rsidP="00A81D73">
            <w:pPr>
              <w:spacing w:after="60"/>
              <w:rPr>
                <w:sz w:val="26"/>
                <w:szCs w:val="26"/>
              </w:rPr>
            </w:pPr>
            <w:r w:rsidRPr="00EA11D5">
              <w:rPr>
                <w:sz w:val="26"/>
                <w:szCs w:val="26"/>
              </w:rPr>
              <w:t>6.2 Uy tín của nhà thầu thông qua việc thực hiện các hợp đồng tương tự trong vòng 03 năm trở lại đây tính đến thời điểm đóng thầu</w:t>
            </w:r>
          </w:p>
          <w:p w:rsidR="00EA11D5" w:rsidRPr="00EA11D5" w:rsidRDefault="00EA11D5" w:rsidP="00A81D73">
            <w:pPr>
              <w:spacing w:after="60"/>
              <w:rPr>
                <w:b/>
                <w:bCs/>
                <w:sz w:val="26"/>
                <w:szCs w:val="26"/>
              </w:rPr>
            </w:pPr>
            <w:r w:rsidRPr="00EA11D5">
              <w:rPr>
                <w:sz w:val="26"/>
                <w:szCs w:val="26"/>
              </w:rPr>
              <w:t>(Việc chấm thầu dựa theo thông tin nhà thầu kê khai, trong quá trình đánh giá E-HSDT, nếu Bên mời thầu có tài liệu chứng minh nhà thầu vi phạm về Uy tín thì sẽ xem xét, làm rõ và tiến hành đánh giá)</w:t>
            </w:r>
          </w:p>
          <w:p w:rsidR="00EA11D5" w:rsidRPr="00EA11D5" w:rsidRDefault="00EA11D5" w:rsidP="00A81D73">
            <w:pPr>
              <w:rPr>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5" w:hanging="3"/>
              <w:rPr>
                <w:rStyle w:val="fontstyle01"/>
                <w:sz w:val="26"/>
                <w:szCs w:val="26"/>
              </w:rPr>
            </w:pPr>
            <w:r w:rsidRPr="00EA11D5">
              <w:rPr>
                <w:sz w:val="26"/>
                <w:szCs w:val="26"/>
              </w:rPr>
              <w:t>- Không có hợp đồng tương tự nào bỏ dở không hoàn thành do lỗi của nhà thầu.</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bCs/>
                <w:sz w:val="26"/>
                <w:szCs w:val="26"/>
              </w:rPr>
              <w:t>Đạt</w:t>
            </w:r>
          </w:p>
        </w:tc>
      </w:tr>
      <w:tr w:rsidR="00EA11D5" w:rsidRPr="00EA11D5" w:rsidTr="00A81D73">
        <w:trPr>
          <w:trHeight w:val="3420"/>
        </w:trPr>
        <w:tc>
          <w:tcPr>
            <w:tcW w:w="1982" w:type="pct"/>
            <w:vMerge/>
            <w:tcBorders>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rPr>
                <w:b/>
                <w:sz w:val="26"/>
                <w:szCs w:val="26"/>
              </w:rPr>
            </w:pPr>
          </w:p>
        </w:tc>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5" w:hanging="3"/>
              <w:rPr>
                <w:color w:val="000000"/>
                <w:sz w:val="26"/>
                <w:szCs w:val="26"/>
              </w:rPr>
            </w:pPr>
            <w:r w:rsidRPr="00EA11D5">
              <w:rPr>
                <w:sz w:val="26"/>
                <w:szCs w:val="26"/>
              </w:rPr>
              <w:t>- Có hợp đồng tương tự bỏ dỡ, không hoàn thành do lỗi của nhà thầu.</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A11D5" w:rsidRPr="00EA11D5" w:rsidRDefault="00EA11D5" w:rsidP="00A81D73">
            <w:pPr>
              <w:shd w:val="clear" w:color="auto" w:fill="FFFFFF"/>
              <w:spacing w:after="60"/>
              <w:ind w:left="1" w:right="43" w:hanging="3"/>
              <w:jc w:val="center"/>
              <w:rPr>
                <w:b/>
                <w:sz w:val="26"/>
                <w:szCs w:val="26"/>
              </w:rPr>
            </w:pPr>
            <w:r w:rsidRPr="00EA11D5">
              <w:rPr>
                <w:b/>
                <w:bCs/>
                <w:sz w:val="26"/>
                <w:szCs w:val="26"/>
              </w:rPr>
              <w:t>Không đạt</w:t>
            </w:r>
          </w:p>
        </w:tc>
      </w:tr>
      <w:tr w:rsidR="00EA11D5" w:rsidRPr="00EA11D5" w:rsidTr="00A81D73">
        <w:trPr>
          <w:trHeight w:val="74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EA11D5" w:rsidRPr="00EA11D5" w:rsidRDefault="00EA11D5" w:rsidP="00A81D73">
            <w:pPr>
              <w:shd w:val="clear" w:color="auto" w:fill="FFFFFF"/>
              <w:spacing w:after="60"/>
              <w:jc w:val="left"/>
              <w:rPr>
                <w:b/>
                <w:sz w:val="26"/>
                <w:szCs w:val="26"/>
              </w:rPr>
            </w:pPr>
            <w:r w:rsidRPr="00EA11D5">
              <w:rPr>
                <w:b/>
                <w:sz w:val="26"/>
                <w:szCs w:val="26"/>
              </w:rPr>
              <w:t xml:space="preserve"> Kết luận: </w:t>
            </w:r>
          </w:p>
          <w:p w:rsidR="00EA11D5" w:rsidRPr="00EA11D5" w:rsidRDefault="00EA11D5" w:rsidP="00A81D73">
            <w:pPr>
              <w:shd w:val="clear" w:color="auto" w:fill="FFFFFF"/>
              <w:spacing w:after="60"/>
              <w:jc w:val="left"/>
              <w:rPr>
                <w:sz w:val="26"/>
                <w:szCs w:val="26"/>
                <w:lang w:val="nl-NL"/>
              </w:rPr>
            </w:pPr>
            <w:r w:rsidRPr="00EA11D5">
              <w:rPr>
                <w:sz w:val="26"/>
                <w:szCs w:val="26"/>
              </w:rPr>
              <w:t xml:space="preserve"> - “Đ</w:t>
            </w:r>
            <w:r w:rsidRPr="00EA11D5">
              <w:rPr>
                <w:sz w:val="26"/>
                <w:szCs w:val="26"/>
                <w:lang w:val="nl-NL"/>
              </w:rPr>
              <w:t>ạt”khi các nội dung yêu cầu trên đánh giá là “đạt”.</w:t>
            </w:r>
          </w:p>
          <w:p w:rsidR="00EA11D5" w:rsidRPr="00EA11D5" w:rsidRDefault="00EA11D5" w:rsidP="00A81D73">
            <w:pPr>
              <w:shd w:val="clear" w:color="auto" w:fill="FFFFFF"/>
              <w:spacing w:after="60"/>
              <w:ind w:left="1" w:right="43" w:hanging="3"/>
              <w:jc w:val="left"/>
              <w:rPr>
                <w:b/>
                <w:sz w:val="26"/>
                <w:szCs w:val="26"/>
              </w:rPr>
            </w:pPr>
            <w:r w:rsidRPr="00EA11D5">
              <w:rPr>
                <w:sz w:val="26"/>
                <w:szCs w:val="26"/>
              </w:rPr>
              <w:t xml:space="preserve"> - </w:t>
            </w:r>
            <w:r w:rsidRPr="00EA11D5">
              <w:rPr>
                <w:sz w:val="26"/>
                <w:szCs w:val="26"/>
                <w:lang w:val="nl-NL"/>
              </w:rPr>
              <w:t>“Không đạt” khi một trong các nội dung yêu cầu trên đánh giá là “Không đạt”.</w:t>
            </w:r>
          </w:p>
        </w:tc>
      </w:tr>
    </w:tbl>
    <w:p w:rsidR="00475721" w:rsidRPr="00EA11D5" w:rsidRDefault="00475721"/>
    <w:sectPr w:rsidR="00475721" w:rsidRPr="00EA11D5"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D5"/>
    <w:rsid w:val="00475721"/>
    <w:rsid w:val="007A25AE"/>
    <w:rsid w:val="00EA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B0F7"/>
  <w15:chartTrackingRefBased/>
  <w15:docId w15:val="{4D5E6680-03CD-4356-9976-0DA80B5E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1D5"/>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A11D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EA11D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4346</Characters>
  <Application>Microsoft Office Word</Application>
  <DocSecurity>0</DocSecurity>
  <Lines>36</Lines>
  <Paragraphs>10</Paragraphs>
  <ScaleCrop>false</ScaleCrop>
  <Company>Microsoft</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2025-11-07T04:23:00Z</dcterms:created>
  <dcterms:modified xsi:type="dcterms:W3CDTF">2025-11-07T04:24:00Z</dcterms:modified>
</cp:coreProperties>
</file>