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E90C64">
      <w:pPr>
        <w:spacing w:beforeLines="22" w:before="52" w:afterLines="22" w:after="52"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E90C64">
      <w:pPr>
        <w:pStyle w:val="Style11"/>
        <w:tabs>
          <w:tab w:val="left" w:pos="0"/>
        </w:tabs>
        <w:spacing w:beforeLines="22" w:before="52" w:afterLines="22" w:after="52"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E90C64">
      <w:pPr>
        <w:widowControl w:val="0"/>
        <w:spacing w:beforeLines="22" w:before="52" w:afterLines="22" w:after="52"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E90C64">
      <w:pPr>
        <w:widowControl w:val="0"/>
        <w:spacing w:beforeLines="22" w:before="52" w:afterLines="22" w:after="52"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08C27520" w:rsidR="00635986" w:rsidRDefault="00635986" w:rsidP="00E90C64">
      <w:pPr>
        <w:spacing w:beforeLines="22" w:before="52" w:afterLines="22" w:after="52"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1D01FC" w:rsidRPr="001D01FC">
        <w:rPr>
          <w:color w:val="000000"/>
          <w:sz w:val="28"/>
          <w:szCs w:val="28"/>
          <w:lang w:val="es-PE"/>
        </w:rPr>
        <w:t>Cải tạo, sửa chữa trụ sở làm việc Đảng ủy phường Đông Hoa Lư và các hạng mục phụ trợ</w:t>
      </w:r>
      <w:r>
        <w:rPr>
          <w:color w:val="000000"/>
          <w:sz w:val="28"/>
          <w:szCs w:val="28"/>
          <w:lang w:val="es-PE"/>
        </w:rPr>
        <w:t>.</w:t>
      </w:r>
    </w:p>
    <w:p w14:paraId="69CB1A4C" w14:textId="623A75AE" w:rsidR="00635986" w:rsidRDefault="00635986" w:rsidP="00E90C64">
      <w:pPr>
        <w:spacing w:beforeLines="22" w:before="52" w:afterLines="22" w:after="52"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1D01FC">
        <w:rPr>
          <w:color w:val="000000"/>
          <w:sz w:val="28"/>
          <w:szCs w:val="28"/>
          <w:lang w:val="es-PE"/>
        </w:rPr>
        <w:t>Phường Đông Hoa Lư</w:t>
      </w:r>
      <w:r w:rsidR="00062DD1">
        <w:rPr>
          <w:color w:val="000000"/>
          <w:sz w:val="28"/>
          <w:szCs w:val="28"/>
          <w:lang w:val="es-PE"/>
        </w:rPr>
        <w:t>, tỉnh Ninh Bình</w:t>
      </w:r>
      <w:r>
        <w:rPr>
          <w:color w:val="000000"/>
          <w:sz w:val="28"/>
          <w:szCs w:val="28"/>
          <w:lang w:val="es-PE"/>
        </w:rPr>
        <w:t>.</w:t>
      </w:r>
    </w:p>
    <w:p w14:paraId="69CB1A4D" w14:textId="1170852A" w:rsidR="00635986" w:rsidRDefault="00635986" w:rsidP="00E90C64">
      <w:pPr>
        <w:spacing w:beforeLines="22" w:before="52" w:afterLines="22" w:after="52"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8E0896">
        <w:rPr>
          <w:color w:val="000000"/>
          <w:sz w:val="28"/>
          <w:szCs w:val="28"/>
          <w:lang w:val="es-PE"/>
        </w:rPr>
        <w:t xml:space="preserve">UBND </w:t>
      </w:r>
      <w:r w:rsidR="001D01FC">
        <w:rPr>
          <w:color w:val="000000"/>
          <w:sz w:val="28"/>
          <w:szCs w:val="28"/>
          <w:lang w:val="es-PE"/>
        </w:rPr>
        <w:t>phường Đông Hoa Lư</w:t>
      </w:r>
      <w:r>
        <w:rPr>
          <w:color w:val="000000"/>
          <w:sz w:val="28"/>
          <w:szCs w:val="28"/>
          <w:lang w:val="es-PE"/>
        </w:rPr>
        <w:t>.</w:t>
      </w:r>
    </w:p>
    <w:p w14:paraId="69CB1A4E" w14:textId="26EE2CE6" w:rsidR="00635986" w:rsidRDefault="00635986" w:rsidP="00E90C64">
      <w:pPr>
        <w:spacing w:beforeLines="22" w:before="52" w:afterLines="22" w:after="52"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1D01FC">
        <w:rPr>
          <w:color w:val="000000"/>
          <w:sz w:val="28"/>
          <w:szCs w:val="28"/>
          <w:lang w:val="es-PE"/>
        </w:rPr>
        <w:t>10</w:t>
      </w:r>
      <w:r w:rsidR="00E22C2F">
        <w:rPr>
          <w:color w:val="000000"/>
          <w:sz w:val="28"/>
          <w:szCs w:val="28"/>
          <w:lang w:val="es-PE"/>
        </w:rPr>
        <w:t>%</w:t>
      </w:r>
      <w:r w:rsidR="00B960E6">
        <w:rPr>
          <w:color w:val="000000"/>
          <w:sz w:val="28"/>
          <w:szCs w:val="28"/>
          <w:lang w:val="es-PE"/>
        </w:rPr>
        <w:t>.</w:t>
      </w:r>
    </w:p>
    <w:p w14:paraId="69CB1A4F" w14:textId="77777777" w:rsidR="00635986" w:rsidRDefault="00635986" w:rsidP="00E90C64">
      <w:pPr>
        <w:spacing w:beforeLines="22" w:before="52" w:afterLines="22" w:after="52" w:line="288" w:lineRule="auto"/>
        <w:ind w:firstLine="567"/>
        <w:rPr>
          <w:b/>
          <w:color w:val="000000"/>
          <w:sz w:val="28"/>
          <w:szCs w:val="28"/>
          <w:lang w:val="es-PE"/>
        </w:rPr>
      </w:pPr>
      <w:r>
        <w:rPr>
          <w:b/>
          <w:color w:val="000000"/>
          <w:sz w:val="28"/>
          <w:szCs w:val="28"/>
          <w:lang w:val="es-PE"/>
        </w:rPr>
        <w:t>1.5. Quy mô gói thầu:</w:t>
      </w:r>
    </w:p>
    <w:p w14:paraId="5C60B913" w14:textId="46A4DF13" w:rsidR="005B0FB7" w:rsidRPr="005B0FB7" w:rsidRDefault="00D20615" w:rsidP="005B0FB7">
      <w:pPr>
        <w:widowControl w:val="0"/>
        <w:spacing w:beforeLines="22" w:before="52" w:afterLines="22" w:after="52" w:line="288" w:lineRule="auto"/>
        <w:ind w:firstLine="567"/>
        <w:rPr>
          <w:color w:val="000000"/>
          <w:sz w:val="28"/>
          <w:szCs w:val="28"/>
          <w:lang w:val="pt-BR"/>
        </w:rPr>
      </w:pPr>
      <w:r>
        <w:rPr>
          <w:color w:val="000000"/>
          <w:sz w:val="28"/>
          <w:szCs w:val="28"/>
          <w:lang w:val="pt-BR"/>
        </w:rPr>
        <w:t>1.5.1</w:t>
      </w:r>
      <w:r w:rsidR="005B0FB7" w:rsidRPr="005B0FB7">
        <w:rPr>
          <w:color w:val="000000"/>
          <w:sz w:val="28"/>
          <w:szCs w:val="28"/>
          <w:lang w:val="pt-BR"/>
        </w:rPr>
        <w:t xml:space="preserve"> Cải tạo trụ sở làm việc 3 tầng</w:t>
      </w:r>
      <w:r>
        <w:rPr>
          <w:color w:val="000000"/>
          <w:sz w:val="28"/>
          <w:szCs w:val="28"/>
          <w:lang w:val="pt-BR"/>
        </w:rPr>
        <w:t>.</w:t>
      </w:r>
    </w:p>
    <w:p w14:paraId="05A8E8A5" w14:textId="3134837B"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a)</w:t>
      </w:r>
      <w:r w:rsidR="00D20615">
        <w:rPr>
          <w:color w:val="000000"/>
          <w:sz w:val="28"/>
          <w:szCs w:val="28"/>
          <w:lang w:val="pt-BR"/>
        </w:rPr>
        <w:t xml:space="preserve"> </w:t>
      </w:r>
      <w:r w:rsidRPr="005B0FB7">
        <w:rPr>
          <w:color w:val="000000"/>
          <w:sz w:val="28"/>
          <w:szCs w:val="28"/>
          <w:lang w:val="pt-BR"/>
        </w:rPr>
        <w:t>Cải tạo tầng 1</w:t>
      </w:r>
      <w:r w:rsidR="00D20615">
        <w:rPr>
          <w:color w:val="000000"/>
          <w:sz w:val="28"/>
          <w:szCs w:val="28"/>
          <w:lang w:val="pt-BR"/>
        </w:rPr>
        <w:t>.</w:t>
      </w:r>
    </w:p>
    <w:p w14:paraId="3BF1B425"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Tháo dỡ cửa gỗ hiện trạng trục 2, trục 9, trục B, Trục D;</w:t>
      </w:r>
    </w:p>
    <w:p w14:paraId="4298BDBE" w14:textId="53A17FBD"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 xml:space="preserve">Phá dờ tường ngăn trục </w:t>
      </w:r>
      <w:r w:rsidR="00D20615">
        <w:rPr>
          <w:color w:val="000000"/>
          <w:sz w:val="28"/>
          <w:szCs w:val="28"/>
          <w:lang w:val="pt-BR"/>
        </w:rPr>
        <w:t>C</w:t>
      </w:r>
      <w:r w:rsidRPr="005B0FB7">
        <w:rPr>
          <w:color w:val="000000"/>
          <w:sz w:val="28"/>
          <w:szCs w:val="28"/>
          <w:lang w:val="pt-BR"/>
        </w:rPr>
        <w:t xml:space="preserve"> (khoảng trục 1-2 và 9-10);</w:t>
      </w:r>
    </w:p>
    <w:p w14:paraId="78B3F4BE"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Xây bịt cửa đi D3 trục D và cải tạo cửa sổ S2;</w:t>
      </w:r>
    </w:p>
    <w:p w14:paraId="2AC10B3F"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Cải tạo cửa đi DS (Xây bịt tường cửa từ cửa mẹ bồng con sang cửa đi 2 cánh rộng 1,2m);</w:t>
      </w:r>
    </w:p>
    <w:p w14:paraId="4AD92ADB" w14:textId="35371769"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Thay mới cửa đi D</w:t>
      </w:r>
      <w:r w:rsidR="00D20615">
        <w:rPr>
          <w:color w:val="000000"/>
          <w:sz w:val="28"/>
          <w:szCs w:val="28"/>
          <w:lang w:val="pt-BR"/>
        </w:rPr>
        <w:t>1</w:t>
      </w:r>
      <w:r w:rsidRPr="005B0FB7">
        <w:rPr>
          <w:color w:val="000000"/>
          <w:sz w:val="28"/>
          <w:szCs w:val="28"/>
          <w:lang w:val="pt-BR"/>
        </w:rPr>
        <w:t>, D2, D3, cửa s</w:t>
      </w:r>
      <w:r w:rsidR="00D20615">
        <w:rPr>
          <w:color w:val="000000"/>
          <w:sz w:val="28"/>
          <w:szCs w:val="28"/>
          <w:lang w:val="pt-BR"/>
        </w:rPr>
        <w:t>ổ</w:t>
      </w:r>
      <w:r w:rsidRPr="005B0FB7">
        <w:rPr>
          <w:color w:val="000000"/>
          <w:sz w:val="28"/>
          <w:szCs w:val="28"/>
          <w:lang w:val="pt-BR"/>
        </w:rPr>
        <w:t xml:space="preserve"> S2 bằng cửa nhôm Xingfa và sen hoa inox cửa sổ;</w:t>
      </w:r>
    </w:p>
    <w:p w14:paraId="084DEB87" w14:textId="3E7118D3"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Làm ch</w:t>
      </w:r>
      <w:r w:rsidR="00D20615">
        <w:rPr>
          <w:color w:val="000000"/>
          <w:sz w:val="28"/>
          <w:szCs w:val="28"/>
          <w:lang w:val="pt-BR"/>
        </w:rPr>
        <w:t>ớ</w:t>
      </w:r>
      <w:r w:rsidRPr="005B0FB7">
        <w:rPr>
          <w:color w:val="000000"/>
          <w:sz w:val="28"/>
          <w:szCs w:val="28"/>
          <w:lang w:val="pt-BR"/>
        </w:rPr>
        <w:t>p nhôm vị trí trục E từ trục 2-3;</w:t>
      </w:r>
    </w:p>
    <w:p w14:paraId="305156F6"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Cải tạo vách hiện trạng và làm mới tại trục 4 (khoảng trục B-D);</w:t>
      </w:r>
    </w:p>
    <w:p w14:paraId="3B81E8B2"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Vệ sinh tường ngoài nhà và sơn lại 3 nước.</w:t>
      </w:r>
    </w:p>
    <w:p w14:paraId="01C8B987" w14:textId="7FFA5632"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b)</w:t>
      </w:r>
      <w:r w:rsidR="00D20615">
        <w:rPr>
          <w:color w:val="000000"/>
          <w:sz w:val="28"/>
          <w:szCs w:val="28"/>
          <w:lang w:val="pt-BR"/>
        </w:rPr>
        <w:t xml:space="preserve"> </w:t>
      </w:r>
      <w:r w:rsidRPr="005B0FB7">
        <w:rPr>
          <w:color w:val="000000"/>
          <w:sz w:val="28"/>
          <w:szCs w:val="28"/>
          <w:lang w:val="pt-BR"/>
        </w:rPr>
        <w:t>Cải tạo tầng 2</w:t>
      </w:r>
    </w:p>
    <w:p w14:paraId="0C8220C0"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Tháo dỡ cửa gỗ hiện trạng trục 2, trục 9, trục B, Trục D;</w:t>
      </w:r>
    </w:p>
    <w:p w14:paraId="772F1BC6"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Xây bịt cửa đi D3, DS trục D và cải tạo cửa sổ S2;</w:t>
      </w:r>
    </w:p>
    <w:p w14:paraId="65496A56"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Cải tạo cửa đi DS (Xây bịt tường cửa từ cửa mẹ bồng con sang cửa đi 2 cánh rộng 1,2m);</w:t>
      </w:r>
    </w:p>
    <w:p w14:paraId="4C815A0E" w14:textId="1CD0EBAD"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Thay mới cửa đi D2, D3, D3A, cửa s</w:t>
      </w:r>
      <w:r w:rsidR="00D20615">
        <w:rPr>
          <w:color w:val="000000"/>
          <w:sz w:val="28"/>
          <w:szCs w:val="28"/>
          <w:lang w:val="pt-BR"/>
        </w:rPr>
        <w:t>ổ</w:t>
      </w:r>
      <w:r w:rsidRPr="005B0FB7">
        <w:rPr>
          <w:color w:val="000000"/>
          <w:sz w:val="28"/>
          <w:szCs w:val="28"/>
          <w:lang w:val="pt-BR"/>
        </w:rPr>
        <w:t xml:space="preserve"> S2 bằng cửa nhôm Xingfa và sen hoa inox cửa số;</w:t>
      </w:r>
    </w:p>
    <w:p w14:paraId="1968ABBF"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Thay mới cửa đi D2A bằng cửa gỗ, làm mới cửa sổ S3 và sen hoa sắt cửa sổ;</w:t>
      </w:r>
    </w:p>
    <w:p w14:paraId="5F917E00" w14:textId="15EE0B64"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Làm vách kính chân lan can phía sau nhà trục E</w:t>
      </w:r>
      <w:r w:rsidR="00D20615">
        <w:rPr>
          <w:color w:val="000000"/>
          <w:sz w:val="28"/>
          <w:szCs w:val="28"/>
          <w:lang w:val="pt-BR"/>
        </w:rPr>
        <w:t xml:space="preserve"> </w:t>
      </w:r>
      <w:r w:rsidRPr="005B0FB7">
        <w:rPr>
          <w:color w:val="000000"/>
          <w:sz w:val="28"/>
          <w:szCs w:val="28"/>
          <w:lang w:val="pt-BR"/>
        </w:rPr>
        <w:t>và E’;</w:t>
      </w:r>
    </w:p>
    <w:p w14:paraId="6B9BA801"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Đục và lát lại nền hành lang phía trước nhà từ trục 3 đến trục 8 (khoảng trục A”-B);</w:t>
      </w:r>
    </w:p>
    <w:p w14:paraId="4D891EAE" w14:textId="61B04038"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lastRenderedPageBreak/>
        <w:t>-</w:t>
      </w:r>
      <w:r w:rsidRPr="005B0FB7">
        <w:rPr>
          <w:color w:val="000000"/>
          <w:sz w:val="28"/>
          <w:szCs w:val="28"/>
          <w:lang w:val="pt-BR"/>
        </w:rPr>
        <w:tab/>
        <w:t>Di chuy</w:t>
      </w:r>
      <w:r w:rsidR="00D20615">
        <w:rPr>
          <w:color w:val="000000"/>
          <w:sz w:val="28"/>
          <w:szCs w:val="28"/>
          <w:lang w:val="pt-BR"/>
        </w:rPr>
        <w:t>ể</w:t>
      </w:r>
      <w:r w:rsidRPr="005B0FB7">
        <w:rPr>
          <w:color w:val="000000"/>
          <w:sz w:val="28"/>
          <w:szCs w:val="28"/>
          <w:lang w:val="pt-BR"/>
        </w:rPr>
        <w:t>n 04 điều hoà từ trục D đến trục E’;</w:t>
      </w:r>
    </w:p>
    <w:p w14:paraId="206ADDD8"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Làm trần nhựa dọc hành lang phía sau nhà từ trục 3 đến trục 8 (khoảng trục D-E’);</w:t>
      </w:r>
    </w:p>
    <w:p w14:paraId="3ECD58C6"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Vệ sinh tường ngoài nhà và sơn lại 3 nước;</w:t>
      </w:r>
    </w:p>
    <w:p w14:paraId="66D36B56"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Cải tạo phòng làm việc 01 từ trục 9-10 (khoảng trục A-D);</w:t>
      </w:r>
    </w:p>
    <w:p w14:paraId="57C9A00D"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Cải tạo phòng làm việc 02 từ trục 1 -2 (khoảng trục B-D);</w:t>
      </w:r>
    </w:p>
    <w:p w14:paraId="6D0DFC72"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Cải tạo phòng họp nhỏ từ trục 5-6 (khoảng trục B-D);</w:t>
      </w:r>
    </w:p>
    <w:p w14:paraId="4C9A8691" w14:textId="2B6DE513"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c)</w:t>
      </w:r>
      <w:r w:rsidR="00D20615">
        <w:rPr>
          <w:color w:val="000000"/>
          <w:sz w:val="28"/>
          <w:szCs w:val="28"/>
          <w:lang w:val="pt-BR"/>
        </w:rPr>
        <w:t xml:space="preserve"> </w:t>
      </w:r>
      <w:r w:rsidRPr="005B0FB7">
        <w:rPr>
          <w:color w:val="000000"/>
          <w:sz w:val="28"/>
          <w:szCs w:val="28"/>
          <w:lang w:val="pt-BR"/>
        </w:rPr>
        <w:t>Cải tạo tầng 3</w:t>
      </w:r>
    </w:p>
    <w:p w14:paraId="5F294AE8"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Tháo dỡ cửa gỗ hiện trạng trục 2, trục 9, trục B, Trục D;</w:t>
      </w:r>
    </w:p>
    <w:p w14:paraId="4E2B8524" w14:textId="5A2FC6DE"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 xml:space="preserve">Cải tạo cửa đi DS (Xây bịt tường cửa từ cửa mẹ bồng con sang cửa đi 2 cánh rộng </w:t>
      </w:r>
      <w:r w:rsidR="00D20615">
        <w:rPr>
          <w:color w:val="000000"/>
          <w:sz w:val="28"/>
          <w:szCs w:val="28"/>
          <w:lang w:val="pt-BR"/>
        </w:rPr>
        <w:t>1</w:t>
      </w:r>
      <w:r w:rsidRPr="005B0FB7">
        <w:rPr>
          <w:color w:val="000000"/>
          <w:sz w:val="28"/>
          <w:szCs w:val="28"/>
          <w:lang w:val="pt-BR"/>
        </w:rPr>
        <w:t>,2m);</w:t>
      </w:r>
    </w:p>
    <w:p w14:paraId="769F8E44" w14:textId="3FAD656F"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Thay mới cửa đi D2, D3, cửa s</w:t>
      </w:r>
      <w:r w:rsidR="00D20615">
        <w:rPr>
          <w:color w:val="000000"/>
          <w:sz w:val="28"/>
          <w:szCs w:val="28"/>
          <w:lang w:val="pt-BR"/>
        </w:rPr>
        <w:t>ổ</w:t>
      </w:r>
      <w:r w:rsidRPr="005B0FB7">
        <w:rPr>
          <w:color w:val="000000"/>
          <w:sz w:val="28"/>
          <w:szCs w:val="28"/>
          <w:lang w:val="pt-BR"/>
        </w:rPr>
        <w:t xml:space="preserve"> S</w:t>
      </w:r>
      <w:r w:rsidR="00D20615">
        <w:rPr>
          <w:color w:val="000000"/>
          <w:sz w:val="28"/>
          <w:szCs w:val="28"/>
          <w:lang w:val="pt-BR"/>
        </w:rPr>
        <w:t>1</w:t>
      </w:r>
      <w:r w:rsidRPr="005B0FB7">
        <w:rPr>
          <w:color w:val="000000"/>
          <w:sz w:val="28"/>
          <w:szCs w:val="28"/>
          <w:lang w:val="pt-BR"/>
        </w:rPr>
        <w:t>, S2 bằng cửa nhôm Xingfa và sen hoa inox cửa sổ;</w:t>
      </w:r>
    </w:p>
    <w:p w14:paraId="6221BEE3"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Làm Vách kính chân lan can phía sau nhà trục E’, E;</w:t>
      </w:r>
    </w:p>
    <w:p w14:paraId="43A4F1CB"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Đục và lát lại nền hành lang phía trước nhà từ trục 3 đến trục 8 (khoảng trục A”-B);</w:t>
      </w:r>
    </w:p>
    <w:p w14:paraId="29DCBEBB"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Di chuyển 04 điều hoà từ trục D đến trục E’;</w:t>
      </w:r>
    </w:p>
    <w:p w14:paraId="148DD870"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Làm trần nhựa dọc hành lang sau từ trục 3 đến trục 8 (khoảng trục D-E’);</w:t>
      </w:r>
    </w:p>
    <w:p w14:paraId="20B505A0"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Cải tạo phòng họp lớn từ trục 3-8 (khoảng trục B-D);</w:t>
      </w:r>
    </w:p>
    <w:p w14:paraId="5BA582CC" w14:textId="5E38D400"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 xml:space="preserve">Chống thấm sê nô mái, thay mái tôn bị thủng </w:t>
      </w:r>
      <w:r w:rsidR="00D20615">
        <w:rPr>
          <w:color w:val="000000"/>
          <w:sz w:val="28"/>
          <w:szCs w:val="28"/>
          <w:lang w:val="pt-BR"/>
        </w:rPr>
        <w:t>d</w:t>
      </w:r>
      <w:r w:rsidRPr="005B0FB7">
        <w:rPr>
          <w:color w:val="000000"/>
          <w:sz w:val="28"/>
          <w:szCs w:val="28"/>
          <w:lang w:val="pt-BR"/>
        </w:rPr>
        <w:t>ột;</w:t>
      </w:r>
    </w:p>
    <w:p w14:paraId="7797A45F" w14:textId="6BDD0C37" w:rsidR="005B0FB7" w:rsidRPr="005B0FB7" w:rsidRDefault="00D20615" w:rsidP="005B0FB7">
      <w:pPr>
        <w:widowControl w:val="0"/>
        <w:spacing w:beforeLines="22" w:before="52" w:afterLines="22" w:after="52" w:line="288" w:lineRule="auto"/>
        <w:ind w:firstLine="567"/>
        <w:rPr>
          <w:color w:val="000000"/>
          <w:sz w:val="28"/>
          <w:szCs w:val="28"/>
          <w:lang w:val="pt-BR"/>
        </w:rPr>
      </w:pPr>
      <w:r>
        <w:rPr>
          <w:color w:val="000000"/>
          <w:sz w:val="28"/>
          <w:szCs w:val="28"/>
          <w:lang w:val="pt-BR"/>
        </w:rPr>
        <w:t xml:space="preserve">1.5.2. </w:t>
      </w:r>
      <w:r w:rsidR="005B0FB7" w:rsidRPr="005B0FB7">
        <w:rPr>
          <w:color w:val="000000"/>
          <w:sz w:val="28"/>
          <w:szCs w:val="28"/>
          <w:lang w:val="pt-BR"/>
        </w:rPr>
        <w:t>Xây dựng Kho lưu trữ</w:t>
      </w:r>
    </w:p>
    <w:p w14:paraId="0F89CFAB"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Mặt bằng và phương án kiến trúc:</w:t>
      </w:r>
    </w:p>
    <w:p w14:paraId="34F0900A" w14:textId="6E41BC10"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 xml:space="preserve">Xây dựng Kho lưu trữ 01 tầng với kích thước là (14,62 </w:t>
      </w:r>
      <w:r w:rsidR="00D20615">
        <w:rPr>
          <w:color w:val="000000"/>
          <w:sz w:val="28"/>
          <w:szCs w:val="28"/>
          <w:lang w:val="pt-BR"/>
        </w:rPr>
        <w:t>x</w:t>
      </w:r>
      <w:r w:rsidRPr="005B0FB7">
        <w:rPr>
          <w:color w:val="000000"/>
          <w:sz w:val="28"/>
          <w:szCs w:val="28"/>
          <w:lang w:val="pt-BR"/>
        </w:rPr>
        <w:t xml:space="preserve"> 6,72)m, diện tích xây dựng là 95,25m2; tường nhà xây gạch VXM mác 75, trát vữa tường, dầm VXM mác 75 dày. Toàn bộ tường, dầm trong và ngoài nhà được lăn sơn 1 nước lót 2 nước phủ. Nền sàn nhà lát gạch liên doanh kích thước (600x600)mm. Mặt bậc tam cấp lát đá Granite. Cửa đi, cửa sổ, sử dụng cửa nhôm xingfa có xen hoa inox bảo vệ .</w:t>
      </w:r>
    </w:p>
    <w:p w14:paraId="0BD29CF6"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Phần kết cấu:</w:t>
      </w:r>
    </w:p>
    <w:p w14:paraId="29DC4E3A" w14:textId="6AD8B409"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 Móng xây gạch VXM mác 75, giằng móng bê tông cốt thép đá 1x2 VXM mác 250, bê tông lót đáy móng đá 4x6 mác 100. Đắp cát tôn nền, đổ bê tông nền đá 2x4 mác 150 dày 10cm;</w:t>
      </w:r>
    </w:p>
    <w:p w14:paraId="03B1DE24"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 Phần thân: Kết cấu cột bê tông cốt thép tiết diện (220x220)mm, bê tông đá 1x2 mác 250. Mái lợp tôn liên doanh trên hệ vì kèo, xà gồ thép.</w:t>
      </w:r>
    </w:p>
    <w:p w14:paraId="59A3C11A"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lastRenderedPageBreak/>
        <w:t>-</w:t>
      </w:r>
      <w:r w:rsidRPr="005B0FB7">
        <w:rPr>
          <w:color w:val="000000"/>
          <w:sz w:val="28"/>
          <w:szCs w:val="28"/>
          <w:lang w:val="pt-BR"/>
        </w:rPr>
        <w:tab/>
        <w:t>Thiết kế hệ thống điện, cấp thoát nước đồng bộ theo công trình.</w:t>
      </w:r>
    </w:p>
    <w:p w14:paraId="7A33DADC" w14:textId="6A514BFC" w:rsidR="005B0FB7" w:rsidRPr="005B0FB7" w:rsidRDefault="00D20615" w:rsidP="005B0FB7">
      <w:pPr>
        <w:widowControl w:val="0"/>
        <w:spacing w:beforeLines="22" w:before="52" w:afterLines="22" w:after="52" w:line="288" w:lineRule="auto"/>
        <w:ind w:firstLine="567"/>
        <w:rPr>
          <w:color w:val="000000"/>
          <w:sz w:val="28"/>
          <w:szCs w:val="28"/>
          <w:lang w:val="pt-BR"/>
        </w:rPr>
      </w:pPr>
      <w:r>
        <w:rPr>
          <w:color w:val="000000"/>
          <w:sz w:val="28"/>
          <w:szCs w:val="28"/>
          <w:lang w:val="pt-BR"/>
        </w:rPr>
        <w:t>1.5</w:t>
      </w:r>
      <w:r w:rsidR="005B0FB7" w:rsidRPr="005B0FB7">
        <w:rPr>
          <w:color w:val="000000"/>
          <w:sz w:val="28"/>
          <w:szCs w:val="28"/>
          <w:lang w:val="pt-BR"/>
        </w:rPr>
        <w:t>.3.</w:t>
      </w:r>
      <w:r>
        <w:rPr>
          <w:color w:val="000000"/>
          <w:sz w:val="28"/>
          <w:szCs w:val="28"/>
          <w:lang w:val="pt-BR"/>
        </w:rPr>
        <w:t xml:space="preserve"> </w:t>
      </w:r>
      <w:r w:rsidR="005B0FB7" w:rsidRPr="005B0FB7">
        <w:rPr>
          <w:color w:val="000000"/>
          <w:sz w:val="28"/>
          <w:szCs w:val="28"/>
          <w:lang w:val="pt-BR"/>
        </w:rPr>
        <w:t>Cải tạo Nhà 1 cửa</w:t>
      </w:r>
    </w:p>
    <w:p w14:paraId="326010A6"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Xây bịt cửa D2, trục 2 và trục 6;</w:t>
      </w:r>
    </w:p>
    <w:p w14:paraId="2A6B8B58"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Thay cửa kính thuỷ lực trục 3-4, trục 4-5, bằng cửa nhôm Xingfa kích thước 1200x2700;</w:t>
      </w:r>
    </w:p>
    <w:p w14:paraId="7ACD7D0A"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Làm vách nhựa ngăn phòng trục 3, 4, 5 kích thước (4780x3200)mm;</w:t>
      </w:r>
    </w:p>
    <w:p w14:paraId="3842F32D"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Lắp mới 02 điều hoà cho phòng làm việc;</w:t>
      </w:r>
    </w:p>
    <w:p w14:paraId="7B77D9A4" w14:textId="4725968C"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Di chuyển 03 điều hoà từ trục cột về giữa phòng làm việc</w:t>
      </w:r>
      <w:r w:rsidR="00D20615">
        <w:rPr>
          <w:color w:val="000000"/>
          <w:sz w:val="28"/>
          <w:szCs w:val="28"/>
          <w:lang w:val="pt-BR"/>
        </w:rPr>
        <w:t>.</w:t>
      </w:r>
    </w:p>
    <w:p w14:paraId="3FE54FAE" w14:textId="29629CC9" w:rsidR="005B0FB7" w:rsidRPr="005B0FB7" w:rsidRDefault="00D20615" w:rsidP="005B0FB7">
      <w:pPr>
        <w:widowControl w:val="0"/>
        <w:spacing w:beforeLines="22" w:before="52" w:afterLines="22" w:after="52" w:line="288" w:lineRule="auto"/>
        <w:ind w:firstLine="567"/>
        <w:rPr>
          <w:color w:val="000000"/>
          <w:sz w:val="28"/>
          <w:szCs w:val="28"/>
          <w:lang w:val="pt-BR"/>
        </w:rPr>
      </w:pPr>
      <w:r>
        <w:rPr>
          <w:color w:val="000000"/>
          <w:sz w:val="28"/>
          <w:szCs w:val="28"/>
          <w:lang w:val="pt-BR"/>
        </w:rPr>
        <w:t>1.5</w:t>
      </w:r>
      <w:r w:rsidR="005B0FB7" w:rsidRPr="005B0FB7">
        <w:rPr>
          <w:color w:val="000000"/>
          <w:sz w:val="28"/>
          <w:szCs w:val="28"/>
          <w:lang w:val="pt-BR"/>
        </w:rPr>
        <w:t>.4.</w:t>
      </w:r>
      <w:r>
        <w:rPr>
          <w:color w:val="000000"/>
          <w:sz w:val="28"/>
          <w:szCs w:val="28"/>
          <w:lang w:val="pt-BR"/>
        </w:rPr>
        <w:t xml:space="preserve"> N</w:t>
      </w:r>
      <w:r w:rsidR="005B0FB7" w:rsidRPr="005B0FB7">
        <w:rPr>
          <w:color w:val="000000"/>
          <w:sz w:val="28"/>
          <w:szCs w:val="28"/>
          <w:lang w:val="pt-BR"/>
        </w:rPr>
        <w:t>hà vệ sinh cải tạo</w:t>
      </w:r>
    </w:p>
    <w:p w14:paraId="5B2E9DA7"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Phòng vệ sinh hiện trạng tháo dỡ toàn bộ gạch lát nền, gạch ốp tường, tường ngăn vệ sinh;</w:t>
      </w:r>
    </w:p>
    <w:p w14:paraId="2662E889" w14:textId="112D7ED9"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 xml:space="preserve">Ngăn lại phòng vệ sinh nam, nữ riêng biệt bằng gạch VXM M75, </w:t>
      </w:r>
      <w:r w:rsidR="00D20615">
        <w:rPr>
          <w:color w:val="000000"/>
          <w:sz w:val="28"/>
          <w:szCs w:val="28"/>
          <w:lang w:val="pt-BR"/>
        </w:rPr>
        <w:t>ố</w:t>
      </w:r>
      <w:r w:rsidRPr="005B0FB7">
        <w:rPr>
          <w:color w:val="000000"/>
          <w:sz w:val="28"/>
          <w:szCs w:val="28"/>
          <w:lang w:val="pt-BR"/>
        </w:rPr>
        <w:t>p mới tường phòng vệ sinh cao 2,4m. N</w:t>
      </w:r>
      <w:r w:rsidR="00D20615">
        <w:rPr>
          <w:color w:val="000000"/>
          <w:sz w:val="28"/>
          <w:szCs w:val="28"/>
          <w:lang w:val="pt-BR"/>
        </w:rPr>
        <w:t>ề</w:t>
      </w:r>
      <w:r w:rsidRPr="005B0FB7">
        <w:rPr>
          <w:color w:val="000000"/>
          <w:sz w:val="28"/>
          <w:szCs w:val="28"/>
          <w:lang w:val="pt-BR"/>
        </w:rPr>
        <w:t>n lát gạch chống trơn kích thước (300x300)mm;</w:t>
      </w:r>
    </w:p>
    <w:p w14:paraId="3B7F9395"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Làm mới hệ thống cấp thoát nước, thay mới thiết bị vệ sinh;</w:t>
      </w:r>
    </w:p>
    <w:p w14:paraId="284D7D5E" w14:textId="77777777" w:rsidR="005B0FB7" w:rsidRP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Làm mới hệ thống cấp điện phòng vệ sinh;</w:t>
      </w:r>
    </w:p>
    <w:p w14:paraId="3FCF4881" w14:textId="13A1966A" w:rsidR="005B0FB7" w:rsidRPr="005B0FB7" w:rsidRDefault="00D20615" w:rsidP="005B0FB7">
      <w:pPr>
        <w:widowControl w:val="0"/>
        <w:spacing w:beforeLines="22" w:before="52" w:afterLines="22" w:after="52" w:line="288" w:lineRule="auto"/>
        <w:ind w:firstLine="567"/>
        <w:rPr>
          <w:color w:val="000000"/>
          <w:sz w:val="28"/>
          <w:szCs w:val="28"/>
          <w:lang w:val="pt-BR"/>
        </w:rPr>
      </w:pPr>
      <w:r>
        <w:rPr>
          <w:color w:val="000000"/>
          <w:sz w:val="28"/>
          <w:szCs w:val="28"/>
          <w:lang w:val="pt-BR"/>
        </w:rPr>
        <w:t>1.5</w:t>
      </w:r>
      <w:r w:rsidR="005B0FB7" w:rsidRPr="005B0FB7">
        <w:rPr>
          <w:color w:val="000000"/>
          <w:sz w:val="28"/>
          <w:szCs w:val="28"/>
          <w:lang w:val="pt-BR"/>
        </w:rPr>
        <w:t>.5.</w:t>
      </w:r>
      <w:r>
        <w:rPr>
          <w:color w:val="000000"/>
          <w:sz w:val="28"/>
          <w:szCs w:val="28"/>
          <w:lang w:val="pt-BR"/>
        </w:rPr>
        <w:t xml:space="preserve"> </w:t>
      </w:r>
      <w:r w:rsidR="005B0FB7" w:rsidRPr="005B0FB7">
        <w:rPr>
          <w:color w:val="000000"/>
          <w:sz w:val="28"/>
          <w:szCs w:val="28"/>
          <w:lang w:val="pt-BR"/>
        </w:rPr>
        <w:t>Cấp nước Nhà văn hóa</w:t>
      </w:r>
    </w:p>
    <w:p w14:paraId="71B1B3EE" w14:textId="586C2CDB" w:rsidR="005B0FB7" w:rsidRDefault="005B0FB7" w:rsidP="005B0FB7">
      <w:pPr>
        <w:widowControl w:val="0"/>
        <w:spacing w:beforeLines="22" w:before="52" w:afterLines="22" w:after="52" w:line="288" w:lineRule="auto"/>
        <w:ind w:firstLine="567"/>
        <w:rPr>
          <w:color w:val="000000"/>
          <w:sz w:val="28"/>
          <w:szCs w:val="28"/>
          <w:lang w:val="pt-BR"/>
        </w:rPr>
      </w:pPr>
      <w:r w:rsidRPr="005B0FB7">
        <w:rPr>
          <w:color w:val="000000"/>
          <w:sz w:val="28"/>
          <w:szCs w:val="28"/>
          <w:lang w:val="pt-BR"/>
        </w:rPr>
        <w:t>-</w:t>
      </w:r>
      <w:r w:rsidRPr="005B0FB7">
        <w:rPr>
          <w:color w:val="000000"/>
          <w:sz w:val="28"/>
          <w:szCs w:val="28"/>
          <w:lang w:val="pt-BR"/>
        </w:rPr>
        <w:tab/>
        <w:t>Xây dựng hệ thống đường ống cấp thoát nước và chậu rửa.</w:t>
      </w:r>
    </w:p>
    <w:p w14:paraId="69CB1A5D" w14:textId="70FF06D7" w:rsidR="00635986" w:rsidRDefault="00635986" w:rsidP="005B0FB7">
      <w:pPr>
        <w:widowControl w:val="0"/>
        <w:spacing w:beforeLines="22" w:before="52" w:afterLines="22" w:after="52"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5B0FB7">
        <w:rPr>
          <w:color w:val="000000"/>
          <w:sz w:val="28"/>
          <w:szCs w:val="28"/>
          <w:lang w:val="es-PE"/>
        </w:rPr>
        <w:t>6</w:t>
      </w:r>
      <w:r w:rsidR="001C0242">
        <w:rPr>
          <w:color w:val="000000"/>
          <w:sz w:val="28"/>
          <w:szCs w:val="28"/>
          <w:lang w:val="es-PE"/>
        </w:rPr>
        <w:t>0 ngày</w:t>
      </w:r>
      <w:r>
        <w:rPr>
          <w:color w:val="000000"/>
          <w:sz w:val="28"/>
          <w:szCs w:val="28"/>
          <w:lang w:val="es-PE"/>
        </w:rPr>
        <w:t>.</w:t>
      </w:r>
    </w:p>
    <w:p w14:paraId="69CB1A5E" w14:textId="77777777" w:rsidR="00635986" w:rsidRDefault="00635986" w:rsidP="00E90C64">
      <w:pPr>
        <w:widowControl w:val="0"/>
        <w:spacing w:beforeLines="22" w:before="52" w:afterLines="22" w:after="52" w:line="288" w:lineRule="auto"/>
        <w:ind w:firstLine="567"/>
        <w:rPr>
          <w:b/>
          <w:color w:val="000000"/>
          <w:sz w:val="28"/>
          <w:szCs w:val="28"/>
          <w:lang w:val="vi-VN"/>
        </w:rPr>
      </w:pPr>
      <w:r>
        <w:rPr>
          <w:b/>
          <w:color w:val="000000"/>
          <w:sz w:val="28"/>
          <w:szCs w:val="28"/>
          <w:lang w:val="vi-VN"/>
        </w:rPr>
        <w:t>II. Yêu cầu tiến độ thực hiện</w:t>
      </w:r>
    </w:p>
    <w:p w14:paraId="69CB1A5F" w14:textId="0E91FEDE"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Thời hạn hoàn thành công trình: trong vòng </w:t>
      </w:r>
      <w:r w:rsidR="005B0FB7">
        <w:rPr>
          <w:color w:val="000000"/>
          <w:sz w:val="28"/>
          <w:szCs w:val="28"/>
        </w:rPr>
        <w:t>6</w:t>
      </w:r>
      <w:r w:rsidR="001C0242">
        <w:rPr>
          <w:color w:val="000000"/>
          <w:sz w:val="28"/>
          <w:szCs w:val="28"/>
        </w:rPr>
        <w:t>0 ngày</w:t>
      </w:r>
      <w:r>
        <w:rPr>
          <w:color w:val="000000"/>
          <w:sz w:val="28"/>
          <w:szCs w:val="28"/>
          <w:lang w:val="vi-VN"/>
        </w:rPr>
        <w:t xml:space="preserve"> kể từ ngày hợp đồng có hiệu lực.</w:t>
      </w:r>
    </w:p>
    <w:p w14:paraId="69CB1A60" w14:textId="77777777" w:rsidR="00635986" w:rsidRDefault="00635986" w:rsidP="00E90C64">
      <w:pPr>
        <w:widowControl w:val="0"/>
        <w:spacing w:beforeLines="22" w:before="52" w:afterLines="22" w:after="52"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Default="002757FE" w:rsidP="00E90C64">
      <w:pPr>
        <w:widowControl w:val="0"/>
        <w:spacing w:beforeLines="22" w:before="52" w:afterLines="22" w:after="52" w:line="288" w:lineRule="auto"/>
        <w:ind w:firstLine="567"/>
        <w:rPr>
          <w:bCs/>
          <w:color w:val="000000"/>
          <w:sz w:val="28"/>
          <w:szCs w:val="28"/>
        </w:rPr>
      </w:pPr>
      <w:r>
        <w:rPr>
          <w:bCs/>
          <w:color w:val="000000"/>
          <w:sz w:val="28"/>
          <w:szCs w:val="28"/>
        </w:rPr>
        <w:t>- Các Quy chuẩn, tiêu chuẩn kỹ thuật hiện hành có liên quan.</w:t>
      </w:r>
    </w:p>
    <w:p w14:paraId="69CB1A6B" w14:textId="77777777" w:rsidR="00635986" w:rsidRDefault="00635986" w:rsidP="00E90C64">
      <w:pPr>
        <w:widowControl w:val="0"/>
        <w:spacing w:beforeLines="22" w:before="52" w:afterLines="22" w:after="52"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E90C64">
      <w:pPr>
        <w:widowControl w:val="0"/>
        <w:spacing w:beforeLines="22" w:before="52" w:afterLines="22" w:after="52"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E90C64">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E90C64">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E90C64">
      <w:pPr>
        <w:widowControl w:val="0"/>
        <w:spacing w:beforeLines="22" w:before="52" w:afterLines="22" w:after="52"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Biện pháp kỹ thuật thi công của Nhà thầu phải tuân thủ theo đúng các tiêu </w:t>
      </w:r>
      <w:r>
        <w:rPr>
          <w:color w:val="000000"/>
          <w:sz w:val="28"/>
          <w:szCs w:val="28"/>
          <w:lang w:val="vi-VN"/>
        </w:rPr>
        <w:lastRenderedPageBreak/>
        <w:t>chuẩn chuyên ngành và phương pháp thiết kế trong hồ sơ thiết kế được duyệt. Nội dung của công tác tổ chức kỹ thuật thi công bao gồm:</w:t>
      </w:r>
    </w:p>
    <w:p w14:paraId="69CB1A71"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Các phương pháp kiểm tra, kiểm soát.</w:t>
      </w:r>
    </w:p>
    <w:p w14:paraId="69CB1A84"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E90C64">
      <w:pPr>
        <w:widowControl w:val="0"/>
        <w:spacing w:beforeLines="22" w:before="52" w:afterLines="22" w:after="52"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E90C64">
      <w:pPr>
        <w:widowControl w:val="0"/>
        <w:spacing w:beforeLines="22" w:before="52" w:afterLines="22" w:after="52"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Các thiết bị thi công phải được Tư vấn giám sát kiểm tra và chấp nhận </w:t>
      </w:r>
      <w:r>
        <w:rPr>
          <w:color w:val="000000"/>
          <w:sz w:val="28"/>
          <w:szCs w:val="28"/>
          <w:lang w:val="vi-VN"/>
        </w:rPr>
        <w:lastRenderedPageBreak/>
        <w:t>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E90C64">
      <w:pPr>
        <w:widowControl w:val="0"/>
        <w:spacing w:beforeLines="22" w:before="52" w:afterLines="22" w:after="52"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E90C64">
      <w:pPr>
        <w:widowControl w:val="0"/>
        <w:spacing w:beforeLines="22" w:before="52" w:afterLines="22" w:after="52"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E90C64">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E90C64">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E90C64">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E90C64">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E90C64">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E90C64">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E90C64">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E90C64">
      <w:pPr>
        <w:widowControl w:val="0"/>
        <w:spacing w:beforeLines="22" w:before="52" w:afterLines="22" w:after="52"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E90C64">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E90C64">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E90C64">
      <w:pPr>
        <w:widowControl w:val="0"/>
        <w:spacing w:beforeLines="22" w:before="52" w:afterLines="22" w:after="52"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E90C64">
      <w:pPr>
        <w:widowControl w:val="0"/>
        <w:spacing w:beforeLines="22" w:before="52" w:afterLines="22" w:after="52"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 xml:space="preserve">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w:t>
      </w:r>
      <w:r>
        <w:rPr>
          <w:color w:val="000000"/>
          <w:sz w:val="28"/>
          <w:szCs w:val="28"/>
          <w:lang w:val="vi-VN"/>
        </w:rPr>
        <w:lastRenderedPageBreak/>
        <w:t>việc để xảy ra tai nạn.</w:t>
      </w:r>
    </w:p>
    <w:p w14:paraId="69CB1AA0" w14:textId="77777777" w:rsidR="00635986" w:rsidRDefault="00635986" w:rsidP="00E90C64">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E90C64">
      <w:pPr>
        <w:widowControl w:val="0"/>
        <w:spacing w:beforeLines="22" w:before="52" w:afterLines="22" w:after="52"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E90C64">
      <w:pPr>
        <w:widowControl w:val="0"/>
        <w:spacing w:beforeLines="22" w:before="52" w:afterLines="22" w:after="52"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lastRenderedPageBreak/>
        <w:t>- Độ rung, chấn động gây ra do các thiết bị thi công.</w:t>
      </w:r>
    </w:p>
    <w:p w14:paraId="69CB1AAE" w14:textId="1477B076"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8E0896">
        <w:rPr>
          <w:color w:val="000000"/>
          <w:sz w:val="28"/>
          <w:szCs w:val="28"/>
        </w:rPr>
        <w:t xml:space="preserve"> (nếu có)</w:t>
      </w:r>
      <w:r>
        <w:rPr>
          <w:color w:val="000000"/>
          <w:sz w:val="28"/>
          <w:szCs w:val="28"/>
          <w:lang w:val="vi-VN"/>
        </w:rPr>
        <w:t>.</w:t>
      </w:r>
    </w:p>
    <w:p w14:paraId="69CB1AAF"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Pr>
          <w:color w:val="000000"/>
          <w:sz w:val="28"/>
          <w:szCs w:val="28"/>
        </w:rPr>
        <w:t xml:space="preserve"> (nếu có)</w:t>
      </w:r>
      <w:r>
        <w:rPr>
          <w:color w:val="000000"/>
          <w:sz w:val="28"/>
          <w:szCs w:val="28"/>
          <w:lang w:val="vi-VN"/>
        </w:rPr>
        <w:t>.</w:t>
      </w:r>
    </w:p>
    <w:p w14:paraId="69CB1AB7"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E90C64">
      <w:pPr>
        <w:widowControl w:val="0"/>
        <w:spacing w:beforeLines="22" w:before="52" w:afterLines="22" w:after="52"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 xml:space="preserve">Cán bộ, công nhân làm việc trong công trường phải thực hiện đầy đủ các quy định về an toàn lao động, có đầy đủ các thiết bị bảo hộ lao động như găng </w:t>
      </w:r>
      <w:r>
        <w:rPr>
          <w:color w:val="000000"/>
          <w:sz w:val="28"/>
          <w:szCs w:val="28"/>
          <w:lang w:val="vi-VN"/>
        </w:rPr>
        <w:lastRenderedPageBreak/>
        <w:t>tay, quần áo, ủng, mũ bảo hộ và các thiết bị cần thiết khác.</w:t>
      </w:r>
    </w:p>
    <w:p w14:paraId="69CB1AC2"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E90C64">
      <w:pPr>
        <w:widowControl w:val="0"/>
        <w:spacing w:beforeLines="22" w:before="52" w:afterLines="22" w:after="52"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3A15B13D"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Nhà thầu trình Chủ đầu tư phê duyệt danh sách thiết bị thi công được huy động cho gói thầu gồm các nội dung:</w:t>
      </w:r>
    </w:p>
    <w:p w14:paraId="69CB1AD0"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6C1D082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r w:rsidR="008E0896">
        <w:rPr>
          <w:color w:val="000000"/>
          <w:sz w:val="28"/>
          <w:szCs w:val="28"/>
        </w:rPr>
        <w:t xml:space="preserve"> (nếu có)</w:t>
      </w:r>
      <w:r>
        <w:rPr>
          <w:color w:val="000000"/>
          <w:sz w:val="28"/>
          <w:szCs w:val="28"/>
          <w:lang w:val="vi-VN"/>
        </w:rPr>
        <w:t>.</w:t>
      </w:r>
    </w:p>
    <w:p w14:paraId="69CB1AD3"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65085E6F"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E90C64">
      <w:pPr>
        <w:widowControl w:val="0"/>
        <w:spacing w:beforeLines="22" w:before="52" w:afterLines="22" w:after="52"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E90C64">
      <w:pPr>
        <w:widowControl w:val="0"/>
        <w:spacing w:beforeLines="22" w:before="52" w:afterLines="22" w:after="52"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E90C64">
      <w:pPr>
        <w:widowControl w:val="0"/>
        <w:spacing w:beforeLines="22" w:before="52" w:afterLines="22" w:after="52"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lastRenderedPageBreak/>
        <w:t>a. Nhật ký thi công và thông báo thi công:</w:t>
      </w:r>
    </w:p>
    <w:p w14:paraId="69CB1AF2"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w:t>
      </w:r>
      <w:r>
        <w:rPr>
          <w:color w:val="000000"/>
          <w:sz w:val="28"/>
          <w:szCs w:val="28"/>
          <w:lang w:val="vi-VN"/>
        </w:rPr>
        <w:lastRenderedPageBreak/>
        <w:t>Nhà thầu trong suốt quá trình lập hồ sơ hoàn công.</w:t>
      </w:r>
    </w:p>
    <w:p w14:paraId="69CB1AFB"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FCD8E1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8E0896">
        <w:rPr>
          <w:color w:val="000000"/>
          <w:sz w:val="28"/>
          <w:szCs w:val="28"/>
          <w:lang w:val="vi-VN"/>
        </w:rPr>
        <w:t>Chủ đầu tư</w:t>
      </w:r>
      <w:r>
        <w:rPr>
          <w:color w:val="000000"/>
          <w:sz w:val="28"/>
          <w:szCs w:val="28"/>
          <w:lang w:val="vi-VN"/>
        </w:rPr>
        <w:t xml:space="preserve">, </w:t>
      </w:r>
      <w:r w:rsidR="008E0896">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E90C64">
      <w:pPr>
        <w:widowControl w:val="0"/>
        <w:spacing w:beforeLines="22" w:before="52" w:afterLines="22" w:after="52"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E90C64">
      <w:pPr>
        <w:widowControl w:val="0"/>
        <w:spacing w:beforeLines="22" w:before="52" w:afterLines="22" w:after="52"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E90C64">
      <w:pPr>
        <w:widowControl w:val="0"/>
        <w:spacing w:beforeLines="22" w:before="52" w:afterLines="22" w:after="52"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E90C64">
      <w:pPr>
        <w:widowControl w:val="0"/>
        <w:spacing w:beforeLines="22" w:before="52" w:afterLines="22" w:after="52"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E90C64">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E90C64">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E90C64">
            <w:pPr>
              <w:widowControl w:val="0"/>
              <w:autoSpaceDE w:val="0"/>
              <w:autoSpaceDN w:val="0"/>
              <w:adjustRightInd w:val="0"/>
              <w:spacing w:beforeLines="22" w:before="52" w:afterLines="22" w:after="52"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E90C64">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Phiên bản/ngày phát hành</w:t>
            </w:r>
          </w:p>
        </w:tc>
      </w:tr>
      <w:tr w:rsidR="008E0896"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E90C64">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E90C64">
            <w:pPr>
              <w:widowControl w:val="0"/>
              <w:autoSpaceDE w:val="0"/>
              <w:autoSpaceDN w:val="0"/>
              <w:adjustRightInd w:val="0"/>
              <w:spacing w:beforeLines="22" w:before="52" w:afterLines="22" w:after="52"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24AE8DFA" w:rsidR="006A5593" w:rsidRDefault="008E0896" w:rsidP="00E90C64">
            <w:pPr>
              <w:widowControl w:val="0"/>
              <w:autoSpaceDE w:val="0"/>
              <w:autoSpaceDN w:val="0"/>
              <w:adjustRightInd w:val="0"/>
              <w:spacing w:beforeLines="22" w:before="52" w:afterLines="22" w:after="52" w:line="288" w:lineRule="auto"/>
              <w:ind w:left="71" w:right="164"/>
              <w:rPr>
                <w:bCs/>
                <w:color w:val="000000"/>
                <w:sz w:val="26"/>
                <w:szCs w:val="26"/>
              </w:rPr>
            </w:pPr>
            <w:r>
              <w:rPr>
                <w:color w:val="000000"/>
                <w:sz w:val="26"/>
                <w:szCs w:val="26"/>
              </w:rPr>
              <w:t xml:space="preserve">Hồ sơ </w:t>
            </w:r>
            <w:r w:rsidR="004A565E">
              <w:rPr>
                <w:color w:val="000000"/>
                <w:sz w:val="26"/>
                <w:szCs w:val="26"/>
              </w:rPr>
              <w:t>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E90C64">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2025</w:t>
            </w:r>
          </w:p>
        </w:tc>
      </w:tr>
    </w:tbl>
    <w:p w14:paraId="69CB1B06" w14:textId="4CFCB2FE" w:rsidR="00635986" w:rsidRDefault="00635986" w:rsidP="00E90C64">
      <w:pPr>
        <w:widowControl w:val="0"/>
        <w:spacing w:beforeLines="22" w:before="52" w:afterLines="22" w:after="52"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3E81" w14:textId="77777777" w:rsidR="00466CCD" w:rsidRDefault="00466CCD" w:rsidP="00E05AF1">
      <w:r>
        <w:separator/>
      </w:r>
    </w:p>
  </w:endnote>
  <w:endnote w:type="continuationSeparator" w:id="0">
    <w:p w14:paraId="231AE790" w14:textId="77777777" w:rsidR="00466CCD" w:rsidRDefault="00466CC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0C8A" w14:textId="77777777" w:rsidR="00466CCD" w:rsidRDefault="00466CCD" w:rsidP="00E05AF1">
      <w:r>
        <w:separator/>
      </w:r>
    </w:p>
  </w:footnote>
  <w:footnote w:type="continuationSeparator" w:id="0">
    <w:p w14:paraId="60971479" w14:textId="77777777" w:rsidR="00466CCD" w:rsidRDefault="00466CC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1704"/>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870F5"/>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36D"/>
    <w:rsid w:val="00191698"/>
    <w:rsid w:val="0019272A"/>
    <w:rsid w:val="00192B61"/>
    <w:rsid w:val="00193255"/>
    <w:rsid w:val="001969D8"/>
    <w:rsid w:val="00196FAA"/>
    <w:rsid w:val="0019791D"/>
    <w:rsid w:val="00197C27"/>
    <w:rsid w:val="001A0EA1"/>
    <w:rsid w:val="001A23B4"/>
    <w:rsid w:val="001A58BF"/>
    <w:rsid w:val="001A5FCD"/>
    <w:rsid w:val="001B2A68"/>
    <w:rsid w:val="001B2F1B"/>
    <w:rsid w:val="001B3E10"/>
    <w:rsid w:val="001B6D9D"/>
    <w:rsid w:val="001B7B9E"/>
    <w:rsid w:val="001C0242"/>
    <w:rsid w:val="001C1972"/>
    <w:rsid w:val="001C346D"/>
    <w:rsid w:val="001C452E"/>
    <w:rsid w:val="001C4A35"/>
    <w:rsid w:val="001D01FC"/>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D6C4A"/>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38E8"/>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CCD"/>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565E"/>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2B60"/>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6290"/>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0FB7"/>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3DD2"/>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02DD"/>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0274"/>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6B4F"/>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6AE8"/>
    <w:rsid w:val="008B7851"/>
    <w:rsid w:val="008C2FC2"/>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0FF5"/>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2F6E"/>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0615"/>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7C3"/>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489E"/>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2892"/>
    <w:rsid w:val="00E85E47"/>
    <w:rsid w:val="00E87468"/>
    <w:rsid w:val="00E87E7C"/>
    <w:rsid w:val="00E90764"/>
    <w:rsid w:val="00E90775"/>
    <w:rsid w:val="00E90B0D"/>
    <w:rsid w:val="00E90C64"/>
    <w:rsid w:val="00E91388"/>
    <w:rsid w:val="00E917DA"/>
    <w:rsid w:val="00E92249"/>
    <w:rsid w:val="00E92F04"/>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45F45"/>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26D1"/>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 w:type="paragraph" w:customStyle="1" w:styleId="msonormal0">
    <w:name w:val="msonormal"/>
    <w:basedOn w:val="Normal"/>
    <w:rsid w:val="00F45F45"/>
    <w:pPr>
      <w:spacing w:before="100" w:beforeAutospacing="1" w:after="100" w:afterAutospacing="1"/>
      <w:jc w:val="left"/>
    </w:pPr>
    <w:rPr>
      <w:rFonts w:eastAsia="Times New Roman"/>
      <w:szCs w:val="24"/>
    </w:rPr>
  </w:style>
  <w:style w:type="paragraph" w:customStyle="1" w:styleId="font5">
    <w:name w:val="font5"/>
    <w:basedOn w:val="Normal"/>
    <w:rsid w:val="00F45F45"/>
    <w:pPr>
      <w:spacing w:before="100" w:beforeAutospacing="1" w:after="100" w:afterAutospacing="1"/>
      <w:jc w:val="left"/>
    </w:pPr>
    <w:rPr>
      <w:rFonts w:ascii="Arial" w:eastAsia="Times New Roman" w:hAnsi="Arial" w:cs="Arial"/>
      <w:color w:val="FF0000"/>
      <w:sz w:val="18"/>
      <w:szCs w:val="18"/>
    </w:rPr>
  </w:style>
  <w:style w:type="paragraph" w:customStyle="1" w:styleId="font6">
    <w:name w:val="font6"/>
    <w:basedOn w:val="Normal"/>
    <w:rsid w:val="00F45F45"/>
    <w:pPr>
      <w:spacing w:before="100" w:beforeAutospacing="1" w:after="100" w:afterAutospacing="1"/>
      <w:jc w:val="left"/>
    </w:pPr>
    <w:rPr>
      <w:rFonts w:ascii="Tahoma" w:eastAsia="Times New Roman" w:hAnsi="Tahoma" w:cs="Tahoma"/>
      <w:b/>
      <w:bCs/>
      <w:color w:val="000000"/>
      <w:sz w:val="18"/>
      <w:szCs w:val="18"/>
    </w:rPr>
  </w:style>
  <w:style w:type="paragraph" w:customStyle="1" w:styleId="xl65">
    <w:name w:val="xl65"/>
    <w:basedOn w:val="Normal"/>
    <w:rsid w:val="00F45F45"/>
    <w:pP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66">
    <w:name w:val="xl66"/>
    <w:basedOn w:val="Normal"/>
    <w:rsid w:val="00F45F45"/>
    <w:pPr>
      <w:spacing w:before="100" w:beforeAutospacing="1" w:after="100" w:afterAutospacing="1"/>
      <w:jc w:val="left"/>
      <w:textAlignment w:val="center"/>
    </w:pPr>
    <w:rPr>
      <w:rFonts w:ascii="Arial" w:eastAsia="Times New Roman" w:hAnsi="Arial" w:cs="Arial"/>
      <w:color w:val="093D93"/>
      <w:szCs w:val="24"/>
    </w:rPr>
  </w:style>
  <w:style w:type="paragraph" w:customStyle="1" w:styleId="xl67">
    <w:name w:val="xl67"/>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FF0000"/>
      <w:sz w:val="18"/>
      <w:szCs w:val="18"/>
    </w:rPr>
  </w:style>
  <w:style w:type="paragraph" w:customStyle="1" w:styleId="xl68">
    <w:name w:val="xl68"/>
    <w:basedOn w:val="Normal"/>
    <w:rsid w:val="00F45F45"/>
    <w:pPr>
      <w:pBdr>
        <w:top w:val="single" w:sz="4" w:space="0" w:color="000000"/>
        <w:left w:val="single" w:sz="4" w:space="0" w:color="000000"/>
        <w:right w:val="single" w:sz="4" w:space="0" w:color="000000"/>
      </w:pBdr>
      <w:shd w:val="clear" w:color="CFE2F3" w:fill="FFFFFF"/>
      <w:spacing w:before="100" w:beforeAutospacing="1" w:after="100" w:afterAutospacing="1"/>
      <w:jc w:val="center"/>
      <w:textAlignment w:val="center"/>
    </w:pPr>
    <w:rPr>
      <w:rFonts w:ascii="Arial" w:eastAsia="Times New Roman" w:hAnsi="Arial" w:cs="Arial"/>
      <w:b/>
      <w:bCs/>
      <w:color w:val="093D93"/>
      <w:szCs w:val="24"/>
    </w:rPr>
  </w:style>
  <w:style w:type="paragraph" w:customStyle="1" w:styleId="xl69">
    <w:name w:val="xl69"/>
    <w:basedOn w:val="Normal"/>
    <w:rsid w:val="00F45F45"/>
    <w:pPr>
      <w:pBdr>
        <w:top w:val="single" w:sz="4" w:space="0" w:color="000000"/>
        <w:left w:val="single" w:sz="4" w:space="0" w:color="000000"/>
      </w:pBdr>
      <w:shd w:val="clear" w:color="CFE2F3" w:fill="FFFFFF"/>
      <w:spacing w:before="100" w:beforeAutospacing="1" w:after="100" w:afterAutospacing="1"/>
      <w:jc w:val="center"/>
      <w:textAlignment w:val="center"/>
    </w:pPr>
    <w:rPr>
      <w:rFonts w:ascii="Arial" w:eastAsia="Times New Roman" w:hAnsi="Arial" w:cs="Arial"/>
      <w:b/>
      <w:bCs/>
      <w:color w:val="093D93"/>
      <w:szCs w:val="24"/>
    </w:rPr>
  </w:style>
  <w:style w:type="paragraph" w:customStyle="1" w:styleId="xl70">
    <w:name w:val="xl70"/>
    <w:basedOn w:val="Normal"/>
    <w:rsid w:val="00F45F45"/>
    <w:pPr>
      <w:pBdr>
        <w:top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71">
    <w:name w:val="xl71"/>
    <w:basedOn w:val="Normal"/>
    <w:rsid w:val="00F45F45"/>
    <w:pPr>
      <w:pBdr>
        <w:top w:val="single" w:sz="4" w:space="0" w:color="000000"/>
        <w:left w:val="single" w:sz="4" w:space="0" w:color="000000"/>
        <w:bottom w:val="single" w:sz="4" w:space="0" w:color="000000"/>
      </w:pBdr>
      <w:shd w:val="clear" w:color="CFE2F3" w:fill="FFFFFF"/>
      <w:spacing w:before="100" w:beforeAutospacing="1" w:after="100" w:afterAutospacing="1"/>
      <w:jc w:val="center"/>
      <w:textAlignment w:val="center"/>
    </w:pPr>
    <w:rPr>
      <w:rFonts w:ascii="Arial" w:eastAsia="Times New Roman" w:hAnsi="Arial" w:cs="Arial"/>
      <w:b/>
      <w:bCs/>
      <w:color w:val="093D93"/>
      <w:szCs w:val="24"/>
    </w:rPr>
  </w:style>
  <w:style w:type="paragraph" w:customStyle="1" w:styleId="xl72">
    <w:name w:val="xl72"/>
    <w:basedOn w:val="Normal"/>
    <w:rsid w:val="00F45F45"/>
    <w:pPr>
      <w:pBdr>
        <w:top w:val="single" w:sz="4" w:space="0" w:color="000000"/>
        <w:bottom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73">
    <w:name w:val="xl73"/>
    <w:basedOn w:val="Normal"/>
    <w:rsid w:val="00F45F45"/>
    <w:pPr>
      <w:pBdr>
        <w:top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74">
    <w:name w:val="xl74"/>
    <w:basedOn w:val="Normal"/>
    <w:rsid w:val="00F45F45"/>
    <w:pPr>
      <w:pBdr>
        <w:top w:val="single" w:sz="4" w:space="0" w:color="000000"/>
        <w:left w:val="single" w:sz="4" w:space="0" w:color="000000"/>
        <w:right w:val="single" w:sz="4" w:space="0" w:color="000000"/>
      </w:pBdr>
      <w:shd w:val="clear" w:color="CFE2F3" w:fill="FFFFFF"/>
      <w:spacing w:before="100" w:beforeAutospacing="1" w:after="100" w:afterAutospacing="1"/>
      <w:jc w:val="center"/>
      <w:textAlignment w:val="center"/>
    </w:pPr>
    <w:rPr>
      <w:rFonts w:ascii="Arial" w:eastAsia="Times New Roman" w:hAnsi="Arial" w:cs="Arial"/>
      <w:b/>
      <w:bCs/>
      <w:color w:val="093D93"/>
      <w:szCs w:val="24"/>
    </w:rPr>
  </w:style>
  <w:style w:type="paragraph" w:customStyle="1" w:styleId="xl75">
    <w:name w:val="xl75"/>
    <w:basedOn w:val="Normal"/>
    <w:rsid w:val="00F45F45"/>
    <w:pPr>
      <w:pBdr>
        <w:left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76">
    <w:name w:val="xl76"/>
    <w:basedOn w:val="Normal"/>
    <w:rsid w:val="00F45F45"/>
    <w:pPr>
      <w:pBdr>
        <w:lef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77">
    <w:name w:val="xl77"/>
    <w:basedOn w:val="Normal"/>
    <w:rsid w:val="00F45F45"/>
    <w:pPr>
      <w:pBdr>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78">
    <w:name w:val="xl78"/>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79">
    <w:name w:val="xl79"/>
    <w:basedOn w:val="Normal"/>
    <w:rsid w:val="00F45F45"/>
    <w:pPr>
      <w:pBdr>
        <w:left w:val="single" w:sz="4" w:space="0" w:color="000000"/>
        <w:bottom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80">
    <w:name w:val="xl80"/>
    <w:basedOn w:val="Normal"/>
    <w:rsid w:val="00F45F45"/>
    <w:pPr>
      <w:pBdr>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81">
    <w:name w:val="xl81"/>
    <w:basedOn w:val="Normal"/>
    <w:rsid w:val="00F45F45"/>
    <w:pPr>
      <w:pBdr>
        <w:top w:val="single" w:sz="4" w:space="0" w:color="000000"/>
        <w:left w:val="single" w:sz="4" w:space="0" w:color="000000"/>
        <w:bottom w:val="single" w:sz="4" w:space="0" w:color="000000"/>
        <w:right w:val="single" w:sz="4" w:space="0" w:color="000000"/>
      </w:pBdr>
      <w:shd w:val="clear" w:color="CFE2F3" w:fill="FFFFFF"/>
      <w:spacing w:before="100" w:beforeAutospacing="1" w:after="100" w:afterAutospacing="1"/>
      <w:jc w:val="center"/>
      <w:textAlignment w:val="center"/>
    </w:pPr>
    <w:rPr>
      <w:rFonts w:ascii="Arial" w:eastAsia="Times New Roman" w:hAnsi="Arial" w:cs="Arial"/>
      <w:b/>
      <w:bCs/>
      <w:i/>
      <w:iCs/>
      <w:color w:val="093D93"/>
      <w:szCs w:val="24"/>
    </w:rPr>
  </w:style>
  <w:style w:type="paragraph" w:customStyle="1" w:styleId="xl82">
    <w:name w:val="xl82"/>
    <w:basedOn w:val="Normal"/>
    <w:rsid w:val="00F45F45"/>
    <w:pPr>
      <w:pBdr>
        <w:top w:val="single" w:sz="4" w:space="0" w:color="000000"/>
        <w:left w:val="single" w:sz="4" w:space="0" w:color="000000"/>
        <w:bottom w:val="single" w:sz="4" w:space="0" w:color="000000"/>
        <w:right w:val="single" w:sz="4" w:space="0" w:color="000000"/>
      </w:pBdr>
      <w:shd w:val="clear" w:color="CFE2F3" w:fill="FFFFFF"/>
      <w:spacing w:before="100" w:beforeAutospacing="1" w:after="100" w:afterAutospacing="1"/>
      <w:jc w:val="center"/>
      <w:textAlignment w:val="center"/>
    </w:pPr>
    <w:rPr>
      <w:rFonts w:ascii="Arial" w:eastAsia="Times New Roman" w:hAnsi="Arial" w:cs="Arial"/>
      <w:b/>
      <w:bCs/>
      <w:color w:val="093D93"/>
      <w:szCs w:val="24"/>
    </w:rPr>
  </w:style>
  <w:style w:type="paragraph" w:customStyle="1" w:styleId="xl83">
    <w:name w:val="xl83"/>
    <w:basedOn w:val="Normal"/>
    <w:rsid w:val="00F45F45"/>
    <w:pPr>
      <w:pBdr>
        <w:top w:val="single" w:sz="4" w:space="0" w:color="000000"/>
        <w:left w:val="single" w:sz="4" w:space="0" w:color="000000"/>
        <w:bottom w:val="single" w:sz="4" w:space="0" w:color="000000"/>
      </w:pBdr>
      <w:shd w:val="clear" w:color="CFE2F3" w:fill="FFFFFF"/>
      <w:spacing w:before="100" w:beforeAutospacing="1" w:after="100" w:afterAutospacing="1"/>
      <w:jc w:val="center"/>
      <w:textAlignment w:val="center"/>
    </w:pPr>
    <w:rPr>
      <w:rFonts w:ascii="Arial" w:eastAsia="Times New Roman" w:hAnsi="Arial" w:cs="Arial"/>
      <w:b/>
      <w:bCs/>
      <w:color w:val="093D93"/>
      <w:szCs w:val="24"/>
    </w:rPr>
  </w:style>
  <w:style w:type="paragraph" w:customStyle="1" w:styleId="xl84">
    <w:name w:val="xl84"/>
    <w:basedOn w:val="Normal"/>
    <w:rsid w:val="00F45F45"/>
    <w:pPr>
      <w:pBdr>
        <w:top w:val="single" w:sz="4" w:space="0" w:color="000000"/>
        <w:left w:val="single" w:sz="4" w:space="0" w:color="000000"/>
        <w:bottom w:val="single" w:sz="4" w:space="0" w:color="000000"/>
      </w:pBdr>
      <w:shd w:val="clear" w:color="CFE2F3" w:fill="FFFFFF"/>
      <w:spacing w:before="100" w:beforeAutospacing="1" w:after="100" w:afterAutospacing="1"/>
      <w:jc w:val="center"/>
      <w:textAlignment w:val="center"/>
    </w:pPr>
    <w:rPr>
      <w:rFonts w:ascii="Arial" w:eastAsia="Times New Roman" w:hAnsi="Arial" w:cs="Arial"/>
      <w:b/>
      <w:bCs/>
      <w:i/>
      <w:iCs/>
      <w:color w:val="093D93"/>
      <w:sz w:val="18"/>
      <w:szCs w:val="18"/>
    </w:rPr>
  </w:style>
  <w:style w:type="paragraph" w:customStyle="1" w:styleId="xl85">
    <w:name w:val="xl85"/>
    <w:basedOn w:val="Normal"/>
    <w:rsid w:val="00F45F45"/>
    <w:pPr>
      <w:pBdr>
        <w:top w:val="single" w:sz="4" w:space="0" w:color="000000"/>
        <w:left w:val="single" w:sz="4" w:space="0" w:color="000000"/>
        <w:bottom w:val="single" w:sz="4" w:space="0" w:color="000000"/>
        <w:right w:val="single" w:sz="4" w:space="0" w:color="000000"/>
      </w:pBdr>
      <w:shd w:val="clear" w:color="CFE2F3" w:fill="FFFFFF"/>
      <w:spacing w:before="100" w:beforeAutospacing="1" w:after="100" w:afterAutospacing="1"/>
      <w:jc w:val="center"/>
      <w:textAlignment w:val="center"/>
    </w:pPr>
    <w:rPr>
      <w:rFonts w:ascii="Arial" w:eastAsia="Times New Roman" w:hAnsi="Arial" w:cs="Arial"/>
      <w:b/>
      <w:bCs/>
      <w:color w:val="093D93"/>
      <w:szCs w:val="24"/>
    </w:rPr>
  </w:style>
  <w:style w:type="paragraph" w:customStyle="1" w:styleId="xl86">
    <w:name w:val="xl86"/>
    <w:basedOn w:val="Normal"/>
    <w:rsid w:val="00F45F45"/>
    <w:pPr>
      <w:pBdr>
        <w:top w:val="single" w:sz="4" w:space="0" w:color="000000"/>
        <w:left w:val="single" w:sz="4" w:space="0" w:color="000000"/>
        <w:bottom w:val="single" w:sz="4" w:space="0" w:color="000000"/>
        <w:right w:val="single" w:sz="4" w:space="0" w:color="000000"/>
      </w:pBdr>
      <w:shd w:val="clear" w:color="CFE2F3" w:fill="FFFFFF"/>
      <w:spacing w:before="100" w:beforeAutospacing="1" w:after="100" w:afterAutospacing="1"/>
      <w:jc w:val="center"/>
      <w:textAlignment w:val="center"/>
    </w:pPr>
    <w:rPr>
      <w:rFonts w:ascii="Arial" w:eastAsia="Times New Roman" w:hAnsi="Arial" w:cs="Arial"/>
      <w:b/>
      <w:bCs/>
      <w:color w:val="093D93"/>
      <w:szCs w:val="24"/>
    </w:rPr>
  </w:style>
  <w:style w:type="paragraph" w:customStyle="1" w:styleId="xl87">
    <w:name w:val="xl87"/>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93D93"/>
      <w:sz w:val="18"/>
      <w:szCs w:val="18"/>
    </w:rPr>
  </w:style>
  <w:style w:type="paragraph" w:customStyle="1" w:styleId="xl88">
    <w:name w:val="xl88"/>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93D93"/>
      <w:sz w:val="18"/>
      <w:szCs w:val="18"/>
    </w:rPr>
  </w:style>
  <w:style w:type="paragraph" w:customStyle="1" w:styleId="xl89">
    <w:name w:val="xl89"/>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 w:val="18"/>
      <w:szCs w:val="18"/>
    </w:rPr>
  </w:style>
  <w:style w:type="paragraph" w:customStyle="1" w:styleId="xl90">
    <w:name w:val="xl90"/>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 w:val="18"/>
      <w:szCs w:val="18"/>
    </w:rPr>
  </w:style>
  <w:style w:type="paragraph" w:customStyle="1" w:styleId="xl91">
    <w:name w:val="xl91"/>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93D93"/>
      <w:sz w:val="18"/>
      <w:szCs w:val="18"/>
    </w:rPr>
  </w:style>
  <w:style w:type="paragraph" w:customStyle="1" w:styleId="xl92">
    <w:name w:val="xl92"/>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 w:val="18"/>
      <w:szCs w:val="18"/>
    </w:rPr>
  </w:style>
  <w:style w:type="paragraph" w:customStyle="1" w:styleId="xl93">
    <w:name w:val="xl93"/>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93D93"/>
      <w:sz w:val="18"/>
      <w:szCs w:val="18"/>
    </w:rPr>
  </w:style>
  <w:style w:type="paragraph" w:customStyle="1" w:styleId="xl94">
    <w:name w:val="xl94"/>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i/>
      <w:iCs/>
      <w:color w:val="093D93"/>
      <w:sz w:val="18"/>
      <w:szCs w:val="18"/>
    </w:rPr>
  </w:style>
  <w:style w:type="paragraph" w:customStyle="1" w:styleId="xl95">
    <w:name w:val="xl95"/>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b/>
      <w:bCs/>
      <w:i/>
      <w:iCs/>
      <w:color w:val="093D93"/>
      <w:sz w:val="18"/>
      <w:szCs w:val="18"/>
    </w:rPr>
  </w:style>
  <w:style w:type="paragraph" w:customStyle="1" w:styleId="xl96">
    <w:name w:val="xl96"/>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b/>
      <w:bCs/>
      <w:i/>
      <w:iCs/>
      <w:color w:val="093D93"/>
      <w:sz w:val="18"/>
      <w:szCs w:val="18"/>
    </w:rPr>
  </w:style>
  <w:style w:type="paragraph" w:customStyle="1" w:styleId="xl97">
    <w:name w:val="xl97"/>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b/>
      <w:bCs/>
      <w:i/>
      <w:iCs/>
      <w:color w:val="093D93"/>
      <w:sz w:val="18"/>
      <w:szCs w:val="18"/>
    </w:rPr>
  </w:style>
  <w:style w:type="paragraph" w:customStyle="1" w:styleId="xl98">
    <w:name w:val="xl98"/>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i/>
      <w:iCs/>
      <w:color w:val="093D93"/>
      <w:sz w:val="18"/>
      <w:szCs w:val="18"/>
    </w:rPr>
  </w:style>
  <w:style w:type="paragraph" w:customStyle="1" w:styleId="xl99">
    <w:name w:val="xl99"/>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i/>
      <w:iCs/>
      <w:color w:val="093D93"/>
      <w:sz w:val="18"/>
      <w:szCs w:val="18"/>
    </w:rPr>
  </w:style>
  <w:style w:type="paragraph" w:customStyle="1" w:styleId="xl100">
    <w:name w:val="xl100"/>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i/>
      <w:iCs/>
      <w:color w:val="093D93"/>
      <w:sz w:val="18"/>
      <w:szCs w:val="18"/>
    </w:rPr>
  </w:style>
  <w:style w:type="paragraph" w:customStyle="1" w:styleId="xl101">
    <w:name w:val="xl101"/>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i/>
      <w:iCs/>
      <w:color w:val="093D93"/>
      <w:sz w:val="18"/>
      <w:szCs w:val="18"/>
    </w:rPr>
  </w:style>
  <w:style w:type="paragraph" w:customStyle="1" w:styleId="xl102">
    <w:name w:val="xl102"/>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i/>
      <w:iCs/>
      <w:color w:val="093D93"/>
      <w:sz w:val="18"/>
      <w:szCs w:val="18"/>
    </w:rPr>
  </w:style>
  <w:style w:type="paragraph" w:customStyle="1" w:styleId="xl103">
    <w:name w:val="xl103"/>
    <w:basedOn w:val="Normal"/>
    <w:rsid w:val="00F45F45"/>
    <w:pPr>
      <w:pBdr>
        <w:left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 w:val="18"/>
      <w:szCs w:val="18"/>
    </w:rPr>
  </w:style>
  <w:style w:type="paragraph" w:customStyle="1" w:styleId="xl104">
    <w:name w:val="xl104"/>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 w:val="18"/>
      <w:szCs w:val="18"/>
    </w:rPr>
  </w:style>
  <w:style w:type="paragraph" w:customStyle="1" w:styleId="xl105">
    <w:name w:val="xl105"/>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93D93"/>
      <w:sz w:val="18"/>
      <w:szCs w:val="18"/>
    </w:rPr>
  </w:style>
  <w:style w:type="paragraph" w:customStyle="1" w:styleId="xl106">
    <w:name w:val="xl106"/>
    <w:basedOn w:val="Normal"/>
    <w:rsid w:val="00F45F45"/>
    <w:pPr>
      <w:pBdr>
        <w:left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107">
    <w:name w:val="xl107"/>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108">
    <w:name w:val="xl108"/>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i/>
      <w:iCs/>
      <w:color w:val="093D93"/>
      <w:sz w:val="18"/>
      <w:szCs w:val="18"/>
    </w:rPr>
  </w:style>
  <w:style w:type="paragraph" w:customStyle="1" w:styleId="xl109">
    <w:name w:val="xl109"/>
    <w:basedOn w:val="Normal"/>
    <w:rsid w:val="00F45F45"/>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Cs w:val="24"/>
    </w:rPr>
  </w:style>
  <w:style w:type="paragraph" w:customStyle="1" w:styleId="xl110">
    <w:name w:val="xl110"/>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 w:val="18"/>
      <w:szCs w:val="18"/>
    </w:rPr>
  </w:style>
  <w:style w:type="paragraph" w:customStyle="1" w:styleId="xl111">
    <w:name w:val="xl111"/>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93D93"/>
      <w:sz w:val="18"/>
      <w:szCs w:val="18"/>
    </w:rPr>
  </w:style>
  <w:style w:type="paragraph" w:customStyle="1" w:styleId="xl112">
    <w:name w:val="xl112"/>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93D93"/>
      <w:sz w:val="18"/>
      <w:szCs w:val="18"/>
    </w:rPr>
  </w:style>
  <w:style w:type="paragraph" w:customStyle="1" w:styleId="xl113">
    <w:name w:val="xl113"/>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 w:val="18"/>
      <w:szCs w:val="18"/>
    </w:rPr>
  </w:style>
  <w:style w:type="paragraph" w:customStyle="1" w:styleId="xl114">
    <w:name w:val="xl114"/>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FF0000"/>
      <w:sz w:val="18"/>
      <w:szCs w:val="18"/>
    </w:rPr>
  </w:style>
  <w:style w:type="paragraph" w:customStyle="1" w:styleId="xl115">
    <w:name w:val="xl115"/>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93D93"/>
      <w:sz w:val="18"/>
      <w:szCs w:val="18"/>
    </w:rPr>
  </w:style>
  <w:style w:type="paragraph" w:customStyle="1" w:styleId="xl116">
    <w:name w:val="xl116"/>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93D93"/>
      <w:sz w:val="18"/>
      <w:szCs w:val="18"/>
    </w:rPr>
  </w:style>
  <w:style w:type="paragraph" w:customStyle="1" w:styleId="xl117">
    <w:name w:val="xl117"/>
    <w:basedOn w:val="Normal"/>
    <w:rsid w:val="00F45F45"/>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 w:val="18"/>
      <w:szCs w:val="18"/>
    </w:rPr>
  </w:style>
  <w:style w:type="paragraph" w:customStyle="1" w:styleId="xl118">
    <w:name w:val="xl118"/>
    <w:basedOn w:val="Normal"/>
    <w:rsid w:val="00F45F45"/>
    <w:pPr>
      <w:pBdr>
        <w:top w:val="single" w:sz="4" w:space="0" w:color="000000"/>
        <w:left w:val="single" w:sz="4" w:space="0" w:color="000000"/>
        <w:bottom w:val="single" w:sz="4" w:space="0" w:color="000000"/>
      </w:pBdr>
      <w:shd w:val="clear" w:color="CFE2F3" w:fill="FFFFFF"/>
      <w:spacing w:before="100" w:beforeAutospacing="1" w:after="100" w:afterAutospacing="1"/>
      <w:jc w:val="left"/>
      <w:textAlignment w:val="center"/>
    </w:pPr>
    <w:rPr>
      <w:rFonts w:ascii="Arial" w:eastAsia="Times New Roman" w:hAnsi="Arial" w:cs="Arial"/>
      <w:b/>
      <w:bCs/>
      <w:color w:val="093D93"/>
      <w:szCs w:val="24"/>
    </w:rPr>
  </w:style>
  <w:style w:type="paragraph" w:customStyle="1" w:styleId="xl119">
    <w:name w:val="xl119"/>
    <w:basedOn w:val="Normal"/>
    <w:rsid w:val="00F45F45"/>
    <w:pPr>
      <w:pBdr>
        <w:left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i/>
      <w:iCs/>
      <w:color w:val="093D93"/>
      <w:sz w:val="18"/>
      <w:szCs w:val="18"/>
    </w:rPr>
  </w:style>
  <w:style w:type="paragraph" w:customStyle="1" w:styleId="xl120">
    <w:name w:val="xl120"/>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color w:val="093D93"/>
      <w:sz w:val="18"/>
      <w:szCs w:val="18"/>
    </w:rPr>
  </w:style>
  <w:style w:type="paragraph" w:customStyle="1" w:styleId="xl121">
    <w:name w:val="xl121"/>
    <w:basedOn w:val="Normal"/>
    <w:rsid w:val="00F45F4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Arial" w:eastAsia="Times New Roman" w:hAnsi="Arial" w:cs="Arial"/>
      <w:color w:val="093D9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13</Pages>
  <Words>3851</Words>
  <Characters>21952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310</cp:revision>
  <cp:lastPrinted>2025-06-20T09:37:00Z</cp:lastPrinted>
  <dcterms:created xsi:type="dcterms:W3CDTF">2024-05-05T01:30:00Z</dcterms:created>
  <dcterms:modified xsi:type="dcterms:W3CDTF">2025-11-01T02:36:00Z</dcterms:modified>
</cp:coreProperties>
</file>