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7290" w14:textId="77777777" w:rsidR="00596905" w:rsidRPr="00A33372" w:rsidRDefault="00596905" w:rsidP="00A33372">
      <w:pPr>
        <w:spacing w:after="0" w:line="276" w:lineRule="auto"/>
        <w:jc w:val="center"/>
        <w:rPr>
          <w:b/>
          <w:bCs/>
        </w:rPr>
      </w:pPr>
      <w:r w:rsidRPr="00A33372">
        <w:rPr>
          <w:b/>
          <w:bCs/>
        </w:rPr>
        <w:t>Phần 2. YÊU CẦU VỀ KỸ THUẬT</w:t>
      </w:r>
    </w:p>
    <w:p w14:paraId="79B8C14C" w14:textId="61EC7C6B" w:rsidR="00596905" w:rsidRPr="00A33372" w:rsidRDefault="00596905" w:rsidP="00A33372">
      <w:pPr>
        <w:spacing w:after="0" w:line="276" w:lineRule="auto"/>
        <w:jc w:val="center"/>
        <w:rPr>
          <w:b/>
          <w:bCs/>
        </w:rPr>
      </w:pPr>
      <w:r w:rsidRPr="00A33372">
        <w:rPr>
          <w:b/>
          <w:bCs/>
        </w:rPr>
        <w:t>Chương V. YÊU CẦU VỀ KỸ THUẬT</w:t>
      </w:r>
    </w:p>
    <w:p w14:paraId="3FDC6949" w14:textId="77777777" w:rsidR="00596905" w:rsidRDefault="00596905" w:rsidP="00A33372">
      <w:pPr>
        <w:spacing w:after="0" w:line="276" w:lineRule="auto"/>
      </w:pPr>
    </w:p>
    <w:p w14:paraId="05BFE5EC" w14:textId="77777777" w:rsidR="00596905" w:rsidRPr="00A33372" w:rsidRDefault="00596905" w:rsidP="00A33372">
      <w:pPr>
        <w:spacing w:after="0" w:line="276" w:lineRule="auto"/>
        <w:ind w:firstLine="426"/>
        <w:rPr>
          <w:b/>
          <w:bCs/>
        </w:rPr>
      </w:pPr>
      <w:r w:rsidRPr="00A33372">
        <w:rPr>
          <w:b/>
          <w:bCs/>
        </w:rPr>
        <w:t>I. Giới thiệu về gói thầu</w:t>
      </w:r>
    </w:p>
    <w:p w14:paraId="2DE43E64" w14:textId="77777777" w:rsidR="00596905" w:rsidRPr="00A33372" w:rsidRDefault="00596905" w:rsidP="00A33372">
      <w:pPr>
        <w:tabs>
          <w:tab w:val="left" w:pos="993"/>
        </w:tabs>
        <w:spacing w:after="0" w:line="276" w:lineRule="auto"/>
        <w:ind w:firstLine="426"/>
      </w:pPr>
      <w:r w:rsidRPr="00A33372">
        <w:t>1.</w:t>
      </w:r>
      <w:r w:rsidRPr="00A33372">
        <w:tab/>
        <w:t>Nội dung gói thầu.</w:t>
      </w:r>
    </w:p>
    <w:p w14:paraId="283A49E3" w14:textId="77777777" w:rsidR="00596905" w:rsidRDefault="00596905" w:rsidP="00A33372">
      <w:pPr>
        <w:spacing w:after="0" w:line="276" w:lineRule="auto"/>
        <w:ind w:firstLine="720"/>
      </w:pPr>
      <w:r>
        <w:t>Tên gói thầu: Gói thầu số 04: Thi công xây dựng</w:t>
      </w:r>
    </w:p>
    <w:p w14:paraId="5F314ED9" w14:textId="77777777" w:rsidR="00596905" w:rsidRDefault="00596905" w:rsidP="00A33372">
      <w:pPr>
        <w:spacing w:after="0" w:line="276" w:lineRule="auto"/>
        <w:ind w:firstLine="720"/>
      </w:pPr>
      <w:r>
        <w:t>Dự án: Lắp đặt hệ thống điện chiếu sáng QL1A (đoạn từ cụm CN Tiên Tân đến đường T3); đường T3 (đoạn từ QL1A đến hết địa bàn phường) và khu vực lân cận, phường Hà Nam, tỉnh Ninh Bình</w:t>
      </w:r>
    </w:p>
    <w:p w14:paraId="01AABC51" w14:textId="77777777" w:rsidR="00596905" w:rsidRDefault="00596905" w:rsidP="00A33372">
      <w:pPr>
        <w:spacing w:after="0" w:line="276" w:lineRule="auto"/>
        <w:ind w:firstLine="720"/>
      </w:pPr>
      <w:r>
        <w:t>Chủ đầu tư: UBND phường Hà Nam</w:t>
      </w:r>
    </w:p>
    <w:p w14:paraId="0E072EF8" w14:textId="77777777" w:rsidR="00596905" w:rsidRDefault="00596905" w:rsidP="00A33372">
      <w:pPr>
        <w:spacing w:after="0" w:line="276" w:lineRule="auto"/>
        <w:ind w:firstLine="720"/>
      </w:pPr>
      <w:r>
        <w:t>Đơn vị tư vấn lập HSMT: Công ty TNHH tư vấn thiết kế Hoàng Phát</w:t>
      </w:r>
    </w:p>
    <w:p w14:paraId="44A194C5" w14:textId="48D60093" w:rsidR="00596905" w:rsidRPr="00A33372" w:rsidRDefault="00596905" w:rsidP="00A33372">
      <w:pPr>
        <w:spacing w:after="0" w:line="276" w:lineRule="auto"/>
        <w:ind w:firstLine="720"/>
        <w:rPr>
          <w:lang w:val="en-US"/>
        </w:rPr>
      </w:pPr>
      <w:r>
        <w:t xml:space="preserve">Tiến độ thi công: </w:t>
      </w:r>
      <w:r w:rsidR="00A33372">
        <w:rPr>
          <w:lang w:val="en-US"/>
        </w:rPr>
        <w:t>150 ngày</w:t>
      </w:r>
    </w:p>
    <w:p w14:paraId="05D52EA6" w14:textId="77777777" w:rsidR="00596905" w:rsidRPr="00A33372" w:rsidRDefault="00596905" w:rsidP="00A33372">
      <w:pPr>
        <w:spacing w:after="0" w:line="276" w:lineRule="auto"/>
        <w:ind w:firstLine="426"/>
      </w:pPr>
      <w:r w:rsidRPr="00A33372">
        <w:t>2.</w:t>
      </w:r>
      <w:r w:rsidRPr="00A33372">
        <w:tab/>
        <w:t>Một số chỉ tiêu, thông số chính của công trình chính:</w:t>
      </w:r>
    </w:p>
    <w:p w14:paraId="5E6B4B0D" w14:textId="77777777" w:rsidR="00596905" w:rsidRPr="00A33372" w:rsidRDefault="00596905" w:rsidP="00A33372">
      <w:pPr>
        <w:spacing w:after="0" w:line="276" w:lineRule="auto"/>
        <w:ind w:firstLine="426"/>
      </w:pPr>
      <w:r w:rsidRPr="00A33372">
        <w:t xml:space="preserve">2.1. Quy mô đầu tư xây dựng: </w:t>
      </w:r>
    </w:p>
    <w:p w14:paraId="552B2D21" w14:textId="77777777" w:rsidR="00596905" w:rsidRDefault="00596905" w:rsidP="00A33372">
      <w:pPr>
        <w:spacing w:after="0" w:line="276" w:lineRule="auto"/>
        <w:ind w:firstLine="720"/>
      </w:pPr>
      <w:r>
        <w:t>Lắp đặt hệ thống điện chiếu sáng với tổng chiều tuyến chính dài khoảng 2,7km; cột đèn sử dụng cột thép bát giác, cần đơn và cần đôi, cáp cấp nguồn sử dụng cáp đồng ngầm hoặc treo, bóng đèn sử dụng bóng Led tiết kiệm điện. Lắp bổ sung các cột đèn pha Led tại một số vị trí, nút giao trên tuyến dọc QL1A…</w:t>
      </w:r>
    </w:p>
    <w:p w14:paraId="746F2B0B" w14:textId="77777777" w:rsidR="00596905" w:rsidRDefault="00596905" w:rsidP="00A33372">
      <w:pPr>
        <w:spacing w:after="0" w:line="276" w:lineRule="auto"/>
        <w:ind w:firstLine="426"/>
      </w:pPr>
      <w:r>
        <w:t>2.2. Giải pháp thiết kế chủ yếu:</w:t>
      </w:r>
    </w:p>
    <w:p w14:paraId="67D33FF4" w14:textId="77777777" w:rsidR="00596905" w:rsidRDefault="00596905" w:rsidP="00A33372">
      <w:pPr>
        <w:spacing w:after="0" w:line="276" w:lineRule="auto"/>
        <w:ind w:firstLine="720"/>
      </w:pPr>
      <w:r>
        <w:t>* Hệ thống điện chiếu sáng QL1A (từ cụm CN Tiên Tân đến đường T3)</w:t>
      </w:r>
    </w:p>
    <w:p w14:paraId="2E495054" w14:textId="77777777" w:rsidR="00596905" w:rsidRDefault="00596905" w:rsidP="00A33372">
      <w:pPr>
        <w:spacing w:after="0" w:line="276" w:lineRule="auto"/>
        <w:ind w:firstLine="720"/>
      </w:pPr>
      <w:r>
        <w:t xml:space="preserve">- Hệ thống điện chiếu sáng được thiết kế lắp phía phải tuyến theo hướng từ Hà Nội - Ninh Bình với Điểm đầu tuyến giáp cụm CN Tiên Tân và điểm cuối tuyến  nút giao với đường T3 với chiều dài tuyến 2,0Km; </w:t>
      </w:r>
    </w:p>
    <w:p w14:paraId="4D9B7471" w14:textId="77777777" w:rsidR="00596905" w:rsidRDefault="00596905" w:rsidP="00A33372">
      <w:pPr>
        <w:spacing w:after="0" w:line="276" w:lineRule="auto"/>
        <w:ind w:firstLine="720"/>
      </w:pPr>
      <w:r>
        <w:t>- Cột đèn dùng cột thép bát giác cao 11m lắp tại 58 vị trí;</w:t>
      </w:r>
    </w:p>
    <w:p w14:paraId="5FCEE94B" w14:textId="77777777" w:rsidR="00596905" w:rsidRDefault="00596905" w:rsidP="00A33372">
      <w:pPr>
        <w:spacing w:after="0" w:line="276" w:lineRule="auto"/>
        <w:ind w:firstLine="720"/>
      </w:pPr>
      <w:r>
        <w:t>- Cần đèn sử dụng cần đèn kép 1 hướng cao 2 m vươn 2,5m và lắp 2 bóng trên một cần;</w:t>
      </w:r>
    </w:p>
    <w:p w14:paraId="1FD8BEB6" w14:textId="77777777" w:rsidR="00596905" w:rsidRDefault="00596905" w:rsidP="00A33372">
      <w:pPr>
        <w:spacing w:after="0" w:line="276" w:lineRule="auto"/>
        <w:ind w:firstLine="720"/>
      </w:pPr>
      <w:r>
        <w:t>- Đèn chiếu sáng đường: Sử dụng đèn Led 150W/200W</w:t>
      </w:r>
    </w:p>
    <w:p w14:paraId="59190523" w14:textId="77777777" w:rsidR="00596905" w:rsidRDefault="00596905" w:rsidP="00A33372">
      <w:pPr>
        <w:spacing w:after="0" w:line="276" w:lineRule="auto"/>
        <w:ind w:firstLine="720"/>
      </w:pPr>
      <w:r>
        <w:t xml:space="preserve">- Dây lên đèn 2x2,5mm2; </w:t>
      </w:r>
    </w:p>
    <w:p w14:paraId="2FE6F252" w14:textId="77777777" w:rsidR="00596905" w:rsidRDefault="00596905" w:rsidP="00A33372">
      <w:pPr>
        <w:spacing w:after="0" w:line="276" w:lineRule="auto"/>
        <w:ind w:firstLine="720"/>
      </w:pPr>
      <w:r>
        <w:t>- Dây nối tiếp địa từ đèn xuống hệ thống tiếp địa liên hoàn sử dụng dây đồng 1x2,5mm2;</w:t>
      </w:r>
    </w:p>
    <w:p w14:paraId="49EB0F20" w14:textId="77777777" w:rsidR="00596905" w:rsidRDefault="00596905" w:rsidP="00A33372">
      <w:pPr>
        <w:spacing w:after="0" w:line="276" w:lineRule="auto"/>
        <w:ind w:firstLine="720"/>
      </w:pPr>
      <w:r>
        <w:t>- Móng bê tông đá 2x4 mác 200#, kích thước móng 100x100x120cm với các vị trí trên nền đất, Kích thước móng 100x100x350cm với các vị trí dưới kênh; Khung móng M24;</w:t>
      </w:r>
    </w:p>
    <w:p w14:paraId="59B02893" w14:textId="77777777" w:rsidR="00596905" w:rsidRDefault="00596905" w:rsidP="00A33372">
      <w:pPr>
        <w:spacing w:after="0" w:line="276" w:lineRule="auto"/>
        <w:ind w:firstLine="720"/>
      </w:pPr>
      <w:r>
        <w:t xml:space="preserve">- Cáp cấp nguồn cho hệ thống đèn sử dụng cáp đồng ngầm CU/XLPE/DSTA/PVC 3x25+1x16 mm2; cáp được đi chìm, luồn trong ống nhựa xoắn D65/50, chôn trong các rãnh cáp. </w:t>
      </w:r>
    </w:p>
    <w:p w14:paraId="56116319" w14:textId="77777777" w:rsidR="00596905" w:rsidRDefault="00596905" w:rsidP="00A33372">
      <w:pPr>
        <w:spacing w:after="0" w:line="276" w:lineRule="auto"/>
        <w:ind w:firstLine="720"/>
      </w:pPr>
      <w:r>
        <w:lastRenderedPageBreak/>
        <w:t xml:space="preserve">- Chống sét cho hệ thống đèn sử dụng hệ thống tiếp địa liên hoàn dây đồng trần 1x10mm2 và mỗi vị trí cột đèn có 01 đóng 1 cọc tiếp địa.  </w:t>
      </w:r>
    </w:p>
    <w:p w14:paraId="74138BCC" w14:textId="77777777" w:rsidR="00596905" w:rsidRDefault="00596905" w:rsidP="00A33372">
      <w:pPr>
        <w:spacing w:after="0" w:line="276" w:lineRule="auto"/>
        <w:ind w:firstLine="720"/>
      </w:pPr>
      <w:r>
        <w:t>* Hệ thống điện chiếu sáng Tuyến đường T3 (đoạn từ QL1A đến hết địa bàn phường):</w:t>
      </w:r>
    </w:p>
    <w:p w14:paraId="2CE70985" w14:textId="77777777" w:rsidR="00596905" w:rsidRDefault="00596905" w:rsidP="00A33372">
      <w:pPr>
        <w:spacing w:after="0" w:line="276" w:lineRule="auto"/>
        <w:ind w:firstLine="720"/>
      </w:pPr>
      <w:r>
        <w:t xml:space="preserve">- Hệ thống điẹn chiếu sáng được thiết kế  2 bên đường Điểm đầu tuyến nút giao đường T3 và Quốc Lộ 1A điểm cuối tuyến hết địa bàn phường Hà Nam chiều dài tuyến khoảng 800m; </w:t>
      </w:r>
    </w:p>
    <w:p w14:paraId="36650943" w14:textId="77777777" w:rsidR="00596905" w:rsidRDefault="00596905" w:rsidP="00A33372">
      <w:pPr>
        <w:spacing w:after="0" w:line="276" w:lineRule="auto"/>
        <w:ind w:firstLine="720"/>
      </w:pPr>
      <w:r>
        <w:t xml:space="preserve">- Cột đèn sử dùng cột đèn cao 9m, cần đèn đơn cao 2m vươn 1,5m; </w:t>
      </w:r>
    </w:p>
    <w:p w14:paraId="5D210FED" w14:textId="77777777" w:rsidR="00596905" w:rsidRDefault="00596905" w:rsidP="00A33372">
      <w:pPr>
        <w:spacing w:after="0" w:line="276" w:lineRule="auto"/>
        <w:ind w:firstLine="720"/>
      </w:pPr>
      <w:r>
        <w:t>- Đèn chiếu sáng lắp đèn Led công xuất 150w;</w:t>
      </w:r>
    </w:p>
    <w:p w14:paraId="586CE6F7" w14:textId="77777777" w:rsidR="00596905" w:rsidRDefault="00596905" w:rsidP="00A33372">
      <w:pPr>
        <w:spacing w:after="0" w:line="276" w:lineRule="auto"/>
        <w:ind w:firstLine="720"/>
      </w:pPr>
      <w:r>
        <w:t xml:space="preserve">- Dây lên đèn 2x2,5mm2; </w:t>
      </w:r>
    </w:p>
    <w:p w14:paraId="64E572D6" w14:textId="77777777" w:rsidR="00596905" w:rsidRDefault="00596905" w:rsidP="00A33372">
      <w:pPr>
        <w:spacing w:after="0" w:line="276" w:lineRule="auto"/>
        <w:ind w:firstLine="720"/>
      </w:pPr>
      <w:r>
        <w:t>- Dây nối tiếp địa từ đèn xuống hệ thống tiếp địa liên hoàn sử dụng dây đồng 1x2,5mm2</w:t>
      </w:r>
    </w:p>
    <w:p w14:paraId="5173652A" w14:textId="77777777" w:rsidR="00596905" w:rsidRDefault="00596905" w:rsidP="00A33372">
      <w:pPr>
        <w:spacing w:after="0" w:line="276" w:lineRule="auto"/>
        <w:ind w:firstLine="720"/>
      </w:pPr>
      <w:r>
        <w:t>-  Móng đèn sử dụng bê tông M200#; Khung móng M24.</w:t>
      </w:r>
    </w:p>
    <w:p w14:paraId="52FCEBE6" w14:textId="77777777" w:rsidR="00596905" w:rsidRDefault="00596905" w:rsidP="00A33372">
      <w:pPr>
        <w:spacing w:after="0" w:line="276" w:lineRule="auto"/>
        <w:ind w:firstLine="720"/>
      </w:pPr>
      <w:r>
        <w:t xml:space="preserve">- Cáp cấp nguồn cho hệ thống đèn sử dụng cáp đồng ngầm CU/XLPE/DSTA/PVC 3x25+1x16 mm2; cáp được đi chìm, luồn trong ống nhựa xoắn D65/50, chôn trong các rãnh cáp. </w:t>
      </w:r>
    </w:p>
    <w:p w14:paraId="4BF2C91F" w14:textId="77777777" w:rsidR="00596905" w:rsidRDefault="00596905" w:rsidP="00A33372">
      <w:pPr>
        <w:spacing w:after="0" w:line="276" w:lineRule="auto"/>
        <w:ind w:firstLine="720"/>
      </w:pPr>
      <w:r>
        <w:t xml:space="preserve">- Chống sét cho hệ thống đèn sử dụng hệ thống tiếp địa liên hoàn dây đồng trần 1x10mm2 và mỗi vị trí cột đèn có 01 đóng 1 cọc tiếp địa.  </w:t>
      </w:r>
    </w:p>
    <w:p w14:paraId="3C1A79B0" w14:textId="77777777" w:rsidR="00596905" w:rsidRDefault="00596905" w:rsidP="00A33372">
      <w:pPr>
        <w:spacing w:after="0" w:line="276" w:lineRule="auto"/>
        <w:ind w:firstLine="720"/>
      </w:pPr>
      <w:r>
        <w:t>* Cột đèn Pha Led:</w:t>
      </w:r>
    </w:p>
    <w:p w14:paraId="5EBB1D18" w14:textId="77777777" w:rsidR="00596905" w:rsidRDefault="00596905" w:rsidP="00A33372">
      <w:pPr>
        <w:spacing w:after="0" w:line="276" w:lineRule="auto"/>
        <w:ind w:firstLine="720"/>
      </w:pPr>
      <w:r>
        <w:t>- Lắp đặt 01 cột đèn pha tại nút giao đường Quốc Lộ 1A và đường T3;</w:t>
      </w:r>
    </w:p>
    <w:p w14:paraId="4B57F87C" w14:textId="77777777" w:rsidR="00596905" w:rsidRDefault="00596905" w:rsidP="00A33372">
      <w:pPr>
        <w:spacing w:after="0" w:line="276" w:lineRule="auto"/>
        <w:ind w:firstLine="720"/>
      </w:pPr>
      <w:r>
        <w:t>- Cột đèn pha bát giác bằng thép mạ kẽm nhúng nóng cao 17,0m dày 5mm, lọng bán nguyệt. Móng cột đèn pha bằng bê tông đá 2x4 mác 200; khung móng bằng bulong M24x1375x8. Bóng đèn pha sử dụng bóng pha Led 250W. Cáp cấp nguồn sử dụng cáp đồng ngầm Cu/XLPE/PVC/DSTA/PVC 3x25+1x16mm2 được đi chìm, luồn trong ống nhựa xoắn D65/50, chôn trong các rãnh cáp; dây lên đèn sử dụng đồng Cu/PVC/PVC tiết diện 2x2,5mm2. Các đèn được nối chống sét bằng dây đồng Cu/PVC/PVC tiết diện 1x2,5mm2.</w:t>
      </w:r>
    </w:p>
    <w:p w14:paraId="08E493ED" w14:textId="77777777" w:rsidR="00596905" w:rsidRDefault="00596905" w:rsidP="00A33372">
      <w:pPr>
        <w:spacing w:after="0" w:line="276" w:lineRule="auto"/>
        <w:ind w:firstLine="720"/>
      </w:pPr>
      <w:r>
        <w:t>*  Phương án cấp nguồn</w:t>
      </w:r>
    </w:p>
    <w:p w14:paraId="440BADA2" w14:textId="77777777" w:rsidR="00596905" w:rsidRDefault="00596905" w:rsidP="00A33372">
      <w:pPr>
        <w:spacing w:after="0" w:line="276" w:lineRule="auto"/>
        <w:ind w:firstLine="720"/>
      </w:pPr>
      <w:r>
        <w:t>- Hệ thống điện chiếu sáng Quốc lộ 1A (từ cụm CN Tiên Tân đến đường T3) và hệ thống chiếu sáng Tuyến đường T3 (đoạn từ QL1A đến hết địa bàn phường) phía trái tuyến Toàn bộ hệ thống chiếu sáng sẽ được cấp nguồn và điều khiển từ 01 tủ điện điều khiển chiếu sáng 100A, Tủ điện điều khiển chiếu sáng TĐKCS  được lấy nguồn điện 3 pha tại TBA gần khu vực.</w:t>
      </w:r>
    </w:p>
    <w:p w14:paraId="0F110515" w14:textId="77777777" w:rsidR="00596905" w:rsidRDefault="00596905" w:rsidP="00A33372">
      <w:pPr>
        <w:spacing w:after="0" w:line="276" w:lineRule="auto"/>
        <w:ind w:firstLine="720"/>
      </w:pPr>
      <w:r>
        <w:t>- Hệ thống điện chiếu sáng Tuyến đường T3 (đoạn từ QL1A đến hết địa bàn phường)  phía phải  tuyến Toàn bộ hệ thống chiếu sáng sẽ được cấp nguồn và điều khiển từ 01 tủ điện điều khiển chiếu sáng 100A, Tủ điện điều khiển chiếu sáng TĐKCS  được lấy nguồn điện 3 pha tại cột điện hạ thế hiện có.</w:t>
      </w:r>
    </w:p>
    <w:p w14:paraId="1AFCB951" w14:textId="77777777" w:rsidR="00596905" w:rsidRDefault="00596905" w:rsidP="00A33372">
      <w:pPr>
        <w:spacing w:after="0" w:line="276" w:lineRule="auto"/>
        <w:ind w:firstLine="720"/>
      </w:pPr>
      <w:r>
        <w:lastRenderedPageBreak/>
        <w:t>- Tất cả các chi tiết kim loại không mang điện được nối đất an toàn với điện trở nối đất không lớn hơn 10 Ohm bằng cách mỗi cột nối với 01 cọc tiếp địa bằng thép L63x63x6x2500 được mạ kẽm nhúng nóng theo tiêu chuẩn và hệ thống dây tiếp địa liên hoàn M10.</w:t>
      </w:r>
    </w:p>
    <w:p w14:paraId="6C5E253A" w14:textId="77777777" w:rsidR="00596905" w:rsidRDefault="00596905" w:rsidP="00A33372">
      <w:pPr>
        <w:spacing w:after="0" w:line="276" w:lineRule="auto"/>
        <w:ind w:firstLine="720"/>
      </w:pPr>
      <w:r>
        <w:t>- Thông số kỹ thuật đèn LED 150W, 200W: Điện áp: 100V-277/50Hz; Chip LED: 5050 siêu sáng (hoặc tương đương); Chỉ số hoàn màu CRI: ≥ 80; Nhiệt độ màu: 5000K; Hiệu suất phát quang: ≥ 130 lm/W; Cấp bảo vệ: IP66; Chống va đập: IK08; Có cổng chờ 1 -10V kết nối chiếu sáng thông minh; Hệ số công suất ≥0,96; Bảo vệ sóng sét lan truyền 10kV/20kA; Chóa đèn bằng nhôm gia công áp lực cao, sơn tĩnh điện; Tuổi thọ bộ đèn: 50.000h; Thời gian bảo hành 5 năm; Đèn có lập trình Dimming 5 cấp công suất theo thời gian; Kích thước cơ bản (DxRxC): (712x306x95) ±5mm.</w:t>
      </w:r>
    </w:p>
    <w:p w14:paraId="72C702E0" w14:textId="77777777" w:rsidR="00596905" w:rsidRDefault="00596905" w:rsidP="00A33372">
      <w:pPr>
        <w:spacing w:after="0" w:line="276" w:lineRule="auto"/>
        <w:ind w:firstLine="720"/>
      </w:pPr>
      <w:r>
        <w:t>- Thông số kỹ thuật đèn pha LED 400W: Hệ số công suất tại công suất định mức 0,95; chỉ số hoàn màu CRI &gt; 70; cấp bảo vệ  IP 66; Chống va đập: IK08; nhiệt màu 6000K; chíp led: Lumiles 3030; bộ nguồn: Philips/Moso (hoặc tương đương); bảo vệ xung sét: 10kV/20kA; hiệu suất phát quang ≥130Lumen/W; điện áp nguồn: 220 - 245V (50/60Hz); thân đèn bằng nhôm đúc áp lực cao, chóa phản quang nhôm tinh khiết được đánh bóng và anot hóa, kính đèn bằng thủy tinh cường lực an toàn chịu nhiệt. Tuổi thọ &gt;50.000h; kích thước cơ bản (DxRxC): (635x450x125) ±5mm.</w:t>
      </w:r>
    </w:p>
    <w:p w14:paraId="57C63F4A" w14:textId="77777777" w:rsidR="00596905" w:rsidRPr="00A33372" w:rsidRDefault="00596905" w:rsidP="00A33372">
      <w:pPr>
        <w:spacing w:after="0" w:line="276" w:lineRule="auto"/>
        <w:ind w:firstLine="426"/>
        <w:rPr>
          <w:b/>
          <w:bCs/>
        </w:rPr>
      </w:pPr>
      <w:r w:rsidRPr="00A33372">
        <w:rPr>
          <w:b/>
          <w:bCs/>
        </w:rPr>
        <w:t>II. Yêu cầu về tiến độ thực hiện</w:t>
      </w:r>
    </w:p>
    <w:p w14:paraId="6B76D3B8" w14:textId="755126C0" w:rsidR="00596905" w:rsidRDefault="00596905" w:rsidP="00A33372">
      <w:pPr>
        <w:spacing w:after="0" w:line="276" w:lineRule="auto"/>
        <w:ind w:firstLine="720"/>
      </w:pPr>
      <w:r>
        <w:t xml:space="preserve">Nhà thầu phải hoàn thành công trình trong thời gian không quá </w:t>
      </w:r>
      <w:r w:rsidR="00A33372" w:rsidRPr="00A33372">
        <w:t>15</w:t>
      </w:r>
      <w:r>
        <w:t>0 ngày.</w:t>
      </w:r>
    </w:p>
    <w:p w14:paraId="48A531E1" w14:textId="77777777" w:rsidR="00596905" w:rsidRPr="00A33372" w:rsidRDefault="00596905" w:rsidP="00A33372">
      <w:pPr>
        <w:spacing w:after="0" w:line="276" w:lineRule="auto"/>
        <w:ind w:firstLine="426"/>
        <w:rPr>
          <w:b/>
          <w:bCs/>
        </w:rPr>
      </w:pPr>
      <w:r w:rsidRPr="00A33372">
        <w:rPr>
          <w:b/>
          <w:bCs/>
        </w:rPr>
        <w:t>III. Yêu cầu về kỹ thuật/chỉ dẫn kỹ thuật</w:t>
      </w:r>
    </w:p>
    <w:p w14:paraId="04775E48" w14:textId="77777777" w:rsidR="00596905" w:rsidRDefault="00596905" w:rsidP="00A33372">
      <w:pPr>
        <w:spacing w:after="0" w:line="276" w:lineRule="auto"/>
        <w:ind w:firstLine="720"/>
      </w:pPr>
      <w:r>
        <w:tab/>
        <w:t>Nhà thầu phải tuân thủ các quy trình, quy phạm áp dụng cho việc thi công và nghiệm thu công trình, bao gồm:</w:t>
      </w:r>
    </w:p>
    <w:p w14:paraId="7268A5F4" w14:textId="77777777" w:rsidR="00596905" w:rsidRDefault="00596905" w:rsidP="00A33372">
      <w:pPr>
        <w:spacing w:after="0" w:line="276" w:lineRule="auto"/>
        <w:ind w:firstLine="720"/>
      </w:pPr>
      <w:r>
        <w:t>- Nghị định số 15/2021/NĐ-CP ngày 03/3/2021 của Chính phủ Quy định chi tiết một số nội dung về quản lý dự án đầu tư xây dựng.</w:t>
      </w:r>
    </w:p>
    <w:p w14:paraId="33B36B84" w14:textId="77777777" w:rsidR="00596905" w:rsidRDefault="00596905" w:rsidP="00A33372">
      <w:pPr>
        <w:spacing w:after="0" w:line="276" w:lineRule="auto"/>
        <w:ind w:firstLine="720"/>
      </w:pPr>
      <w:r>
        <w:t>- TCVN 4055: 2012: Công trình xây dựng, tổ chức thi công;</w:t>
      </w:r>
    </w:p>
    <w:p w14:paraId="053073C2" w14:textId="77777777" w:rsidR="00596905" w:rsidRDefault="00596905" w:rsidP="00A33372">
      <w:pPr>
        <w:spacing w:after="0" w:line="276" w:lineRule="auto"/>
        <w:ind w:firstLine="720"/>
      </w:pPr>
      <w:r>
        <w:t>- TCVN 9398-2012 : công tác trắc địa trong xây dựng công trình;</w:t>
      </w:r>
    </w:p>
    <w:p w14:paraId="2ED593EC" w14:textId="77777777" w:rsidR="00596905" w:rsidRDefault="00596905" w:rsidP="00A33372">
      <w:pPr>
        <w:spacing w:after="0" w:line="276" w:lineRule="auto"/>
        <w:ind w:firstLine="720"/>
      </w:pPr>
      <w:r>
        <w:t>- TCVN 4087: 2012: Sử dụng máy xây dựng – Yêu cầu chung;</w:t>
      </w:r>
    </w:p>
    <w:p w14:paraId="52989249" w14:textId="77777777" w:rsidR="00596905" w:rsidRDefault="00596905" w:rsidP="00A33372">
      <w:pPr>
        <w:spacing w:after="0" w:line="276" w:lineRule="auto"/>
        <w:ind w:firstLine="720"/>
      </w:pPr>
      <w:r>
        <w:t>- TCVN 4447-2012 : Công tác đất – Quy phạm thi công và nghiệm thu;</w:t>
      </w:r>
    </w:p>
    <w:p w14:paraId="4230D449" w14:textId="77777777" w:rsidR="00596905" w:rsidRDefault="00596905" w:rsidP="00A33372">
      <w:pPr>
        <w:spacing w:after="0" w:line="276" w:lineRule="auto"/>
        <w:ind w:firstLine="720"/>
      </w:pPr>
      <w:r>
        <w:t>- TCVN 4453-1995 Kết cấu bê tông và bê tông cốt thép toàn khối – Quy phạm thi công và nghiệm thu.</w:t>
      </w:r>
    </w:p>
    <w:p w14:paraId="664CBF39" w14:textId="77777777" w:rsidR="00596905" w:rsidRDefault="00596905" w:rsidP="00A33372">
      <w:pPr>
        <w:spacing w:after="0" w:line="276" w:lineRule="auto"/>
        <w:ind w:firstLine="720"/>
      </w:pPr>
      <w:r>
        <w:t>- TCVN 4085-2011 Kết cấu gạch đá – Quy phạm thi công và nghiệm thu.</w:t>
      </w:r>
    </w:p>
    <w:p w14:paraId="2950CB38" w14:textId="77777777" w:rsidR="00596905" w:rsidRDefault="00596905" w:rsidP="00A33372">
      <w:pPr>
        <w:spacing w:after="0" w:line="276" w:lineRule="auto"/>
        <w:ind w:firstLine="720"/>
      </w:pPr>
      <w:r>
        <w:t>- TCVN 9115-2012 Kết cấu bê tông và bê tông cốt thép, điều kiện thi công và nghiệm thu.</w:t>
      </w:r>
    </w:p>
    <w:p w14:paraId="1B90F132" w14:textId="77777777" w:rsidR="00596905" w:rsidRDefault="00596905" w:rsidP="00A33372">
      <w:pPr>
        <w:spacing w:after="0" w:line="276" w:lineRule="auto"/>
        <w:ind w:firstLine="720"/>
      </w:pPr>
      <w:r>
        <w:t>- TCVN 9345-2012 Kết cấu BT &amp; BTCT – Hướng dẫn công tác bảo trì.</w:t>
      </w:r>
    </w:p>
    <w:p w14:paraId="2281DA71" w14:textId="77777777" w:rsidR="00596905" w:rsidRDefault="00596905" w:rsidP="00A33372">
      <w:pPr>
        <w:spacing w:after="0" w:line="276" w:lineRule="auto"/>
        <w:ind w:firstLine="720"/>
      </w:pPr>
      <w:r>
        <w:lastRenderedPageBreak/>
        <w:t>- TCVN 8828-2012 Bê tông – Yêu cầu bảo dưỡng ẩm tự nhiên.</w:t>
      </w:r>
    </w:p>
    <w:p w14:paraId="6AA5DB45" w14:textId="77777777" w:rsidR="00596905" w:rsidRDefault="00596905" w:rsidP="00A33372">
      <w:pPr>
        <w:spacing w:after="0" w:line="276" w:lineRule="auto"/>
        <w:ind w:firstLine="720"/>
      </w:pPr>
      <w:r>
        <w:t>- TCVN 4054:05 - Tiêu chuẩn thiết kế đường ô tô.</w:t>
      </w:r>
    </w:p>
    <w:p w14:paraId="77D9C513" w14:textId="77777777" w:rsidR="00596905" w:rsidRDefault="00596905" w:rsidP="00A33372">
      <w:pPr>
        <w:spacing w:after="0" w:line="276" w:lineRule="auto"/>
        <w:ind w:firstLine="720"/>
      </w:pPr>
      <w:r>
        <w:t>- TCVN 5574:1991- Kết cấu bê tông và bê tông cốt thép – tiêu chuẩn thiết kế.</w:t>
      </w:r>
    </w:p>
    <w:p w14:paraId="786A5007" w14:textId="77777777" w:rsidR="00596905" w:rsidRDefault="00596905" w:rsidP="00A33372">
      <w:pPr>
        <w:spacing w:after="0" w:line="276" w:lineRule="auto"/>
        <w:ind w:firstLine="720"/>
      </w:pPr>
      <w:r>
        <w:t>- TCVN 5573:1991- Kết cấu gạch đá và gạch đá cốt thép –tiêu chuẩn thiết kế.</w:t>
      </w:r>
    </w:p>
    <w:p w14:paraId="218D0C90" w14:textId="77777777" w:rsidR="00596905" w:rsidRDefault="00596905" w:rsidP="00A33372">
      <w:pPr>
        <w:spacing w:after="0" w:line="276" w:lineRule="auto"/>
        <w:ind w:firstLine="720"/>
      </w:pPr>
      <w:r>
        <w:t>- TCXD 356:2005- Kết cấu bê tông cốt thép – tiêu chuẩn thiết kế.</w:t>
      </w:r>
    </w:p>
    <w:p w14:paraId="3B27B912" w14:textId="77777777" w:rsidR="00596905" w:rsidRDefault="00596905" w:rsidP="00A33372">
      <w:pPr>
        <w:spacing w:after="0" w:line="276" w:lineRule="auto"/>
        <w:ind w:firstLine="720"/>
      </w:pPr>
      <w:r>
        <w:t>- TCVN 4447: 2012 - Công tác đất - thi công và nghiệm thu.</w:t>
      </w:r>
    </w:p>
    <w:p w14:paraId="7DF3A953" w14:textId="77777777" w:rsidR="00596905" w:rsidRDefault="00596905" w:rsidP="00A33372">
      <w:pPr>
        <w:spacing w:after="0" w:line="276" w:lineRule="auto"/>
        <w:ind w:firstLine="720"/>
      </w:pPr>
      <w:r>
        <w:t>Công tác quản lý chất lượng công trình phải chấp hành theo đúng trình tự, nội dung Nghị định số 06/2021/NĐ-CP ngày 26/01/2021 của Chính phủ về quản lý chất lượng và bảo trì công trình xây dựng;</w:t>
      </w:r>
    </w:p>
    <w:p w14:paraId="07B3C16D" w14:textId="77777777" w:rsidR="00596905" w:rsidRDefault="00596905" w:rsidP="00A33372">
      <w:pPr>
        <w:spacing w:after="0" w:line="276" w:lineRule="auto"/>
        <w:ind w:firstLine="720"/>
      </w:pPr>
      <w:r>
        <w:t>- Các tiêu chuẩn xây dựng Việt Nam khác có liên quan.</w:t>
      </w:r>
    </w:p>
    <w:p w14:paraId="16103835" w14:textId="77777777" w:rsidR="00596905" w:rsidRPr="00A33372" w:rsidRDefault="00596905" w:rsidP="00A33372">
      <w:pPr>
        <w:spacing w:after="0" w:line="276" w:lineRule="auto"/>
        <w:ind w:firstLine="426"/>
        <w:rPr>
          <w:b/>
          <w:bCs/>
        </w:rPr>
      </w:pPr>
      <w:r w:rsidRPr="00A33372">
        <w:rPr>
          <w:b/>
          <w:bCs/>
        </w:rPr>
        <w:t>2. Các yêu cầu tổ chức kỹ thuật thi công, giám sát.</w:t>
      </w:r>
    </w:p>
    <w:p w14:paraId="07491948" w14:textId="77777777" w:rsidR="00596905" w:rsidRDefault="00596905" w:rsidP="00A33372">
      <w:pPr>
        <w:spacing w:after="0" w:line="276" w:lineRule="auto"/>
        <w:ind w:firstLine="720"/>
      </w:pPr>
      <w:r>
        <w:t>- Nhà thầu phải lập “Biện pháp thi công” trước khi tiến hành thi công công trình. Trong đó đề cập đầy đủ các giải pháp kỹ thuật thi công chi tiết cho từng hạng mục công việc, nêu trình tự các bước tiến hành, tiến độ thực hiện của từng hạng mục và tiến độ dự kiến hoàn thành tất cả các hạng mục của gói thầu.</w:t>
      </w:r>
    </w:p>
    <w:p w14:paraId="1A5B9256" w14:textId="77777777" w:rsidR="00596905" w:rsidRDefault="00596905" w:rsidP="00A33372">
      <w:pPr>
        <w:spacing w:after="0" w:line="276" w:lineRule="auto"/>
        <w:ind w:firstLine="720"/>
      </w:pPr>
      <w:r>
        <w:t>- Khối lượng phần ngầm hoặc cốt thép của kết cấu bê tông phải được nghiệm thu trước khi san lấp hoặc trước khi đổ bê tông bởi CB giám sát của chủ đầu tư.</w:t>
      </w:r>
    </w:p>
    <w:p w14:paraId="4609A30A" w14:textId="77777777" w:rsidR="00596905" w:rsidRDefault="00596905" w:rsidP="00A33372">
      <w:pPr>
        <w:spacing w:after="0" w:line="276" w:lineRule="auto"/>
        <w:ind w:firstLine="720"/>
      </w:pPr>
      <w:r>
        <w:t>- Tất cả các vật tư, thiết bị đưa vào công trình nhà thầu phải đảm bảo đúng tiêu chuẩn kỹ thuật đã ghi trong thiết kế kỹ thuật thi công công trình và theo các tiêu chuẩn chất lượng đã cam kết.</w:t>
      </w:r>
    </w:p>
    <w:p w14:paraId="7AC0A081" w14:textId="77777777" w:rsidR="00596905" w:rsidRDefault="00596905" w:rsidP="00A33372">
      <w:pPr>
        <w:spacing w:after="0" w:line="276" w:lineRule="auto"/>
        <w:ind w:firstLine="720"/>
      </w:pPr>
      <w:r>
        <w:t>- Dựa theo các công việc của gói thầu và kết cấu cơ bản của các hạng mục Thi công xây dựng công trình và lắp đặt thiết bị.</w:t>
      </w:r>
    </w:p>
    <w:p w14:paraId="4ADA67F4" w14:textId="77777777" w:rsidR="00596905" w:rsidRPr="00A33372" w:rsidRDefault="00596905" w:rsidP="00A33372">
      <w:pPr>
        <w:spacing w:after="0" w:line="276" w:lineRule="auto"/>
        <w:ind w:firstLine="426"/>
        <w:rPr>
          <w:b/>
          <w:bCs/>
        </w:rPr>
      </w:pPr>
      <w:r w:rsidRPr="00A33372">
        <w:rPr>
          <w:b/>
          <w:bCs/>
        </w:rPr>
        <w:t xml:space="preserve">3. Yêu cầu về chủng loại, chất lượng vật tư, máy móc, thiết bị </w:t>
      </w:r>
    </w:p>
    <w:p w14:paraId="37D2D57B" w14:textId="77777777" w:rsidR="00596905" w:rsidRDefault="00596905" w:rsidP="00A33372">
      <w:pPr>
        <w:spacing w:after="0" w:line="276" w:lineRule="auto"/>
        <w:ind w:firstLine="720"/>
      </w:pPr>
      <w:r>
        <w:t xml:space="preserve">Tất cả các loại vật tư, thiết bị cho công trình Nhà thầu phải cam kết theo biểu mẫu dưới đây: </w:t>
      </w:r>
    </w:p>
    <w:p w14:paraId="2E54A15B" w14:textId="77777777" w:rsidR="00596905" w:rsidRDefault="00596905" w:rsidP="00A33372">
      <w:pPr>
        <w:spacing w:after="0" w:line="276" w:lineRule="auto"/>
        <w:ind w:firstLine="720"/>
      </w:pPr>
      <w:r>
        <w:t>- TCVN 5573:2011: Kết cấu gạch, đá và gạch đá cốt thép – Tiêu chuẩn thiết kế;</w:t>
      </w:r>
    </w:p>
    <w:p w14:paraId="7FBEF972" w14:textId="77777777" w:rsidR="00596905" w:rsidRDefault="00596905" w:rsidP="00A33372">
      <w:pPr>
        <w:spacing w:after="0" w:line="276" w:lineRule="auto"/>
        <w:ind w:firstLine="720"/>
      </w:pPr>
      <w:r>
        <w:t>- TCVN 5574: 2018: Kết cấu bê tông và BTCT– Tiêu chuẩn thiết kế;</w:t>
      </w:r>
    </w:p>
    <w:p w14:paraId="5C747F00" w14:textId="77777777" w:rsidR="00596905" w:rsidRDefault="00596905" w:rsidP="00A33372">
      <w:pPr>
        <w:spacing w:after="0" w:line="276" w:lineRule="auto"/>
        <w:ind w:firstLine="720"/>
      </w:pPr>
      <w:r>
        <w:t>- TCVN 9206:2012: Lắp đặt thiết bị điện trong nhà và công trình công cộng - Tiêu chuẩn thiết kế.</w:t>
      </w:r>
    </w:p>
    <w:p w14:paraId="7C39151D" w14:textId="77777777" w:rsidR="00596905" w:rsidRDefault="00596905" w:rsidP="00A33372">
      <w:pPr>
        <w:spacing w:after="0" w:line="276" w:lineRule="auto"/>
        <w:ind w:firstLine="720"/>
      </w:pPr>
      <w:r>
        <w:t>- TCVN 4756:89: Quy phạm nối đất và nối trung tính các thiết bị điện.</w:t>
      </w:r>
    </w:p>
    <w:p w14:paraId="34EBEBE0" w14:textId="77777777" w:rsidR="00596905" w:rsidRDefault="00596905" w:rsidP="00A33372">
      <w:pPr>
        <w:spacing w:after="0" w:line="276" w:lineRule="auto"/>
        <w:ind w:firstLine="720"/>
      </w:pPr>
      <w:r>
        <w:t>- QCVN 07-2016/BXD: Quy chuẩn kỹ thuật quốc gia về các công trình Hạ tầng kỹ thuật.</w:t>
      </w:r>
    </w:p>
    <w:p w14:paraId="59C4D168" w14:textId="77777777" w:rsidR="00596905" w:rsidRDefault="00596905" w:rsidP="00A33372">
      <w:pPr>
        <w:spacing w:after="0" w:line="276" w:lineRule="auto"/>
        <w:ind w:firstLine="720"/>
      </w:pPr>
      <w:r>
        <w:lastRenderedPageBreak/>
        <w:t>- Căn cứ Quyết định 959/QĐ-EVN ngày 26/07/2021 Về việc ban hành Quy trình an toàn Điện trong Tập đoàn Điện lực Quốc Gia Việt Nam;</w:t>
      </w:r>
    </w:p>
    <w:p w14:paraId="6EA2653C" w14:textId="77777777" w:rsidR="00596905" w:rsidRDefault="00596905" w:rsidP="00A33372">
      <w:pPr>
        <w:spacing w:after="0" w:line="276" w:lineRule="auto"/>
        <w:ind w:firstLine="720"/>
      </w:pPr>
      <w:r>
        <w:t>- Căn cứ TCXDVN263: :2002 Lắp đặt cáp và dây điện cho các công trình công nghiệp.</w:t>
      </w:r>
    </w:p>
    <w:p w14:paraId="6712A28F" w14:textId="77777777" w:rsidR="00596905" w:rsidRDefault="00596905" w:rsidP="00A33372">
      <w:pPr>
        <w:spacing w:after="0" w:line="276" w:lineRule="auto"/>
        <w:ind w:firstLine="720"/>
      </w:pPr>
      <w:r>
        <w:t>- Căn cứ Quy chuẩn kỹ thuật quốc gia về an toàn điện: QCVN 01:2020/BCT.</w:t>
      </w:r>
    </w:p>
    <w:p w14:paraId="50F33A37" w14:textId="77777777" w:rsidR="00596905" w:rsidRDefault="00596905" w:rsidP="00A33372">
      <w:pPr>
        <w:spacing w:after="0" w:line="276" w:lineRule="auto"/>
        <w:ind w:firstLine="720"/>
      </w:pPr>
      <w:r>
        <w:t>- QCVN 07-3:2023/BXD, Quy chuẩn kỹ thuật quốc gia về Hệ thống công trình hạ tầng kỹ thuật – Công trình hào và tuy len kỹ thuật.</w:t>
      </w:r>
    </w:p>
    <w:p w14:paraId="1E0D29E6" w14:textId="77777777" w:rsidR="00596905" w:rsidRDefault="00596905" w:rsidP="00A33372">
      <w:pPr>
        <w:spacing w:after="0" w:line="276" w:lineRule="auto"/>
        <w:ind w:firstLine="720"/>
      </w:pPr>
      <w:r>
        <w:t>- QCVN 07-5:2023/BXD, Quy chuẩn kỹ thuật quốc gia về Hệ thống công trình hạ tầng kỹ thuật – Công trình cấp điện.</w:t>
      </w:r>
    </w:p>
    <w:p w14:paraId="7A0D0ED4" w14:textId="77777777" w:rsidR="00596905" w:rsidRDefault="00596905" w:rsidP="00A33372">
      <w:pPr>
        <w:spacing w:after="0" w:line="276" w:lineRule="auto"/>
        <w:ind w:firstLine="720"/>
      </w:pPr>
      <w:r>
        <w:t>- QCVN 07-7:2023/BXD, Quy chuẩn kỹ thuật quốc gia về Hệ thống công trình hạ tầng kỹ thuật – Công trình chiếu sáng.</w:t>
      </w:r>
    </w:p>
    <w:p w14:paraId="61FED6A5" w14:textId="77777777" w:rsidR="00596905" w:rsidRDefault="00596905" w:rsidP="00A33372">
      <w:pPr>
        <w:spacing w:after="0" w:line="276" w:lineRule="auto"/>
        <w:ind w:firstLine="720"/>
      </w:pPr>
      <w:r>
        <w:t>- Căn cứ TCXDVN 259:2001: Tiêu chuẩn thiết kế chiếu sáng đường, đường phố và quảng trường.</w:t>
      </w:r>
    </w:p>
    <w:p w14:paraId="087D6D0F" w14:textId="77777777" w:rsidR="00596905" w:rsidRDefault="00596905" w:rsidP="00A33372">
      <w:pPr>
        <w:spacing w:after="0" w:line="276" w:lineRule="auto"/>
        <w:ind w:firstLine="720"/>
      </w:pPr>
      <w:r>
        <w:t>- TCVN 11843:2017 - Bóng đèn LED, đèn điện LED, và module LED - Phương pháp thử;</w:t>
      </w:r>
    </w:p>
    <w:p w14:paraId="4ECD8841" w14:textId="77777777" w:rsidR="00596905" w:rsidRDefault="00596905" w:rsidP="00A33372">
      <w:pPr>
        <w:spacing w:after="0" w:line="276" w:lineRule="auto"/>
        <w:ind w:firstLine="720"/>
      </w:pPr>
      <w:r>
        <w:t>- TCVN 11844:2017 - Đèn LED - Hiệu suất năng lượng.</w:t>
      </w:r>
    </w:p>
    <w:p w14:paraId="3DF0FB1B" w14:textId="77777777" w:rsidR="00596905" w:rsidRDefault="00596905" w:rsidP="00A33372">
      <w:pPr>
        <w:spacing w:after="0" w:line="276" w:lineRule="auto"/>
        <w:ind w:firstLine="720"/>
      </w:pPr>
      <w:r>
        <w:t xml:space="preserve">- Tiêu chuẩn thiết kế chiếu sáng nhân tạo đường phố, quảng trường đô thị TCXDVN 259:2001; </w:t>
      </w:r>
    </w:p>
    <w:p w14:paraId="60DE1E50" w14:textId="77777777" w:rsidR="00596905" w:rsidRDefault="00596905" w:rsidP="00A33372">
      <w:pPr>
        <w:spacing w:after="0" w:line="276" w:lineRule="auto"/>
        <w:ind w:firstLine="720"/>
      </w:pPr>
      <w:r>
        <w:t>- Các Quy phạm nối đất và nối không các thiết bị điện TCVN 4756-89, Quy phạm trang bị điện 11 TCN-2006.</w:t>
      </w:r>
    </w:p>
    <w:p w14:paraId="443DC54B" w14:textId="77777777" w:rsidR="00596905" w:rsidRDefault="00596905" w:rsidP="00A33372">
      <w:pPr>
        <w:spacing w:after="0" w:line="276" w:lineRule="auto"/>
        <w:ind w:firstLine="720"/>
      </w:pPr>
      <w:r>
        <w:t>- TCVN 9385:2012 - Chống sét cho công trình xây dựng</w:t>
      </w:r>
    </w:p>
    <w:p w14:paraId="10C6AD1C" w14:textId="77777777" w:rsidR="00596905" w:rsidRDefault="00596905" w:rsidP="00A33372">
      <w:pPr>
        <w:spacing w:after="0" w:line="276" w:lineRule="auto"/>
        <w:ind w:firstLine="720"/>
      </w:pPr>
      <w:r>
        <w:t>- Quy phạm an toàn điện trong xây dựng TCVN 4086 : 1985</w:t>
      </w:r>
    </w:p>
    <w:p w14:paraId="30EBBD00" w14:textId="77777777" w:rsidR="00596905" w:rsidRDefault="00596905" w:rsidP="00A33372">
      <w:pPr>
        <w:spacing w:after="0" w:line="276" w:lineRule="auto"/>
        <w:ind w:firstLine="720"/>
      </w:pPr>
      <w:r>
        <w:t>- Tiêu chuẩn về thiết kế kết cấu thép TCVN 5575-91.</w:t>
      </w:r>
    </w:p>
    <w:p w14:paraId="5EBE7AD2" w14:textId="77777777" w:rsidR="00596905" w:rsidRDefault="00596905" w:rsidP="00A33372">
      <w:pPr>
        <w:spacing w:after="0" w:line="276" w:lineRule="auto"/>
        <w:ind w:firstLine="720"/>
      </w:pPr>
      <w:r>
        <w:t>- Các tiêu chuẩn, quy chuẩn Việt Nam hiện hành khác có liên quan.</w:t>
      </w:r>
    </w:p>
    <w:p w14:paraId="4C7AB19D" w14:textId="77777777" w:rsidR="00596905" w:rsidRPr="00A33372" w:rsidRDefault="00596905" w:rsidP="00A33372">
      <w:pPr>
        <w:spacing w:after="0" w:line="276" w:lineRule="auto"/>
        <w:ind w:firstLine="426"/>
        <w:rPr>
          <w:b/>
          <w:bCs/>
        </w:rPr>
      </w:pPr>
      <w:r w:rsidRPr="00A33372">
        <w:rPr>
          <w:b/>
          <w:bCs/>
        </w:rPr>
        <w:t xml:space="preserve"> 4. Yêu cầu về trình tự thi công, lắp đặt;</w:t>
      </w:r>
    </w:p>
    <w:p w14:paraId="19FCC062" w14:textId="77777777" w:rsidR="00596905" w:rsidRDefault="00596905" w:rsidP="00A33372">
      <w:pPr>
        <w:spacing w:after="0" w:line="276" w:lineRule="auto"/>
        <w:ind w:firstLine="720"/>
      </w:pPr>
      <w:r>
        <w:t>- Lập “Biện pháp thi công” thông qua Chủ đầu tư trước khi tiến hành thi công.</w:t>
      </w:r>
    </w:p>
    <w:p w14:paraId="106D3C1B" w14:textId="77777777" w:rsidR="00596905" w:rsidRDefault="00596905" w:rsidP="00A33372">
      <w:pPr>
        <w:spacing w:after="0" w:line="276" w:lineRule="auto"/>
        <w:ind w:firstLine="720"/>
      </w:pPr>
      <w:r>
        <w:t>- Tuân theo trình tự thi công kết cấu từ dưới lên trên, hoàn thiện từ trên xuống dưới công trình ngầm thi công trước. Trong điều kiện cho phép được thi công xen kẽ nhưng đảm bảo quy trình, quy phạm kỹ thuật. Lắp đặt thiết bị cấu kiện phải đảm bảo vị trí cao độ, thời điểm lắp.</w:t>
      </w:r>
    </w:p>
    <w:p w14:paraId="49A79CBE" w14:textId="77777777" w:rsidR="00596905" w:rsidRPr="00A33372" w:rsidRDefault="00596905" w:rsidP="00A33372">
      <w:pPr>
        <w:spacing w:after="0" w:line="276" w:lineRule="auto"/>
        <w:ind w:firstLine="426"/>
        <w:rPr>
          <w:b/>
          <w:bCs/>
        </w:rPr>
      </w:pPr>
      <w:r w:rsidRPr="00A33372">
        <w:rPr>
          <w:b/>
          <w:bCs/>
        </w:rPr>
        <w:t>5. Các yêu cầu vận hành thử nghiệm, an toàn.</w:t>
      </w:r>
    </w:p>
    <w:p w14:paraId="3E35030F" w14:textId="77777777" w:rsidR="00596905" w:rsidRDefault="00596905" w:rsidP="00A33372">
      <w:pPr>
        <w:spacing w:after="0" w:line="276" w:lineRule="auto"/>
        <w:ind w:firstLine="720"/>
      </w:pPr>
      <w:r>
        <w:t xml:space="preserve"> Thiết bị về điện, nước cho công trình phải đảm bảo về vận hành, thử không tải, có tải. An toàn khi sử dụng thiết bị, an toàn khi thi công.</w:t>
      </w:r>
    </w:p>
    <w:p w14:paraId="12C32EB8" w14:textId="77777777" w:rsidR="00596905" w:rsidRPr="00A33372" w:rsidRDefault="00596905" w:rsidP="00A33372">
      <w:pPr>
        <w:spacing w:after="0" w:line="276" w:lineRule="auto"/>
        <w:ind w:firstLine="426"/>
        <w:rPr>
          <w:b/>
          <w:bCs/>
        </w:rPr>
      </w:pPr>
      <w:r w:rsidRPr="00A33372">
        <w:rPr>
          <w:b/>
          <w:bCs/>
        </w:rPr>
        <w:t>6. Các yêu cầu về phòng, chống cháy, nổ.</w:t>
      </w:r>
    </w:p>
    <w:p w14:paraId="64E3FB45" w14:textId="77777777" w:rsidR="00596905" w:rsidRDefault="00596905" w:rsidP="00A33372">
      <w:pPr>
        <w:spacing w:after="0" w:line="276" w:lineRule="auto"/>
        <w:ind w:firstLine="720"/>
      </w:pPr>
      <w:r>
        <w:lastRenderedPageBreak/>
        <w:t>- Công nhân và cán bộ trong công trường đều được hướng dẫn về các biện pháp ngăn ngừa, phòng chống cháy nổ trong thi công, cách sử dụng các dụng cụ, phương tiện cứu hỏa khi có hỏa khi có hỏa hoạn xảy ra.</w:t>
      </w:r>
    </w:p>
    <w:p w14:paraId="192B6946" w14:textId="77777777" w:rsidR="00596905" w:rsidRDefault="00596905" w:rsidP="00A33372">
      <w:pPr>
        <w:spacing w:after="0" w:line="276" w:lineRule="auto"/>
        <w:ind w:firstLine="720"/>
      </w:pPr>
      <w:r>
        <w:t>- Nhà thầu phải niêm yết các quy định về PCCC, các bảng chỉ dẫn và biển báo tại những vị trí dễ gây hỏa hoạn để mọi người dễ dàng nhận biết.</w:t>
      </w:r>
    </w:p>
    <w:p w14:paraId="317268CA" w14:textId="77777777" w:rsidR="00596905" w:rsidRDefault="00596905" w:rsidP="00A33372">
      <w:pPr>
        <w:spacing w:after="0" w:line="276" w:lineRule="auto"/>
        <w:ind w:firstLine="720"/>
      </w:pPr>
      <w:r>
        <w:t>- Cán bộ của công trường sẽ thường xuyên kiểm tra và nhắc nhở mọi người nhằm hạn chế những nguy cơ gây hỏa hoạn để mọi người cần lưu ý.</w:t>
      </w:r>
    </w:p>
    <w:p w14:paraId="0D2AD65E" w14:textId="77777777" w:rsidR="00596905" w:rsidRDefault="00596905" w:rsidP="00A33372">
      <w:pPr>
        <w:spacing w:after="0" w:line="276" w:lineRule="auto"/>
        <w:ind w:firstLine="720"/>
      </w:pPr>
      <w:r>
        <w:t>- Nhà thầu sẽ cung cấp và đặt các bình cứu hỏa văn phòng công trường, tại các kho và những nơi nguy hiểm dễ xảy ra hỏa hoạn.</w:t>
      </w:r>
    </w:p>
    <w:p w14:paraId="3F6E847A" w14:textId="77777777" w:rsidR="00596905" w:rsidRPr="00A33372" w:rsidRDefault="00596905" w:rsidP="00A33372">
      <w:pPr>
        <w:spacing w:after="0" w:line="276" w:lineRule="auto"/>
        <w:ind w:firstLine="426"/>
        <w:rPr>
          <w:b/>
          <w:bCs/>
        </w:rPr>
      </w:pPr>
      <w:r w:rsidRPr="00A33372">
        <w:rPr>
          <w:b/>
          <w:bCs/>
        </w:rPr>
        <w:t>7. Các yêu cầu về vệ sinh môi trường.</w:t>
      </w:r>
    </w:p>
    <w:p w14:paraId="0DDD1C3B" w14:textId="77777777" w:rsidR="00596905" w:rsidRDefault="00596905" w:rsidP="00A33372">
      <w:pPr>
        <w:spacing w:after="0" w:line="276" w:lineRule="auto"/>
        <w:ind w:firstLine="720"/>
      </w:pPr>
      <w:r>
        <w:t>- Nhà thầu phải tuyệt đối tuân những quy định về bảo đảm an toàn và vệ sinh môi trường trong quá trình xây dựng. Cụ thể:</w:t>
      </w:r>
    </w:p>
    <w:p w14:paraId="7690CA17" w14:textId="417C4119" w:rsidR="00596905" w:rsidRDefault="00596905" w:rsidP="00A33372">
      <w:pPr>
        <w:spacing w:after="0" w:line="276" w:lineRule="auto"/>
        <w:ind w:firstLine="720"/>
      </w:pPr>
      <w:r>
        <w:t>+ Khu vực lán trại sinh hoạt tạm trong công trường phải đảm bảo vệ sinh. Hệ thống thoát nước thải, thoát nước sinh hoạt được làm cẩn thận và phải được nối với đường ống thoát nước chung của khu vực.</w:t>
      </w:r>
    </w:p>
    <w:p w14:paraId="2BA5B936" w14:textId="48997076" w:rsidR="00596905" w:rsidRDefault="00596905" w:rsidP="00A33372">
      <w:pPr>
        <w:spacing w:after="0" w:line="276" w:lineRule="auto"/>
        <w:ind w:firstLine="720"/>
      </w:pPr>
      <w:r>
        <w:t>+ Các thiết bị máy móc thi công cũng phải đảm bảo về điều kiện chống ồn bằng lắp hệ thống giảm thanh, mức độ thải khí cũng phải đạt trong giới hạn cho phép.</w:t>
      </w:r>
    </w:p>
    <w:p w14:paraId="0FBF12FA" w14:textId="7933859A" w:rsidR="00596905" w:rsidRDefault="00596905" w:rsidP="00A33372">
      <w:pPr>
        <w:spacing w:after="0" w:line="276" w:lineRule="auto"/>
        <w:ind w:firstLine="720"/>
      </w:pPr>
      <w:r>
        <w:t>+ Xe chở vật liệu phải tuân thủ theo quy định của nhà nước, vật liệu tập kết thi công phải được che phủ để tránh gió vào không khí. Bố trí xe tưới nước để giảm bụi bẩn.</w:t>
      </w:r>
    </w:p>
    <w:p w14:paraId="3047C9CD" w14:textId="3727494B" w:rsidR="00596905" w:rsidRDefault="00596905" w:rsidP="00A33372">
      <w:pPr>
        <w:spacing w:after="0" w:line="276" w:lineRule="auto"/>
        <w:ind w:firstLine="720"/>
      </w:pPr>
      <w:r>
        <w:t>+ Vật liệu thừa, chất thải phải được gom vào nơi quy định, vận chuyển đổ về nơi xử lý.</w:t>
      </w:r>
    </w:p>
    <w:p w14:paraId="4D15942A" w14:textId="77777777" w:rsidR="00596905" w:rsidRPr="00A33372" w:rsidRDefault="00596905" w:rsidP="00A33372">
      <w:pPr>
        <w:spacing w:after="0" w:line="276" w:lineRule="auto"/>
        <w:ind w:firstLine="426"/>
        <w:rPr>
          <w:b/>
          <w:bCs/>
        </w:rPr>
      </w:pPr>
      <w:r w:rsidRPr="00A33372">
        <w:rPr>
          <w:b/>
          <w:bCs/>
        </w:rPr>
        <w:t>8. Các yêu cầu về an toàn lao động.</w:t>
      </w:r>
    </w:p>
    <w:p w14:paraId="4FE1EF2A" w14:textId="56DA3AF1" w:rsidR="00596905" w:rsidRDefault="00596905" w:rsidP="00A33372">
      <w:pPr>
        <w:spacing w:after="0" w:line="276" w:lineRule="auto"/>
        <w:ind w:firstLine="720"/>
      </w:pPr>
      <w:r>
        <w:t>- Để đảm bảo cho con người, máy móc thiết bị thi công, nhà thầu thi công phải chấp hành nghiêm chỉnh nội quy, quy phạm kỹ thuật an toàn, bảo hộ lao động theo qui định hiện hành của nhà nước. Căn cứ vào tình hình thực tế của doanh nghiệp, nhà thầu triển khai các công tác đảm bảo an toàn lao động theo các bước:</w:t>
      </w:r>
    </w:p>
    <w:p w14:paraId="29A10B48" w14:textId="0D1407BF" w:rsidR="00596905" w:rsidRDefault="00596905" w:rsidP="00A33372">
      <w:pPr>
        <w:spacing w:after="0" w:line="276" w:lineRule="auto"/>
        <w:ind w:firstLine="720"/>
      </w:pPr>
      <w:r>
        <w:t>+ Thành lập bộ máy hoạt động về công tác an toàn lao động: ví dụ ban ATLĐ và phân công lãnh đạo phụ trách trực tiếp.</w:t>
      </w:r>
    </w:p>
    <w:p w14:paraId="223A87A6" w14:textId="5479D5D8" w:rsidR="00596905" w:rsidRDefault="00596905" w:rsidP="00A33372">
      <w:pPr>
        <w:spacing w:after="0" w:line="276" w:lineRule="auto"/>
        <w:ind w:firstLine="720"/>
      </w:pPr>
      <w:r>
        <w:t>+ Lập biện pháp an toàn chi tiết cho từng công việc, phổ biến, huấn luyện cho những người trực tiếp thi công.</w:t>
      </w:r>
    </w:p>
    <w:p w14:paraId="3A72B183" w14:textId="610DA6CB" w:rsidR="00596905" w:rsidRDefault="00596905" w:rsidP="00A33372">
      <w:pPr>
        <w:spacing w:after="0" w:line="276" w:lineRule="auto"/>
        <w:ind w:firstLine="720"/>
      </w:pPr>
      <w:r>
        <w:t>+ Toàn bộ công nhân làm việc trên công trường đều được học nội quy an toàn lao động. Khi làm việc phải đội mũ cứng, mặc quần áo bảo hộ lao động, đi giày bảo hộ lao động và đeo kính khi cần thiết.</w:t>
      </w:r>
    </w:p>
    <w:p w14:paraId="5D10CFFF" w14:textId="63C4A617" w:rsidR="00596905" w:rsidRDefault="00596905" w:rsidP="00A33372">
      <w:pPr>
        <w:spacing w:after="0" w:line="276" w:lineRule="auto"/>
        <w:ind w:firstLine="720"/>
      </w:pPr>
      <w:r>
        <w:lastRenderedPageBreak/>
        <w:t>+ Có biện pháp tuyên truyền, giáo dục nội quy an toàn lao động cho cán bộ và công nhân. Tại những vị trí thoáng, dễ nhìn nhà thầu sẽ kẻ những khẩu hiệu mang tính nhắc nhở mọi người tham gia lao động trên công trường về ý thức an toàn lao động.</w:t>
      </w:r>
    </w:p>
    <w:p w14:paraId="69084892" w14:textId="0A24B339" w:rsidR="00596905" w:rsidRDefault="00596905" w:rsidP="00A33372">
      <w:pPr>
        <w:spacing w:after="0" w:line="276" w:lineRule="auto"/>
        <w:ind w:firstLine="720"/>
      </w:pPr>
      <w:r>
        <w:t>+ Tại văn phòng công trường, trang bị tủ thuốc cấp cứu, có bảng các số điện thoại cần thiết như cấp cứu, cứu hỏa, công an. Ban chỉ hu công trường có hợp đồng với bệnh viện địa phương về việc vận chuyển và cấp cứu tai nạn trên công trường.</w:t>
      </w:r>
    </w:p>
    <w:p w14:paraId="7DD4E832" w14:textId="3CFC56A4" w:rsidR="00596905" w:rsidRDefault="00596905" w:rsidP="00A33372">
      <w:pPr>
        <w:spacing w:after="0" w:line="276" w:lineRule="auto"/>
        <w:ind w:firstLine="720"/>
      </w:pPr>
      <w:r>
        <w:t>+ Nhà thầu tiến hành mua các loại bảo hiểm sau: Bảo hiểm tai nạn và bảo hiểm xã hội cho người lao động; bảo hiểm trách nhiệm cho bên thứ 3; bảo hiểm thiết bị và xe cộ thi công.</w:t>
      </w:r>
    </w:p>
    <w:p w14:paraId="6BDCBA3A" w14:textId="77777777" w:rsidR="00596905" w:rsidRPr="00A33372" w:rsidRDefault="00596905" w:rsidP="00A33372">
      <w:pPr>
        <w:spacing w:after="0" w:line="276" w:lineRule="auto"/>
        <w:ind w:firstLine="426"/>
        <w:rPr>
          <w:b/>
          <w:bCs/>
        </w:rPr>
      </w:pPr>
      <w:r w:rsidRPr="00A33372">
        <w:rPr>
          <w:b/>
          <w:bCs/>
        </w:rPr>
        <w:t>9. Biện pháp huy động nhân lực và thiết bị phục vụ thi công.</w:t>
      </w:r>
    </w:p>
    <w:p w14:paraId="0DE12AD9" w14:textId="77777777" w:rsidR="00596905" w:rsidRDefault="00596905" w:rsidP="00A33372">
      <w:pPr>
        <w:spacing w:after="0" w:line="276" w:lineRule="auto"/>
        <w:ind w:firstLine="720"/>
      </w:pPr>
      <w:r>
        <w:t>a. Nhân công</w:t>
      </w:r>
    </w:p>
    <w:p w14:paraId="12359057" w14:textId="77777777" w:rsidR="00596905" w:rsidRDefault="00596905" w:rsidP="00A33372">
      <w:pPr>
        <w:spacing w:after="0" w:line="276" w:lineRule="auto"/>
        <w:ind w:firstLine="720"/>
      </w:pPr>
      <w:r>
        <w:t>- Chất lượng và tính hợp lý của nhân công do Nhà thầu cung cấp phải phù hợp với các yêu cầu về thợ lành nghề ghi trong thoả thuận với Chủ đầu tư.</w:t>
      </w:r>
    </w:p>
    <w:p w14:paraId="2BEF145A" w14:textId="77777777" w:rsidR="00596905" w:rsidRDefault="00596905" w:rsidP="00A33372">
      <w:pPr>
        <w:spacing w:after="0" w:line="276" w:lineRule="auto"/>
        <w:ind w:firstLine="720"/>
      </w:pPr>
      <w:r>
        <w:t>- Việc thanh tra của Chủ đầu tư về nhân công sẽ không làm giảm nghĩa vụ của nhà thầu về việc đảm bảo số lượng nhân công đầy đủ trong quá trình thi công.</w:t>
      </w:r>
    </w:p>
    <w:p w14:paraId="0DEC83C2" w14:textId="77777777" w:rsidR="00596905" w:rsidRDefault="00596905" w:rsidP="00A33372">
      <w:pPr>
        <w:spacing w:after="0" w:line="276" w:lineRule="auto"/>
        <w:ind w:firstLine="720"/>
      </w:pPr>
      <w:r>
        <w:t>b. Thiết bị thi công</w:t>
      </w:r>
    </w:p>
    <w:p w14:paraId="458772C2" w14:textId="77777777" w:rsidR="00596905" w:rsidRDefault="00596905" w:rsidP="00A33372">
      <w:pPr>
        <w:spacing w:after="0" w:line="276" w:lineRule="auto"/>
        <w:ind w:firstLine="720"/>
      </w:pPr>
      <w:r>
        <w:t>- Trước khi thi công, Nhà thầu phải đệ trình cho Giám sát của Chủ đầu tư đầy đủ, chi tiết về chương trình, kế hoạch thi công, bao gồm cả số lượng, chủng loại thiết bị sử dụng. Các thiết bị cơ giới như: máy trộn bê tông, vữa, máy hàn, máy đầm, … phải có chứng chỉ kiểm định an toàn, còn hiệu lực trong quá trình thi công do các cơ quan chức năng cấp.</w:t>
      </w:r>
    </w:p>
    <w:p w14:paraId="784A48AD" w14:textId="77777777" w:rsidR="00596905" w:rsidRDefault="00596905" w:rsidP="00A33372">
      <w:pPr>
        <w:spacing w:after="0" w:line="276" w:lineRule="auto"/>
        <w:ind w:firstLine="720"/>
      </w:pPr>
      <w:r>
        <w:t>- Kỹ sư giám sát của Chủ đầu tư có quyền quyết định bỏ hay thay thế những thiết bị nào mà kỹ sư tư vấn giám sát cho là không phù hợp với việc thi công.</w:t>
      </w:r>
    </w:p>
    <w:p w14:paraId="54D30AA2" w14:textId="77777777" w:rsidR="00596905" w:rsidRPr="00A33372" w:rsidRDefault="00596905" w:rsidP="00A33372">
      <w:pPr>
        <w:spacing w:after="0" w:line="276" w:lineRule="auto"/>
        <w:ind w:firstLine="426"/>
        <w:rPr>
          <w:b/>
          <w:bCs/>
        </w:rPr>
      </w:pPr>
      <w:r w:rsidRPr="00A33372">
        <w:rPr>
          <w:b/>
          <w:bCs/>
        </w:rPr>
        <w:t>10. Yêu cầu về biện pháp tổ chức thi công tổng thể và các hạng mục.</w:t>
      </w:r>
    </w:p>
    <w:p w14:paraId="3F4BD75F" w14:textId="77777777" w:rsidR="00596905" w:rsidRDefault="00596905" w:rsidP="00A33372">
      <w:pPr>
        <w:spacing w:after="0" w:line="276" w:lineRule="auto"/>
        <w:ind w:firstLine="720"/>
      </w:pPr>
      <w:r>
        <w:t>- Yêu cầu nhà thầu phải có thuyết minh và bản vẽ biện pháp thi công phù hợp với thiết kế và tiêu chuẩn hiện hành.</w:t>
      </w:r>
    </w:p>
    <w:p w14:paraId="5B922E47" w14:textId="77777777" w:rsidR="00596905" w:rsidRPr="00A33372" w:rsidRDefault="00596905" w:rsidP="00A33372">
      <w:pPr>
        <w:spacing w:after="0" w:line="276" w:lineRule="auto"/>
        <w:ind w:firstLine="426"/>
        <w:rPr>
          <w:b/>
          <w:bCs/>
        </w:rPr>
      </w:pPr>
      <w:r w:rsidRPr="00A33372">
        <w:rPr>
          <w:b/>
          <w:bCs/>
        </w:rPr>
        <w:t>11. Yêu cầu về hệ thống kiểm tra, giám sát chất lượng của nhà thầu.</w:t>
      </w:r>
    </w:p>
    <w:p w14:paraId="120640AC" w14:textId="77777777" w:rsidR="00596905" w:rsidRDefault="00596905" w:rsidP="00A33372">
      <w:pPr>
        <w:spacing w:after="0" w:line="276" w:lineRule="auto"/>
        <w:ind w:firstLine="720"/>
      </w:pPr>
      <w:r>
        <w:t>Nhà thầu bố trí đủ số lượng cán bộ giám sát có trình độ như đã nêu trong BDL thực hiện giám sát thi công thường xuyên, liên tục trên công trường để thực hiện giám sát tất cả các công đoạn thi công, tiếp thu, xử lý các vấn đề liên quan đến chất lượng, tiến độ thi công và các phát sinh khác theo yêu cầu phía giám sát của chủ đầu tư.</w:t>
      </w:r>
    </w:p>
    <w:p w14:paraId="14EBC906" w14:textId="77777777" w:rsidR="00596905" w:rsidRPr="00A33372" w:rsidRDefault="00596905" w:rsidP="00A33372">
      <w:pPr>
        <w:spacing w:after="0" w:line="276" w:lineRule="auto"/>
        <w:ind w:firstLine="426"/>
        <w:rPr>
          <w:b/>
          <w:bCs/>
        </w:rPr>
      </w:pPr>
      <w:r w:rsidRPr="00A33372">
        <w:rPr>
          <w:b/>
          <w:bCs/>
        </w:rPr>
        <w:t xml:space="preserve">12. Yêu cầu khác căn cứ quy mô, tính chất của gói thầu: </w:t>
      </w:r>
    </w:p>
    <w:p w14:paraId="348BAA0C" w14:textId="77777777" w:rsidR="00596905" w:rsidRDefault="00596905" w:rsidP="00A33372">
      <w:pPr>
        <w:spacing w:after="0" w:line="276" w:lineRule="auto"/>
        <w:ind w:firstLine="720"/>
      </w:pPr>
      <w:r>
        <w:lastRenderedPageBreak/>
        <w:t>a. Nhà thầu cần chuẩn bị lao động, vật liệu, công cụ, thiết bị nhà xưởng cần thiết cho các công việc sau:</w:t>
      </w:r>
    </w:p>
    <w:p w14:paraId="6D07510B" w14:textId="77777777" w:rsidR="00596905" w:rsidRDefault="00596905" w:rsidP="00A33372">
      <w:pPr>
        <w:spacing w:after="0" w:line="276" w:lineRule="auto"/>
        <w:ind w:firstLine="720"/>
      </w:pPr>
      <w:r>
        <w:t>- Lập lưới toạ độ và cao độ thiết kế và kiểm tra độ sai lệch của tim trục công trình trước khi thi công và tiến hành các công tác đo đạc kiểm tra thường xuyên trong quá trình thi công;</w:t>
      </w:r>
    </w:p>
    <w:p w14:paraId="4CBD0629" w14:textId="77777777" w:rsidR="00596905" w:rsidRDefault="00596905" w:rsidP="00A33372">
      <w:pPr>
        <w:spacing w:after="0" w:line="276" w:lineRule="auto"/>
        <w:ind w:firstLine="720"/>
      </w:pPr>
      <w:r>
        <w:t>- Nhà thầu phải chấp hành nghiêm chỉnh quy phạm an toàn lao động và hoàn toàn chịu trách nhiệm về bảo hiểm, an toàn thi công, an toàn trong phòng chống cháy nổ cho người và phương tiện thi công công trình theo các quy định hiện hành về mọi tai nạn, sự cố, kể cả tai nạn lao động xảy ra trong giai đoạn chuẩn bị thi công.</w:t>
      </w:r>
    </w:p>
    <w:p w14:paraId="0AA233C8" w14:textId="77777777" w:rsidR="00596905" w:rsidRDefault="00596905" w:rsidP="00A33372">
      <w:pPr>
        <w:spacing w:after="0" w:line="276" w:lineRule="auto"/>
        <w:ind w:firstLine="720"/>
      </w:pPr>
      <w:r>
        <w:t>b. Định vị</w:t>
      </w:r>
    </w:p>
    <w:p w14:paraId="0BA92DD1" w14:textId="77777777" w:rsidR="00596905" w:rsidRDefault="00596905" w:rsidP="00A33372">
      <w:pPr>
        <w:spacing w:after="0" w:line="276" w:lineRule="auto"/>
        <w:ind w:firstLine="720"/>
      </w:pPr>
      <w:r>
        <w:t>- Nhà thầu phải xác định vị trí, cao độ của công trình trên cơ sở các số liệu gốc của hiện trường do CBKT bên mời thầu cung cấp và phải chịu trách nhiệm về độ chính xác của công việc định vị này.</w:t>
      </w:r>
    </w:p>
    <w:p w14:paraId="744F5A34" w14:textId="77777777" w:rsidR="00596905" w:rsidRDefault="00596905" w:rsidP="00A33372">
      <w:pPr>
        <w:spacing w:after="0" w:line="276" w:lineRule="auto"/>
        <w:ind w:firstLine="720"/>
      </w:pPr>
      <w:r>
        <w:t>- Phương pháp đo, thiết bị phải phù hợp với mục tiêu và độ chính xác của công tác đo đạc.</w:t>
      </w:r>
    </w:p>
    <w:p w14:paraId="23446E56" w14:textId="77777777" w:rsidR="00596905" w:rsidRDefault="00596905" w:rsidP="00A33372">
      <w:pPr>
        <w:spacing w:after="0" w:line="276" w:lineRule="auto"/>
        <w:ind w:firstLine="720"/>
      </w:pPr>
      <w:r>
        <w:t>- Các số liệu định vị, các chi tiết kết cấu cần phải đệ trình trước khi tiến hành thi công. Nhà thầu phải cung cấp thiết bị, phương tiện, nhân lực nhân viên kỹ thuật và vật liệu cần thiết để CBKT A có thể kiểm tra công tác định vị và những việc liên quan mà không được đòi hỏi bất kỳ một chi phí phát sinh nào.</w:t>
      </w:r>
    </w:p>
    <w:p w14:paraId="13498D05" w14:textId="77777777" w:rsidR="00596905" w:rsidRDefault="00596905" w:rsidP="00A33372">
      <w:pPr>
        <w:spacing w:after="0" w:line="276" w:lineRule="auto"/>
        <w:ind w:firstLine="720"/>
      </w:pPr>
      <w:r>
        <w:t>- Các sai số đo đạc định vị kết cấu phải nằm trong phạm vị giới hạn cho phép thiết kế quy định và quy phạm xây dựng hiện hành.</w:t>
      </w:r>
    </w:p>
    <w:p w14:paraId="07B3C001" w14:textId="77777777" w:rsidR="00596905" w:rsidRDefault="00596905" w:rsidP="00A33372">
      <w:pPr>
        <w:spacing w:after="0" w:line="276" w:lineRule="auto"/>
        <w:ind w:firstLine="720"/>
      </w:pPr>
      <w:r>
        <w:t>- Nhà thầu phải chịu mọi chi phí cho những việc phát sinh cần phải làm do định vị trí của các cấu kiện không phù hợp với các chỉ dẫn nói trên.</w:t>
      </w:r>
    </w:p>
    <w:p w14:paraId="15D988E8" w14:textId="77777777" w:rsidR="00596905" w:rsidRPr="00A33372" w:rsidRDefault="00596905" w:rsidP="00A33372">
      <w:pPr>
        <w:spacing w:after="0" w:line="276" w:lineRule="auto"/>
        <w:ind w:firstLine="426"/>
        <w:rPr>
          <w:b/>
          <w:bCs/>
        </w:rPr>
      </w:pPr>
      <w:r w:rsidRPr="00A33372">
        <w:rPr>
          <w:b/>
          <w:bCs/>
        </w:rPr>
        <w:t>IV. Các bản vẽ</w:t>
      </w:r>
    </w:p>
    <w:p w14:paraId="5565FC01" w14:textId="77777777" w:rsidR="00596905" w:rsidRDefault="00596905" w:rsidP="00A33372">
      <w:pPr>
        <w:spacing w:after="0" w:line="276" w:lineRule="auto"/>
        <w:ind w:firstLine="720"/>
      </w:pPr>
      <w:r>
        <w:t>E-HSMT này gồm có các bản vẽ trong danh mục sau đây:</w:t>
      </w:r>
    </w:p>
    <w:p w14:paraId="44819665" w14:textId="77777777" w:rsidR="00596905" w:rsidRDefault="00596905" w:rsidP="00A33372">
      <w:pPr>
        <w:spacing w:after="0" w:line="276" w:lineRule="auto"/>
        <w:ind w:firstLine="720"/>
      </w:pPr>
      <w:r>
        <w:t>(Ghi chú: Hồ sơ thiết kế, các bản vẽ là tệp tin PDF/Word/CAD cùng E-HSMT trên Hệ thống).</w:t>
      </w:r>
    </w:p>
    <w:p w14:paraId="7A495BE5" w14:textId="77777777" w:rsidR="00D57A03" w:rsidRDefault="00D57A03" w:rsidP="00A33372">
      <w:pPr>
        <w:spacing w:after="0" w:line="276" w:lineRule="auto"/>
      </w:pPr>
    </w:p>
    <w:sectPr w:rsidR="00D57A03" w:rsidSect="00C34B07">
      <w:pgSz w:w="11906" w:h="16838"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22"/>
    <w:rsid w:val="00560F22"/>
    <w:rsid w:val="00596905"/>
    <w:rsid w:val="00A33372"/>
    <w:rsid w:val="00C34B07"/>
    <w:rsid w:val="00D57A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AA70"/>
  <w15:chartTrackingRefBased/>
  <w15:docId w15:val="{1B077C23-5AA9-4210-8DE7-A22AC6EA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2417</Words>
  <Characters>13778</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2025-11-17T12:29:00Z</dcterms:created>
  <dcterms:modified xsi:type="dcterms:W3CDTF">2025-11-17T12:37:00Z</dcterms:modified>
</cp:coreProperties>
</file>