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3EA5" w14:textId="77777777" w:rsidR="00BB0AB4" w:rsidRPr="00BB0AB4" w:rsidRDefault="00BB0AB4" w:rsidP="00BB0AB4">
      <w:pPr>
        <w:spacing w:before="80" w:after="80" w:line="264" w:lineRule="auto"/>
        <w:ind w:firstLine="709"/>
        <w:rPr>
          <w:b/>
          <w:sz w:val="28"/>
          <w:szCs w:val="28"/>
          <w:lang w:val="es-ES"/>
        </w:rPr>
      </w:pPr>
      <w:r w:rsidRPr="00BB0AB4">
        <w:rPr>
          <w:b/>
          <w:sz w:val="28"/>
          <w:szCs w:val="28"/>
          <w:lang w:val="es-ES"/>
        </w:rPr>
        <w:t>Mục 3. Tiêu chuẩn đánh giá về kỹ thuật</w:t>
      </w:r>
    </w:p>
    <w:p w14:paraId="50F92B9D" w14:textId="77777777" w:rsidR="00BB0AB4" w:rsidRPr="00BB0AB4" w:rsidRDefault="00BB0AB4" w:rsidP="00BB0AB4">
      <w:pPr>
        <w:pStyle w:val="Style11"/>
        <w:tabs>
          <w:tab w:val="left" w:leader="dot" w:pos="8424"/>
        </w:tabs>
        <w:spacing w:line="240" w:lineRule="auto"/>
        <w:ind w:firstLine="709"/>
        <w:jc w:val="both"/>
        <w:rPr>
          <w:sz w:val="28"/>
          <w:szCs w:val="28"/>
          <w:lang w:val="es-ES"/>
        </w:rPr>
      </w:pPr>
    </w:p>
    <w:tbl>
      <w:tblPr>
        <w:tblpPr w:leftFromText="180" w:rightFromText="180" w:bottomFromText="160" w:vertAnchor="text" w:horzAnchor="margin" w:tblpY="13"/>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400"/>
        <w:gridCol w:w="3827"/>
        <w:gridCol w:w="2199"/>
      </w:tblGrid>
      <w:tr w:rsidR="00BB0AB4" w:rsidRPr="00BB0AB4" w14:paraId="635F3F0F" w14:textId="77777777" w:rsidTr="009335C0">
        <w:trPr>
          <w:tblHeader/>
        </w:trPr>
        <w:tc>
          <w:tcPr>
            <w:tcW w:w="714" w:type="dxa"/>
            <w:tcBorders>
              <w:top w:val="single" w:sz="4" w:space="0" w:color="auto"/>
              <w:left w:val="single" w:sz="4" w:space="0" w:color="auto"/>
              <w:bottom w:val="single" w:sz="4" w:space="0" w:color="auto"/>
              <w:right w:val="single" w:sz="4" w:space="0" w:color="auto"/>
            </w:tcBorders>
            <w:hideMark/>
          </w:tcPr>
          <w:p w14:paraId="020B008D" w14:textId="77777777" w:rsidR="00BB0AB4" w:rsidRPr="00BB0AB4" w:rsidRDefault="00BB0AB4" w:rsidP="009335C0">
            <w:pPr>
              <w:pStyle w:val="TOC1"/>
              <w:framePr w:hSpace="0" w:wrap="auto" w:vAnchor="margin" w:hAnchor="text" w:yAlign="inline"/>
              <w:jc w:val="center"/>
              <w:rPr>
                <w:rFonts w:ascii="Times New Roman" w:hAnsi="Times New Roman" w:cs="Times New Roman"/>
                <w:b/>
                <w:bCs/>
                <w:color w:val="auto"/>
              </w:rPr>
            </w:pPr>
            <w:r w:rsidRPr="00BB0AB4">
              <w:rPr>
                <w:rFonts w:ascii="Times New Roman" w:hAnsi="Times New Roman" w:cs="Times New Roman"/>
                <w:b/>
                <w:bCs/>
                <w:color w:val="auto"/>
              </w:rPr>
              <w:t>TT</w:t>
            </w:r>
          </w:p>
        </w:tc>
        <w:tc>
          <w:tcPr>
            <w:tcW w:w="2400" w:type="dxa"/>
            <w:tcBorders>
              <w:top w:val="single" w:sz="4" w:space="0" w:color="auto"/>
              <w:left w:val="single" w:sz="4" w:space="0" w:color="auto"/>
              <w:bottom w:val="single" w:sz="4" w:space="0" w:color="auto"/>
              <w:right w:val="single" w:sz="4" w:space="0" w:color="auto"/>
            </w:tcBorders>
            <w:hideMark/>
          </w:tcPr>
          <w:p w14:paraId="7B20E4E1" w14:textId="77777777" w:rsidR="00BB0AB4" w:rsidRPr="00BB0AB4" w:rsidRDefault="00BB0AB4" w:rsidP="009335C0">
            <w:pPr>
              <w:pStyle w:val="TOC1"/>
              <w:framePr w:hSpace="0" w:wrap="auto" w:vAnchor="margin" w:hAnchor="text" w:yAlign="inline"/>
              <w:jc w:val="center"/>
              <w:rPr>
                <w:rFonts w:ascii="Times New Roman" w:hAnsi="Times New Roman" w:cs="Times New Roman"/>
                <w:b/>
                <w:bCs/>
                <w:color w:val="auto"/>
              </w:rPr>
            </w:pPr>
            <w:r w:rsidRPr="00BB0AB4">
              <w:rPr>
                <w:rFonts w:ascii="Times New Roman" w:hAnsi="Times New Roman" w:cs="Times New Roman"/>
                <w:b/>
                <w:bCs/>
                <w:color w:val="auto"/>
              </w:rPr>
              <w:t>Nội dung yêu cầu</w:t>
            </w:r>
          </w:p>
        </w:tc>
        <w:tc>
          <w:tcPr>
            <w:tcW w:w="3827" w:type="dxa"/>
            <w:tcBorders>
              <w:top w:val="single" w:sz="4" w:space="0" w:color="auto"/>
              <w:left w:val="single" w:sz="4" w:space="0" w:color="auto"/>
              <w:bottom w:val="single" w:sz="4" w:space="0" w:color="auto"/>
              <w:right w:val="single" w:sz="4" w:space="0" w:color="auto"/>
            </w:tcBorders>
            <w:hideMark/>
          </w:tcPr>
          <w:p w14:paraId="37F98CC5" w14:textId="77777777" w:rsidR="00BB0AB4" w:rsidRPr="00BB0AB4" w:rsidRDefault="00BB0AB4" w:rsidP="009335C0">
            <w:pPr>
              <w:pStyle w:val="TOC1"/>
              <w:framePr w:hSpace="0" w:wrap="auto" w:vAnchor="margin" w:hAnchor="text" w:yAlign="inline"/>
              <w:jc w:val="center"/>
              <w:rPr>
                <w:rFonts w:ascii="Times New Roman" w:hAnsi="Times New Roman" w:cs="Times New Roman"/>
                <w:b/>
                <w:bCs/>
                <w:color w:val="auto"/>
              </w:rPr>
            </w:pPr>
            <w:r w:rsidRPr="00BB0AB4">
              <w:rPr>
                <w:rFonts w:ascii="Times New Roman" w:hAnsi="Times New Roman" w:cs="Times New Roman"/>
                <w:b/>
                <w:bCs/>
                <w:color w:val="auto"/>
              </w:rPr>
              <w:t>Đạt</w:t>
            </w:r>
          </w:p>
        </w:tc>
        <w:tc>
          <w:tcPr>
            <w:tcW w:w="2199" w:type="dxa"/>
            <w:tcBorders>
              <w:top w:val="single" w:sz="4" w:space="0" w:color="auto"/>
              <w:left w:val="single" w:sz="4" w:space="0" w:color="auto"/>
              <w:bottom w:val="single" w:sz="4" w:space="0" w:color="auto"/>
              <w:right w:val="single" w:sz="4" w:space="0" w:color="auto"/>
            </w:tcBorders>
            <w:hideMark/>
          </w:tcPr>
          <w:p w14:paraId="7B9A23E0" w14:textId="77777777" w:rsidR="00BB0AB4" w:rsidRPr="00BB0AB4" w:rsidRDefault="00BB0AB4" w:rsidP="009335C0">
            <w:pPr>
              <w:pStyle w:val="TOC1"/>
              <w:framePr w:hSpace="0" w:wrap="auto" w:vAnchor="margin" w:hAnchor="text" w:yAlign="inline"/>
              <w:jc w:val="center"/>
              <w:rPr>
                <w:rFonts w:ascii="Times New Roman" w:hAnsi="Times New Roman" w:cs="Times New Roman"/>
                <w:b/>
                <w:bCs/>
                <w:color w:val="auto"/>
              </w:rPr>
            </w:pPr>
            <w:r w:rsidRPr="00BB0AB4">
              <w:rPr>
                <w:rFonts w:ascii="Times New Roman" w:hAnsi="Times New Roman" w:cs="Times New Roman"/>
                <w:b/>
                <w:bCs/>
                <w:color w:val="auto"/>
              </w:rPr>
              <w:t>Không đạt</w:t>
            </w:r>
          </w:p>
        </w:tc>
      </w:tr>
      <w:tr w:rsidR="00BB0AB4" w:rsidRPr="00BB0AB4" w14:paraId="53BBA4E7" w14:textId="77777777" w:rsidTr="009335C0">
        <w:trPr>
          <w:tblHeader/>
        </w:trPr>
        <w:tc>
          <w:tcPr>
            <w:tcW w:w="714" w:type="dxa"/>
            <w:tcBorders>
              <w:top w:val="single" w:sz="4" w:space="0" w:color="auto"/>
              <w:left w:val="single" w:sz="4" w:space="0" w:color="auto"/>
              <w:bottom w:val="single" w:sz="4" w:space="0" w:color="auto"/>
              <w:right w:val="single" w:sz="4" w:space="0" w:color="auto"/>
            </w:tcBorders>
          </w:tcPr>
          <w:p w14:paraId="580317DC"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STT</w:t>
            </w:r>
          </w:p>
        </w:tc>
        <w:tc>
          <w:tcPr>
            <w:tcW w:w="2400" w:type="dxa"/>
            <w:tcBorders>
              <w:top w:val="single" w:sz="4" w:space="0" w:color="auto"/>
              <w:left w:val="single" w:sz="4" w:space="0" w:color="auto"/>
              <w:bottom w:val="single" w:sz="4" w:space="0" w:color="auto"/>
              <w:right w:val="single" w:sz="4" w:space="0" w:color="auto"/>
            </w:tcBorders>
          </w:tcPr>
          <w:p w14:paraId="09B744F7"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Nội dung yêu cầu</w:t>
            </w:r>
          </w:p>
        </w:tc>
        <w:tc>
          <w:tcPr>
            <w:tcW w:w="3827" w:type="dxa"/>
            <w:tcBorders>
              <w:top w:val="single" w:sz="4" w:space="0" w:color="auto"/>
              <w:left w:val="single" w:sz="4" w:space="0" w:color="auto"/>
              <w:bottom w:val="single" w:sz="4" w:space="0" w:color="auto"/>
              <w:right w:val="single" w:sz="4" w:space="0" w:color="auto"/>
            </w:tcBorders>
          </w:tcPr>
          <w:p w14:paraId="56DD7CBD"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Tiêu chuẩn đánh giá kỹ thuật</w:t>
            </w:r>
          </w:p>
        </w:tc>
        <w:tc>
          <w:tcPr>
            <w:tcW w:w="2199" w:type="dxa"/>
            <w:tcBorders>
              <w:top w:val="single" w:sz="4" w:space="0" w:color="auto"/>
              <w:left w:val="single" w:sz="4" w:space="0" w:color="auto"/>
              <w:bottom w:val="single" w:sz="4" w:space="0" w:color="auto"/>
              <w:right w:val="single" w:sz="4" w:space="0" w:color="auto"/>
            </w:tcBorders>
          </w:tcPr>
          <w:p w14:paraId="0A0743AB"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p>
        </w:tc>
      </w:tr>
      <w:tr w:rsidR="00BB0AB4" w:rsidRPr="00BB0AB4" w14:paraId="020363C4" w14:textId="77777777" w:rsidTr="009335C0">
        <w:tc>
          <w:tcPr>
            <w:tcW w:w="714" w:type="dxa"/>
            <w:tcBorders>
              <w:top w:val="single" w:sz="4" w:space="0" w:color="auto"/>
              <w:left w:val="single" w:sz="4" w:space="0" w:color="auto"/>
              <w:bottom w:val="single" w:sz="4" w:space="0" w:color="auto"/>
              <w:right w:val="single" w:sz="4" w:space="0" w:color="auto"/>
            </w:tcBorders>
            <w:hideMark/>
          </w:tcPr>
          <w:p w14:paraId="60B20B15"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1</w:t>
            </w:r>
          </w:p>
        </w:tc>
        <w:tc>
          <w:tcPr>
            <w:tcW w:w="2400" w:type="dxa"/>
            <w:tcBorders>
              <w:top w:val="single" w:sz="4" w:space="0" w:color="auto"/>
              <w:left w:val="single" w:sz="4" w:space="0" w:color="auto"/>
              <w:bottom w:val="single" w:sz="4" w:space="0" w:color="auto"/>
              <w:right w:val="single" w:sz="4" w:space="0" w:color="auto"/>
            </w:tcBorders>
            <w:hideMark/>
          </w:tcPr>
          <w:p w14:paraId="29600450"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Chủng loại hàng hóa</w:t>
            </w:r>
          </w:p>
        </w:tc>
        <w:tc>
          <w:tcPr>
            <w:tcW w:w="3827" w:type="dxa"/>
            <w:tcBorders>
              <w:top w:val="single" w:sz="4" w:space="0" w:color="auto"/>
              <w:left w:val="single" w:sz="4" w:space="0" w:color="auto"/>
              <w:bottom w:val="single" w:sz="4" w:space="0" w:color="auto"/>
              <w:right w:val="single" w:sz="4" w:space="0" w:color="auto"/>
            </w:tcBorders>
            <w:hideMark/>
          </w:tcPr>
          <w:p w14:paraId="6392492D"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Đúng chủng loại</w:t>
            </w:r>
          </w:p>
        </w:tc>
        <w:tc>
          <w:tcPr>
            <w:tcW w:w="2199" w:type="dxa"/>
            <w:tcBorders>
              <w:top w:val="single" w:sz="4" w:space="0" w:color="auto"/>
              <w:left w:val="single" w:sz="4" w:space="0" w:color="auto"/>
              <w:bottom w:val="single" w:sz="4" w:space="0" w:color="auto"/>
              <w:right w:val="single" w:sz="4" w:space="0" w:color="auto"/>
            </w:tcBorders>
            <w:hideMark/>
          </w:tcPr>
          <w:p w14:paraId="7E0E3490"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Có mặt hàng không đúng chủng loại</w:t>
            </w:r>
          </w:p>
        </w:tc>
      </w:tr>
      <w:tr w:rsidR="00BB0AB4" w:rsidRPr="00BB0AB4" w14:paraId="29D7BD4C" w14:textId="77777777" w:rsidTr="009335C0">
        <w:tc>
          <w:tcPr>
            <w:tcW w:w="714" w:type="dxa"/>
            <w:tcBorders>
              <w:top w:val="single" w:sz="4" w:space="0" w:color="auto"/>
              <w:left w:val="single" w:sz="4" w:space="0" w:color="auto"/>
              <w:bottom w:val="single" w:sz="4" w:space="0" w:color="auto"/>
              <w:right w:val="single" w:sz="4" w:space="0" w:color="auto"/>
            </w:tcBorders>
            <w:hideMark/>
          </w:tcPr>
          <w:p w14:paraId="5716F599"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2</w:t>
            </w:r>
          </w:p>
        </w:tc>
        <w:tc>
          <w:tcPr>
            <w:tcW w:w="2400" w:type="dxa"/>
            <w:tcBorders>
              <w:top w:val="single" w:sz="4" w:space="0" w:color="auto"/>
              <w:left w:val="single" w:sz="4" w:space="0" w:color="auto"/>
              <w:bottom w:val="single" w:sz="4" w:space="0" w:color="auto"/>
              <w:right w:val="single" w:sz="4" w:space="0" w:color="auto"/>
            </w:tcBorders>
            <w:hideMark/>
          </w:tcPr>
          <w:p w14:paraId="26D8CC8C"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Bảng kê thông tin hàng hóa dự thầu</w:t>
            </w:r>
          </w:p>
        </w:tc>
        <w:tc>
          <w:tcPr>
            <w:tcW w:w="3827" w:type="dxa"/>
            <w:tcBorders>
              <w:top w:val="single" w:sz="4" w:space="0" w:color="auto"/>
              <w:left w:val="single" w:sz="4" w:space="0" w:color="auto"/>
              <w:bottom w:val="single" w:sz="4" w:space="0" w:color="auto"/>
              <w:right w:val="single" w:sz="4" w:space="0" w:color="auto"/>
            </w:tcBorders>
            <w:hideMark/>
          </w:tcPr>
          <w:p w14:paraId="662BD8CB"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Nhà thầu có bảng kê nêu rõ nguồn gốc xuất xứ, ký mã hiệu, nhãn hiệu, đặc tính, thông số kỹ thuật của hàng hóa dự thầu</w:t>
            </w:r>
          </w:p>
        </w:tc>
        <w:tc>
          <w:tcPr>
            <w:tcW w:w="2199" w:type="dxa"/>
            <w:tcBorders>
              <w:top w:val="single" w:sz="4" w:space="0" w:color="auto"/>
              <w:left w:val="single" w:sz="4" w:space="0" w:color="auto"/>
              <w:bottom w:val="single" w:sz="4" w:space="0" w:color="auto"/>
              <w:right w:val="single" w:sz="4" w:space="0" w:color="auto"/>
            </w:tcBorders>
            <w:hideMark/>
          </w:tcPr>
          <w:p w14:paraId="3B28DDF4"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Không đáp ứng nội dung theo yêu cầu</w:t>
            </w:r>
          </w:p>
        </w:tc>
      </w:tr>
      <w:tr w:rsidR="00BB0AB4" w:rsidRPr="00BB0AB4" w14:paraId="328A586C" w14:textId="77777777" w:rsidTr="009335C0">
        <w:tc>
          <w:tcPr>
            <w:tcW w:w="714" w:type="dxa"/>
            <w:tcBorders>
              <w:top w:val="single" w:sz="4" w:space="0" w:color="auto"/>
              <w:left w:val="single" w:sz="4" w:space="0" w:color="auto"/>
              <w:bottom w:val="single" w:sz="4" w:space="0" w:color="auto"/>
              <w:right w:val="single" w:sz="4" w:space="0" w:color="auto"/>
            </w:tcBorders>
            <w:hideMark/>
          </w:tcPr>
          <w:p w14:paraId="5485D66A"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3</w:t>
            </w:r>
          </w:p>
        </w:tc>
        <w:tc>
          <w:tcPr>
            <w:tcW w:w="2400" w:type="dxa"/>
            <w:tcBorders>
              <w:top w:val="single" w:sz="4" w:space="0" w:color="auto"/>
              <w:left w:val="single" w:sz="4" w:space="0" w:color="auto"/>
              <w:bottom w:val="single" w:sz="4" w:space="0" w:color="auto"/>
              <w:right w:val="single" w:sz="4" w:space="0" w:color="auto"/>
            </w:tcBorders>
            <w:hideMark/>
          </w:tcPr>
          <w:p w14:paraId="2D7F7720"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Tài liệu chứng minh đặc tính, thông số kỹ thuật của hàng hoá</w:t>
            </w:r>
          </w:p>
        </w:tc>
        <w:tc>
          <w:tcPr>
            <w:tcW w:w="3827" w:type="dxa"/>
            <w:tcBorders>
              <w:top w:val="single" w:sz="4" w:space="0" w:color="auto"/>
              <w:left w:val="single" w:sz="4" w:space="0" w:color="auto"/>
              <w:bottom w:val="single" w:sz="4" w:space="0" w:color="auto"/>
              <w:right w:val="single" w:sz="4" w:space="0" w:color="auto"/>
            </w:tcBorders>
            <w:hideMark/>
          </w:tcPr>
          <w:p w14:paraId="0E09DF91"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Hàng hóa dự thầu phải có một trong các tài liệu sau đây:</w:t>
            </w:r>
          </w:p>
          <w:p w14:paraId="2BD28875"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 Cataloge hàng hóa dự thầu (Bản gốc hoặc bản chụp hoặc bản tải trên trang web của Nhà sản xuất có kèm theo đường link)</w:t>
            </w:r>
          </w:p>
          <w:p w14:paraId="46C9AE9F"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 Trường hợp hàng hóa dự thầu không có cataloge hoặc nhãn hàng hóa, nhà thầu phải nộp tài liệu kỹ thuật tương đương. Trong đó thể hiện rõ thông tin cơ bản của hàng hóa dự thầu bao gồm xuất xứ; model; thông số kỹ thuật; hình ảnh thiết kế, mô tả sản phẩm</w:t>
            </w:r>
          </w:p>
        </w:tc>
        <w:tc>
          <w:tcPr>
            <w:tcW w:w="2199" w:type="dxa"/>
            <w:tcBorders>
              <w:top w:val="single" w:sz="4" w:space="0" w:color="auto"/>
              <w:left w:val="single" w:sz="4" w:space="0" w:color="auto"/>
              <w:bottom w:val="single" w:sz="4" w:space="0" w:color="auto"/>
              <w:right w:val="single" w:sz="4" w:space="0" w:color="auto"/>
            </w:tcBorders>
            <w:hideMark/>
          </w:tcPr>
          <w:p w14:paraId="423CD37E"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 xml:space="preserve">Nhà thầu được đánh giá không đạt trong trường hợp không đảm bảo một trong các điều kiện sau: Không cung cấp được một trong các tài liệu theo yêu cầu/Không thực hiện làm rõ hoặc nội dung làm rõ không phù hợp trong trường hợp có sự sai khác về thông số kỹ thuật hàng hóa giữa bảng kê thông tin hàng hóa dự thầu và tài liệu kỹ thuật </w:t>
            </w:r>
          </w:p>
        </w:tc>
      </w:tr>
      <w:tr w:rsidR="00BB0AB4" w:rsidRPr="00BB0AB4" w14:paraId="36FECD4A" w14:textId="77777777" w:rsidTr="009335C0">
        <w:tc>
          <w:tcPr>
            <w:tcW w:w="714" w:type="dxa"/>
            <w:tcBorders>
              <w:top w:val="single" w:sz="4" w:space="0" w:color="auto"/>
              <w:left w:val="single" w:sz="4" w:space="0" w:color="auto"/>
              <w:bottom w:val="single" w:sz="4" w:space="0" w:color="auto"/>
              <w:right w:val="single" w:sz="4" w:space="0" w:color="auto"/>
            </w:tcBorders>
            <w:hideMark/>
          </w:tcPr>
          <w:p w14:paraId="006F044D"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4</w:t>
            </w:r>
          </w:p>
        </w:tc>
        <w:tc>
          <w:tcPr>
            <w:tcW w:w="2400" w:type="dxa"/>
            <w:tcBorders>
              <w:top w:val="single" w:sz="4" w:space="0" w:color="auto"/>
              <w:left w:val="single" w:sz="4" w:space="0" w:color="auto"/>
              <w:bottom w:val="single" w:sz="4" w:space="0" w:color="auto"/>
              <w:right w:val="single" w:sz="4" w:space="0" w:color="auto"/>
            </w:tcBorders>
            <w:hideMark/>
          </w:tcPr>
          <w:p w14:paraId="3E04A203"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Đặc tính, thông số kỹ thuật hàng hóa</w:t>
            </w:r>
          </w:p>
        </w:tc>
        <w:tc>
          <w:tcPr>
            <w:tcW w:w="3827" w:type="dxa"/>
            <w:tcBorders>
              <w:top w:val="single" w:sz="4" w:space="0" w:color="auto"/>
              <w:left w:val="single" w:sz="4" w:space="0" w:color="auto"/>
              <w:bottom w:val="single" w:sz="4" w:space="0" w:color="auto"/>
              <w:right w:val="single" w:sz="4" w:space="0" w:color="auto"/>
            </w:tcBorders>
            <w:hideMark/>
          </w:tcPr>
          <w:p w14:paraId="52C83517"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Đáp ứng tất cả yêu cầu kỹ thuật tại chương V của E-HSMT</w:t>
            </w:r>
          </w:p>
        </w:tc>
        <w:tc>
          <w:tcPr>
            <w:tcW w:w="2199" w:type="dxa"/>
            <w:tcBorders>
              <w:top w:val="single" w:sz="4" w:space="0" w:color="auto"/>
              <w:left w:val="single" w:sz="4" w:space="0" w:color="auto"/>
              <w:bottom w:val="single" w:sz="4" w:space="0" w:color="auto"/>
              <w:right w:val="single" w:sz="4" w:space="0" w:color="auto"/>
            </w:tcBorders>
            <w:hideMark/>
          </w:tcPr>
          <w:p w14:paraId="65A99D27"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Có từ 01 đặc tính, thông số kỹ thuật không đáp ứng các yêu cầu tại Chương V của E-HSMT</w:t>
            </w:r>
          </w:p>
        </w:tc>
      </w:tr>
      <w:tr w:rsidR="00BB0AB4" w:rsidRPr="00BB0AB4" w14:paraId="77585306" w14:textId="77777777" w:rsidTr="009335C0">
        <w:tc>
          <w:tcPr>
            <w:tcW w:w="714" w:type="dxa"/>
            <w:tcBorders>
              <w:top w:val="single" w:sz="4" w:space="0" w:color="auto"/>
              <w:left w:val="single" w:sz="4" w:space="0" w:color="auto"/>
              <w:bottom w:val="single" w:sz="4" w:space="0" w:color="auto"/>
              <w:right w:val="single" w:sz="4" w:space="0" w:color="auto"/>
            </w:tcBorders>
            <w:hideMark/>
          </w:tcPr>
          <w:p w14:paraId="68166DD7"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5</w:t>
            </w:r>
          </w:p>
        </w:tc>
        <w:tc>
          <w:tcPr>
            <w:tcW w:w="2400" w:type="dxa"/>
            <w:tcBorders>
              <w:top w:val="single" w:sz="4" w:space="0" w:color="auto"/>
              <w:left w:val="single" w:sz="4" w:space="0" w:color="auto"/>
              <w:bottom w:val="single" w:sz="4" w:space="0" w:color="auto"/>
              <w:right w:val="single" w:sz="4" w:space="0" w:color="auto"/>
            </w:tcBorders>
            <w:hideMark/>
          </w:tcPr>
          <w:p w14:paraId="3F80C8C4"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lang w:val="es-ES"/>
              </w:rPr>
            </w:pPr>
            <w:r w:rsidRPr="00BB0AB4">
              <w:rPr>
                <w:rFonts w:ascii="Times New Roman" w:hAnsi="Times New Roman" w:cs="Times New Roman"/>
                <w:color w:val="auto"/>
              </w:rPr>
              <w:t>Thời gian bảo hành</w:t>
            </w:r>
          </w:p>
        </w:tc>
        <w:tc>
          <w:tcPr>
            <w:tcW w:w="3827" w:type="dxa"/>
            <w:tcBorders>
              <w:top w:val="single" w:sz="4" w:space="0" w:color="auto"/>
              <w:left w:val="single" w:sz="4" w:space="0" w:color="auto"/>
              <w:bottom w:val="single" w:sz="4" w:space="0" w:color="auto"/>
              <w:right w:val="single" w:sz="4" w:space="0" w:color="auto"/>
            </w:tcBorders>
            <w:hideMark/>
          </w:tcPr>
          <w:p w14:paraId="4AA2E41D"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 12 tháng</w:t>
            </w:r>
          </w:p>
        </w:tc>
        <w:tc>
          <w:tcPr>
            <w:tcW w:w="2199" w:type="dxa"/>
            <w:tcBorders>
              <w:top w:val="single" w:sz="4" w:space="0" w:color="auto"/>
              <w:left w:val="single" w:sz="4" w:space="0" w:color="auto"/>
              <w:bottom w:val="single" w:sz="4" w:space="0" w:color="auto"/>
              <w:right w:val="single" w:sz="4" w:space="0" w:color="auto"/>
            </w:tcBorders>
            <w:hideMark/>
          </w:tcPr>
          <w:p w14:paraId="66160F5D"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&lt; 12 tháng</w:t>
            </w:r>
          </w:p>
        </w:tc>
      </w:tr>
      <w:tr w:rsidR="00BB0AB4" w:rsidRPr="00BB0AB4" w14:paraId="0E0E0A70" w14:textId="77777777" w:rsidTr="009335C0">
        <w:tc>
          <w:tcPr>
            <w:tcW w:w="714" w:type="dxa"/>
            <w:tcBorders>
              <w:top w:val="single" w:sz="4" w:space="0" w:color="auto"/>
              <w:left w:val="single" w:sz="4" w:space="0" w:color="auto"/>
              <w:bottom w:val="single" w:sz="4" w:space="0" w:color="auto"/>
              <w:right w:val="single" w:sz="4" w:space="0" w:color="auto"/>
            </w:tcBorders>
          </w:tcPr>
          <w:p w14:paraId="12761122"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6</w:t>
            </w:r>
          </w:p>
        </w:tc>
        <w:tc>
          <w:tcPr>
            <w:tcW w:w="2400" w:type="dxa"/>
            <w:tcBorders>
              <w:top w:val="single" w:sz="4" w:space="0" w:color="auto"/>
              <w:left w:val="single" w:sz="4" w:space="0" w:color="auto"/>
              <w:bottom w:val="single" w:sz="4" w:space="0" w:color="auto"/>
              <w:right w:val="single" w:sz="4" w:space="0" w:color="auto"/>
            </w:tcBorders>
          </w:tcPr>
          <w:p w14:paraId="567BF3E2"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lang w:val="en-US"/>
              </w:rPr>
            </w:pPr>
            <w:r w:rsidRPr="00BB0AB4">
              <w:rPr>
                <w:rFonts w:ascii="Times New Roman" w:hAnsi="Times New Roman" w:cs="Times New Roman"/>
                <w:color w:val="auto"/>
              </w:rPr>
              <w:t>Kế hoạch cung cấp dịch vụ bảo hành, bảo trì</w:t>
            </w:r>
          </w:p>
        </w:tc>
        <w:tc>
          <w:tcPr>
            <w:tcW w:w="3827" w:type="dxa"/>
            <w:tcBorders>
              <w:top w:val="single" w:sz="4" w:space="0" w:color="auto"/>
              <w:left w:val="single" w:sz="4" w:space="0" w:color="auto"/>
              <w:bottom w:val="single" w:sz="4" w:space="0" w:color="auto"/>
              <w:right w:val="single" w:sz="4" w:space="0" w:color="auto"/>
            </w:tcBorders>
          </w:tcPr>
          <w:p w14:paraId="6C47F738"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 xml:space="preserve">Nhà thầu nêu kế hoạch cung cấp dịch vụ bảo hành, bảo trì phù hợp với điều kiện và chất </w:t>
            </w:r>
            <w:r w:rsidRPr="00BB0AB4">
              <w:rPr>
                <w:rFonts w:ascii="Times New Roman" w:hAnsi="Times New Roman" w:cs="Times New Roman"/>
                <w:color w:val="auto"/>
              </w:rPr>
              <w:lastRenderedPageBreak/>
              <w:t>lượng hàng hóa dự thầu</w:t>
            </w:r>
          </w:p>
        </w:tc>
        <w:tc>
          <w:tcPr>
            <w:tcW w:w="2199" w:type="dxa"/>
            <w:tcBorders>
              <w:top w:val="single" w:sz="4" w:space="0" w:color="auto"/>
              <w:left w:val="single" w:sz="4" w:space="0" w:color="auto"/>
              <w:bottom w:val="single" w:sz="4" w:space="0" w:color="auto"/>
              <w:right w:val="single" w:sz="4" w:space="0" w:color="auto"/>
            </w:tcBorders>
          </w:tcPr>
          <w:p w14:paraId="1FE4228C"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lastRenderedPageBreak/>
              <w:t>Không đáp ứng nội dung theo yêu cầu</w:t>
            </w:r>
          </w:p>
        </w:tc>
      </w:tr>
      <w:tr w:rsidR="00BB0AB4" w:rsidRPr="00BB0AB4" w14:paraId="1A1C2601" w14:textId="77777777" w:rsidTr="009335C0">
        <w:tc>
          <w:tcPr>
            <w:tcW w:w="714" w:type="dxa"/>
            <w:tcBorders>
              <w:top w:val="single" w:sz="4" w:space="0" w:color="auto"/>
              <w:left w:val="single" w:sz="4" w:space="0" w:color="auto"/>
              <w:bottom w:val="single" w:sz="4" w:space="0" w:color="auto"/>
              <w:right w:val="single" w:sz="4" w:space="0" w:color="auto"/>
            </w:tcBorders>
            <w:hideMark/>
          </w:tcPr>
          <w:p w14:paraId="4BB3194B"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lastRenderedPageBreak/>
              <w:t>7</w:t>
            </w:r>
          </w:p>
        </w:tc>
        <w:tc>
          <w:tcPr>
            <w:tcW w:w="2400" w:type="dxa"/>
            <w:tcBorders>
              <w:top w:val="single" w:sz="4" w:space="0" w:color="auto"/>
              <w:left w:val="single" w:sz="4" w:space="0" w:color="auto"/>
              <w:bottom w:val="single" w:sz="4" w:space="0" w:color="auto"/>
              <w:right w:val="single" w:sz="4" w:space="0" w:color="auto"/>
            </w:tcBorders>
            <w:hideMark/>
          </w:tcPr>
          <w:p w14:paraId="30DE2B56"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lang w:val="pl-PL"/>
              </w:rPr>
            </w:pPr>
            <w:r w:rsidRPr="00BB0AB4">
              <w:rPr>
                <w:rFonts w:ascii="Times New Roman" w:hAnsi="Times New Roman" w:cs="Times New Roman"/>
                <w:color w:val="auto"/>
                <w:lang w:val="pl-PL"/>
              </w:rPr>
              <w:t>Th</w:t>
            </w:r>
            <w:r w:rsidRPr="00BB0AB4">
              <w:rPr>
                <w:rFonts w:ascii="Times New Roman" w:hAnsi="Times New Roman" w:cs="Times New Roman"/>
                <w:color w:val="auto"/>
              </w:rPr>
              <w:t>ời gian giao hàng</w:t>
            </w:r>
          </w:p>
        </w:tc>
        <w:tc>
          <w:tcPr>
            <w:tcW w:w="3827" w:type="dxa"/>
            <w:tcBorders>
              <w:top w:val="single" w:sz="4" w:space="0" w:color="auto"/>
              <w:left w:val="single" w:sz="4" w:space="0" w:color="auto"/>
              <w:bottom w:val="single" w:sz="4" w:space="0" w:color="auto"/>
              <w:right w:val="single" w:sz="4" w:space="0" w:color="auto"/>
            </w:tcBorders>
            <w:hideMark/>
          </w:tcPr>
          <w:p w14:paraId="56315AF5"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 30 ngày</w:t>
            </w:r>
          </w:p>
        </w:tc>
        <w:tc>
          <w:tcPr>
            <w:tcW w:w="2199" w:type="dxa"/>
            <w:tcBorders>
              <w:top w:val="single" w:sz="4" w:space="0" w:color="auto"/>
              <w:left w:val="single" w:sz="4" w:space="0" w:color="auto"/>
              <w:bottom w:val="single" w:sz="4" w:space="0" w:color="auto"/>
              <w:right w:val="single" w:sz="4" w:space="0" w:color="auto"/>
            </w:tcBorders>
            <w:hideMark/>
          </w:tcPr>
          <w:p w14:paraId="3E7B453E"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&gt; 30 ngày</w:t>
            </w:r>
          </w:p>
        </w:tc>
      </w:tr>
      <w:tr w:rsidR="00BB0AB4" w:rsidRPr="00BB0AB4" w14:paraId="28FEF428" w14:textId="77777777" w:rsidTr="009335C0">
        <w:tc>
          <w:tcPr>
            <w:tcW w:w="714" w:type="dxa"/>
            <w:tcBorders>
              <w:top w:val="single" w:sz="4" w:space="0" w:color="auto"/>
              <w:left w:val="single" w:sz="4" w:space="0" w:color="auto"/>
              <w:bottom w:val="single" w:sz="4" w:space="0" w:color="auto"/>
              <w:right w:val="single" w:sz="4" w:space="0" w:color="auto"/>
            </w:tcBorders>
          </w:tcPr>
          <w:p w14:paraId="44EABCF8"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8</w:t>
            </w:r>
          </w:p>
        </w:tc>
        <w:tc>
          <w:tcPr>
            <w:tcW w:w="2400" w:type="dxa"/>
            <w:tcBorders>
              <w:top w:val="single" w:sz="4" w:space="0" w:color="auto"/>
              <w:left w:val="single" w:sz="4" w:space="0" w:color="auto"/>
              <w:bottom w:val="single" w:sz="4" w:space="0" w:color="auto"/>
              <w:right w:val="single" w:sz="4" w:space="0" w:color="auto"/>
            </w:tcBorders>
          </w:tcPr>
          <w:p w14:paraId="7C60504E"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Địa điểm giao hàng</w:t>
            </w:r>
          </w:p>
        </w:tc>
        <w:tc>
          <w:tcPr>
            <w:tcW w:w="3827" w:type="dxa"/>
            <w:tcBorders>
              <w:top w:val="single" w:sz="4" w:space="0" w:color="auto"/>
              <w:left w:val="single" w:sz="4" w:space="0" w:color="auto"/>
              <w:bottom w:val="single" w:sz="4" w:space="0" w:color="auto"/>
              <w:right w:val="single" w:sz="4" w:space="0" w:color="auto"/>
            </w:tcBorders>
          </w:tcPr>
          <w:p w14:paraId="15F5B4DA"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Có cam kết giao hàng hóa đến</w:t>
            </w:r>
            <w:r w:rsidRPr="00BB0AB4">
              <w:rPr>
                <w:rFonts w:ascii="Times New Roman" w:hAnsi="Times New Roman" w:cs="Times New Roman"/>
                <w:b/>
                <w:bCs/>
                <w:color w:val="auto"/>
              </w:rPr>
              <w:t xml:space="preserve"> </w:t>
            </w:r>
            <w:r w:rsidRPr="00BB0AB4">
              <w:rPr>
                <w:rFonts w:ascii="Times New Roman" w:hAnsi="Times New Roman" w:cs="Times New Roman"/>
                <w:color w:val="auto"/>
              </w:rPr>
              <w:t>tận 56 điểm thôn trên toàn tỉnh (Có danh sách các điểm nhận hàng hóa tại Chương V/HSMT)</w:t>
            </w:r>
          </w:p>
        </w:tc>
        <w:tc>
          <w:tcPr>
            <w:tcW w:w="2199" w:type="dxa"/>
            <w:tcBorders>
              <w:top w:val="single" w:sz="4" w:space="0" w:color="auto"/>
              <w:left w:val="single" w:sz="4" w:space="0" w:color="auto"/>
              <w:bottom w:val="single" w:sz="4" w:space="0" w:color="auto"/>
              <w:right w:val="single" w:sz="4" w:space="0" w:color="auto"/>
            </w:tcBorders>
          </w:tcPr>
          <w:p w14:paraId="0E27D40F"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Không có cam kết</w:t>
            </w:r>
          </w:p>
        </w:tc>
      </w:tr>
      <w:tr w:rsidR="00BB0AB4" w:rsidRPr="00BB0AB4" w14:paraId="1226CA2D" w14:textId="77777777" w:rsidTr="009335C0">
        <w:tc>
          <w:tcPr>
            <w:tcW w:w="714" w:type="dxa"/>
            <w:tcBorders>
              <w:top w:val="single" w:sz="4" w:space="0" w:color="auto"/>
              <w:left w:val="single" w:sz="4" w:space="0" w:color="auto"/>
              <w:bottom w:val="single" w:sz="4" w:space="0" w:color="auto"/>
              <w:right w:val="single" w:sz="4" w:space="0" w:color="auto"/>
            </w:tcBorders>
          </w:tcPr>
          <w:p w14:paraId="57E9588E"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9</w:t>
            </w:r>
          </w:p>
        </w:tc>
        <w:tc>
          <w:tcPr>
            <w:tcW w:w="2400" w:type="dxa"/>
            <w:tcBorders>
              <w:top w:val="single" w:sz="4" w:space="0" w:color="auto"/>
              <w:left w:val="single" w:sz="4" w:space="0" w:color="auto"/>
              <w:bottom w:val="single" w:sz="4" w:space="0" w:color="auto"/>
              <w:right w:val="single" w:sz="4" w:space="0" w:color="auto"/>
            </w:tcBorders>
          </w:tcPr>
          <w:p w14:paraId="2DF71801"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Cam kết của Nhà thầu</w:t>
            </w:r>
          </w:p>
        </w:tc>
        <w:tc>
          <w:tcPr>
            <w:tcW w:w="3827" w:type="dxa"/>
            <w:tcBorders>
              <w:top w:val="single" w:sz="4" w:space="0" w:color="auto"/>
              <w:left w:val="single" w:sz="4" w:space="0" w:color="auto"/>
              <w:bottom w:val="single" w:sz="4" w:space="0" w:color="auto"/>
              <w:right w:val="single" w:sz="4" w:space="0" w:color="auto"/>
            </w:tcBorders>
          </w:tcPr>
          <w:p w14:paraId="7B609EB9"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t>- Có cam kết hàng hóa chào thầu là hợp pháp, không vi phạm bản quyền của nhà sản xuất</w:t>
            </w:r>
          </w:p>
          <w:p w14:paraId="44B62089" w14:textId="77777777" w:rsidR="00BB0AB4" w:rsidRPr="00BB0AB4" w:rsidRDefault="00BB0AB4" w:rsidP="009335C0">
            <w:pPr>
              <w:rPr>
                <w:rFonts w:eastAsia="Batang"/>
                <w:iCs/>
                <w:noProof/>
                <w:kern w:val="36"/>
                <w:sz w:val="28"/>
                <w:szCs w:val="28"/>
              </w:rPr>
            </w:pPr>
            <w:r w:rsidRPr="00BB0AB4">
              <w:rPr>
                <w:rFonts w:eastAsia="Batang"/>
                <w:iCs/>
                <w:noProof/>
                <w:kern w:val="36"/>
                <w:sz w:val="28"/>
                <w:szCs w:val="28"/>
              </w:rPr>
              <w:t>- Có cam kết thu hồi hàng hoá trong trường hợp hàng hoá đã giao nhưng không đảm bảo chất lượng, hoặc có thông báo thu hồi của cơ quan có thẩm quyền mà nguyên nhân không do lỗi của Chủ đầu tư/bên mời thầu</w:t>
            </w:r>
          </w:p>
          <w:p w14:paraId="1A0AEF07" w14:textId="77777777" w:rsidR="00BB0AB4" w:rsidRPr="00BB0AB4" w:rsidRDefault="00BB0AB4" w:rsidP="009335C0">
            <w:pPr>
              <w:rPr>
                <w:rFonts w:eastAsia="Batang"/>
                <w:iCs/>
                <w:noProof/>
                <w:kern w:val="36"/>
                <w:sz w:val="28"/>
                <w:szCs w:val="28"/>
              </w:rPr>
            </w:pPr>
            <w:r w:rsidRPr="00BB0AB4">
              <w:rPr>
                <w:rFonts w:eastAsia="Batang"/>
                <w:iCs/>
                <w:noProof/>
                <w:kern w:val="36"/>
                <w:sz w:val="28"/>
                <w:szCs w:val="28"/>
              </w:rPr>
              <w:t>- Có cam kết bảo hành đối với các hàng hóa dự thầu  tối thiểu 12 tháng tại từng điểm thôn khi xảy ra sự cố. Các điểm thôn quy định tại chương V/E-HSMT.</w:t>
            </w:r>
          </w:p>
          <w:p w14:paraId="3080AF6B" w14:textId="77777777" w:rsidR="00BB0AB4" w:rsidRPr="00BB0AB4" w:rsidRDefault="00BB0AB4" w:rsidP="009335C0">
            <w:pPr>
              <w:rPr>
                <w:rFonts w:eastAsia="Batang"/>
                <w:iCs/>
                <w:noProof/>
                <w:kern w:val="36"/>
                <w:sz w:val="28"/>
                <w:szCs w:val="28"/>
              </w:rPr>
            </w:pPr>
            <w:r w:rsidRPr="00BB0AB4">
              <w:rPr>
                <w:rFonts w:eastAsia="Batang"/>
                <w:iCs/>
                <w:noProof/>
                <w:kern w:val="36"/>
                <w:sz w:val="28"/>
                <w:szCs w:val="28"/>
              </w:rPr>
              <w:t>- Có cam kết trong quá trình tham dự các gói thầu tính đến trước thời điểm đóng thầu không có một trong các trường hợp sau đây: Không thực hiện thương thảo hợp đồng; Có quyết định trúng thầu nhưng không tiến hành hoàn thiện, ký kết hợp đồng; Không có hợp đồng chậm tiến độ, bỏ dở hợp đồng do lỗi của nhà thầu</w:t>
            </w:r>
          </w:p>
          <w:p w14:paraId="53D66779" w14:textId="77777777" w:rsidR="00BB0AB4" w:rsidRPr="00BB0AB4" w:rsidRDefault="00BB0AB4" w:rsidP="009335C0">
            <w:pPr>
              <w:rPr>
                <w:rFonts w:eastAsia="Batang"/>
                <w:iCs/>
                <w:noProof/>
                <w:kern w:val="36"/>
                <w:sz w:val="28"/>
                <w:szCs w:val="28"/>
              </w:rPr>
            </w:pPr>
            <w:r w:rsidRPr="00BB0AB4">
              <w:rPr>
                <w:rFonts w:eastAsia="Batang"/>
                <w:iCs/>
                <w:noProof/>
                <w:kern w:val="36"/>
                <w:sz w:val="28"/>
                <w:szCs w:val="28"/>
              </w:rPr>
              <w:t>- Có cam kết hàng hóa được cung cấp hoàn toàn thích ứng về địa lý, môi trường</w:t>
            </w:r>
          </w:p>
          <w:p w14:paraId="634C715C" w14:textId="77777777" w:rsidR="00BB0AB4" w:rsidRPr="00BB0AB4" w:rsidRDefault="00BB0AB4" w:rsidP="009335C0">
            <w:pPr>
              <w:rPr>
                <w:rFonts w:eastAsia="Batang"/>
                <w:iCs/>
                <w:noProof/>
                <w:kern w:val="36"/>
                <w:sz w:val="28"/>
                <w:szCs w:val="28"/>
              </w:rPr>
            </w:pPr>
            <w:r w:rsidRPr="00BB0AB4">
              <w:rPr>
                <w:rFonts w:eastAsia="Batang"/>
                <w:iCs/>
                <w:noProof/>
                <w:kern w:val="36"/>
                <w:sz w:val="28"/>
                <w:szCs w:val="28"/>
              </w:rPr>
              <w:t>- Có cam kết hàng hóa được cung cấp không có ảnh hưởng tác động đến môi trường và biện pháp giải quyết (nếu có)</w:t>
            </w:r>
          </w:p>
          <w:p w14:paraId="06A5BF8D" w14:textId="77777777" w:rsidR="00BB0AB4" w:rsidRPr="00BB0AB4" w:rsidRDefault="00BB0AB4" w:rsidP="009335C0">
            <w:pPr>
              <w:rPr>
                <w:sz w:val="28"/>
                <w:szCs w:val="28"/>
                <w:lang w:val="nl-NL"/>
              </w:rPr>
            </w:pPr>
            <w:r w:rsidRPr="00BB0AB4">
              <w:rPr>
                <w:rFonts w:eastAsia="Batang"/>
                <w:iCs/>
                <w:noProof/>
                <w:kern w:val="36"/>
                <w:sz w:val="28"/>
                <w:szCs w:val="28"/>
              </w:rPr>
              <w:lastRenderedPageBreak/>
              <w:t>- Cam kết sẵn sàng cung cấp các tài liệu khi được Bên mời thầu gửi công văn làm rõ E-HSDT</w:t>
            </w:r>
          </w:p>
        </w:tc>
        <w:tc>
          <w:tcPr>
            <w:tcW w:w="2199" w:type="dxa"/>
            <w:tcBorders>
              <w:top w:val="single" w:sz="4" w:space="0" w:color="auto"/>
              <w:left w:val="single" w:sz="4" w:space="0" w:color="auto"/>
              <w:bottom w:val="single" w:sz="4" w:space="0" w:color="auto"/>
              <w:right w:val="single" w:sz="4" w:space="0" w:color="auto"/>
            </w:tcBorders>
          </w:tcPr>
          <w:p w14:paraId="1FB231A2" w14:textId="77777777" w:rsidR="00BB0AB4" w:rsidRPr="00BB0AB4" w:rsidRDefault="00BB0AB4" w:rsidP="009335C0">
            <w:pPr>
              <w:pStyle w:val="TOC1"/>
              <w:framePr w:hSpace="0" w:wrap="auto" w:vAnchor="margin" w:hAnchor="text" w:yAlign="inline"/>
              <w:rPr>
                <w:rFonts w:ascii="Times New Roman" w:hAnsi="Times New Roman" w:cs="Times New Roman"/>
                <w:b/>
                <w:bCs/>
                <w:color w:val="auto"/>
              </w:rPr>
            </w:pPr>
            <w:r w:rsidRPr="00BB0AB4">
              <w:rPr>
                <w:rFonts w:ascii="Times New Roman" w:hAnsi="Times New Roman" w:cs="Times New Roman"/>
                <w:color w:val="auto"/>
              </w:rPr>
              <w:lastRenderedPageBreak/>
              <w:t>Không có cam kết</w:t>
            </w:r>
          </w:p>
        </w:tc>
      </w:tr>
      <w:tr w:rsidR="00BB0AB4" w:rsidRPr="00BB0AB4" w14:paraId="223365FA" w14:textId="77777777" w:rsidTr="009335C0">
        <w:tc>
          <w:tcPr>
            <w:tcW w:w="714" w:type="dxa"/>
            <w:tcBorders>
              <w:top w:val="single" w:sz="4" w:space="0" w:color="auto"/>
              <w:left w:val="single" w:sz="4" w:space="0" w:color="auto"/>
              <w:bottom w:val="single" w:sz="4" w:space="0" w:color="auto"/>
              <w:right w:val="single" w:sz="4" w:space="0" w:color="auto"/>
            </w:tcBorders>
          </w:tcPr>
          <w:p w14:paraId="7526EE45"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10</w:t>
            </w:r>
          </w:p>
        </w:tc>
        <w:tc>
          <w:tcPr>
            <w:tcW w:w="2400" w:type="dxa"/>
            <w:tcBorders>
              <w:top w:val="single" w:sz="4" w:space="0" w:color="auto"/>
              <w:left w:val="single" w:sz="4" w:space="0" w:color="auto"/>
              <w:bottom w:val="single" w:sz="4" w:space="0" w:color="auto"/>
              <w:right w:val="single" w:sz="4" w:space="0" w:color="auto"/>
            </w:tcBorders>
          </w:tcPr>
          <w:p w14:paraId="718FC9AB" w14:textId="77777777" w:rsidR="00BB0AB4" w:rsidRPr="00BB0AB4" w:rsidRDefault="00BB0AB4" w:rsidP="009335C0">
            <w:pPr>
              <w:pStyle w:val="TOC1"/>
              <w:framePr w:hSpace="0" w:wrap="auto" w:vAnchor="margin" w:hAnchor="text" w:yAlign="inline"/>
              <w:rPr>
                <w:rFonts w:ascii="Times New Roman" w:hAnsi="Times New Roman" w:cs="Times New Roman"/>
                <w:color w:val="auto"/>
                <w:lang w:val="pl-PL"/>
              </w:rPr>
            </w:pPr>
            <w:r w:rsidRPr="00BB0AB4">
              <w:rPr>
                <w:rFonts w:ascii="Times New Roman" w:hAnsi="Times New Roman" w:cs="Times New Roman"/>
                <w:color w:val="auto"/>
              </w:rPr>
              <w:t>Kinh nghiệm, uy tín của nhà thầu</w:t>
            </w:r>
          </w:p>
        </w:tc>
        <w:tc>
          <w:tcPr>
            <w:tcW w:w="3827" w:type="dxa"/>
            <w:tcBorders>
              <w:top w:val="single" w:sz="4" w:space="0" w:color="auto"/>
              <w:left w:val="single" w:sz="4" w:space="0" w:color="auto"/>
              <w:bottom w:val="single" w:sz="4" w:space="0" w:color="auto"/>
              <w:right w:val="single" w:sz="4" w:space="0" w:color="auto"/>
            </w:tcBorders>
          </w:tcPr>
          <w:p w14:paraId="3438A806" w14:textId="77777777" w:rsidR="00BB0AB4" w:rsidRPr="00BB0AB4" w:rsidRDefault="00BB0AB4" w:rsidP="009335C0">
            <w:pPr>
              <w:widowControl w:val="0"/>
              <w:spacing w:before="40"/>
              <w:ind w:left="57"/>
              <w:rPr>
                <w:sz w:val="28"/>
                <w:szCs w:val="28"/>
              </w:rPr>
            </w:pPr>
            <w:r w:rsidRPr="00BB0AB4">
              <w:rPr>
                <w:sz w:val="28"/>
                <w:szCs w:val="28"/>
              </w:rPr>
              <w:t>Có cam kết không bị Chủ đầu tư hoặc Cơ quan nhà nước có thẩm quyền cấm tham gia dự thầu; Không có tên trong danh sách các nhà thầu vi phạm trên muasamcong.mpi.gov.vn.</w:t>
            </w:r>
          </w:p>
        </w:tc>
        <w:tc>
          <w:tcPr>
            <w:tcW w:w="2199" w:type="dxa"/>
            <w:tcBorders>
              <w:top w:val="single" w:sz="4" w:space="0" w:color="auto"/>
              <w:left w:val="single" w:sz="4" w:space="0" w:color="auto"/>
              <w:bottom w:val="single" w:sz="4" w:space="0" w:color="auto"/>
              <w:right w:val="single" w:sz="4" w:space="0" w:color="auto"/>
            </w:tcBorders>
          </w:tcPr>
          <w:p w14:paraId="7C92AE3D" w14:textId="77777777" w:rsidR="00BB0AB4" w:rsidRPr="00BB0AB4" w:rsidRDefault="00BB0AB4" w:rsidP="009335C0">
            <w:pPr>
              <w:pStyle w:val="TOC1"/>
              <w:framePr w:hSpace="0" w:wrap="auto" w:vAnchor="margin" w:hAnchor="text" w:yAlign="inline"/>
              <w:rPr>
                <w:rFonts w:ascii="Times New Roman" w:hAnsi="Times New Roman" w:cs="Times New Roman"/>
                <w:color w:val="auto"/>
              </w:rPr>
            </w:pPr>
            <w:r w:rsidRPr="00BB0AB4">
              <w:rPr>
                <w:rFonts w:ascii="Times New Roman" w:hAnsi="Times New Roman" w:cs="Times New Roman"/>
                <w:color w:val="auto"/>
              </w:rPr>
              <w:t>Không có cam kết</w:t>
            </w:r>
          </w:p>
        </w:tc>
      </w:tr>
    </w:tbl>
    <w:p w14:paraId="42B234A1" w14:textId="77777777" w:rsidR="00E1129A" w:rsidRPr="00BB0AB4" w:rsidRDefault="00E1129A">
      <w:pPr>
        <w:rPr>
          <w:sz w:val="28"/>
          <w:szCs w:val="28"/>
        </w:rPr>
      </w:pPr>
    </w:p>
    <w:sectPr w:rsidR="00E1129A" w:rsidRPr="00BB0AB4" w:rsidSect="00FA26C9">
      <w:pgSz w:w="11907" w:h="16840" w:code="9"/>
      <w:pgMar w:top="1418" w:right="851" w:bottom="1134" w:left="1985" w:header="1134"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B4"/>
    <w:rsid w:val="000D3229"/>
    <w:rsid w:val="00111106"/>
    <w:rsid w:val="00237278"/>
    <w:rsid w:val="002B53E7"/>
    <w:rsid w:val="00403A56"/>
    <w:rsid w:val="00440352"/>
    <w:rsid w:val="00537C26"/>
    <w:rsid w:val="00630628"/>
    <w:rsid w:val="007643AA"/>
    <w:rsid w:val="00810124"/>
    <w:rsid w:val="009365EC"/>
    <w:rsid w:val="00B81870"/>
    <w:rsid w:val="00BB0AB4"/>
    <w:rsid w:val="00E10774"/>
    <w:rsid w:val="00E1129A"/>
    <w:rsid w:val="00E9488D"/>
    <w:rsid w:val="00F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41E1"/>
  <w15:chartTrackingRefBased/>
  <w15:docId w15:val="{D7C9ABDD-953F-4777-B448-B1C30286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B4"/>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BB0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A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A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A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A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AB4"/>
    <w:rPr>
      <w:rFonts w:eastAsiaTheme="majorEastAsia" w:cstheme="majorBidi"/>
      <w:color w:val="272727" w:themeColor="text1" w:themeTint="D8"/>
    </w:rPr>
  </w:style>
  <w:style w:type="paragraph" w:styleId="Title">
    <w:name w:val="Title"/>
    <w:basedOn w:val="Normal"/>
    <w:next w:val="Normal"/>
    <w:link w:val="TitleChar"/>
    <w:uiPriority w:val="10"/>
    <w:qFormat/>
    <w:rsid w:val="00BB0A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AB4"/>
    <w:pPr>
      <w:spacing w:before="160"/>
      <w:jc w:val="center"/>
    </w:pPr>
    <w:rPr>
      <w:i/>
      <w:iCs/>
      <w:color w:val="404040" w:themeColor="text1" w:themeTint="BF"/>
    </w:rPr>
  </w:style>
  <w:style w:type="character" w:customStyle="1" w:styleId="QuoteChar">
    <w:name w:val="Quote Char"/>
    <w:basedOn w:val="DefaultParagraphFont"/>
    <w:link w:val="Quote"/>
    <w:uiPriority w:val="29"/>
    <w:rsid w:val="00BB0AB4"/>
    <w:rPr>
      <w:i/>
      <w:iCs/>
      <w:color w:val="404040" w:themeColor="text1" w:themeTint="BF"/>
    </w:rPr>
  </w:style>
  <w:style w:type="paragraph" w:styleId="ListParagraph">
    <w:name w:val="List Paragraph"/>
    <w:basedOn w:val="Normal"/>
    <w:uiPriority w:val="34"/>
    <w:qFormat/>
    <w:rsid w:val="00BB0AB4"/>
    <w:pPr>
      <w:ind w:left="720"/>
      <w:contextualSpacing/>
    </w:pPr>
  </w:style>
  <w:style w:type="character" w:styleId="IntenseEmphasis">
    <w:name w:val="Intense Emphasis"/>
    <w:basedOn w:val="DefaultParagraphFont"/>
    <w:uiPriority w:val="21"/>
    <w:qFormat/>
    <w:rsid w:val="00BB0AB4"/>
    <w:rPr>
      <w:i/>
      <w:iCs/>
      <w:color w:val="0F4761" w:themeColor="accent1" w:themeShade="BF"/>
    </w:rPr>
  </w:style>
  <w:style w:type="paragraph" w:styleId="IntenseQuote">
    <w:name w:val="Intense Quote"/>
    <w:basedOn w:val="Normal"/>
    <w:next w:val="Normal"/>
    <w:link w:val="IntenseQuoteChar"/>
    <w:uiPriority w:val="30"/>
    <w:qFormat/>
    <w:rsid w:val="00BB0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AB4"/>
    <w:rPr>
      <w:i/>
      <w:iCs/>
      <w:color w:val="0F4761" w:themeColor="accent1" w:themeShade="BF"/>
    </w:rPr>
  </w:style>
  <w:style w:type="character" w:styleId="IntenseReference">
    <w:name w:val="Intense Reference"/>
    <w:basedOn w:val="DefaultParagraphFont"/>
    <w:uiPriority w:val="32"/>
    <w:qFormat/>
    <w:rsid w:val="00BB0AB4"/>
    <w:rPr>
      <w:b/>
      <w:bCs/>
      <w:smallCaps/>
      <w:color w:val="0F4761" w:themeColor="accent1" w:themeShade="BF"/>
      <w:spacing w:val="5"/>
    </w:rPr>
  </w:style>
  <w:style w:type="paragraph" w:styleId="TOC1">
    <w:name w:val="toc 1"/>
    <w:basedOn w:val="Normal"/>
    <w:next w:val="Normal"/>
    <w:autoRedefine/>
    <w:uiPriority w:val="39"/>
    <w:qFormat/>
    <w:rsid w:val="00BB0AB4"/>
    <w:pPr>
      <w:framePr w:hSpace="180" w:wrap="around" w:vAnchor="text" w:hAnchor="margin" w:y="13"/>
      <w:tabs>
        <w:tab w:val="right" w:leader="dot" w:pos="9062"/>
      </w:tabs>
      <w:outlineLvl w:val="2"/>
    </w:pPr>
    <w:rPr>
      <w:rFonts w:asciiTheme="majorHAnsi" w:eastAsia="Batang" w:hAnsiTheme="majorHAnsi" w:cstheme="majorHAnsi"/>
      <w:iCs/>
      <w:noProof/>
      <w:color w:val="0000CC"/>
      <w:kern w:val="36"/>
      <w:sz w:val="28"/>
      <w:szCs w:val="28"/>
      <w:lang w:val="nl-NL"/>
    </w:rPr>
  </w:style>
  <w:style w:type="paragraph" w:customStyle="1" w:styleId="Style11">
    <w:name w:val="Style 11"/>
    <w:basedOn w:val="Normal"/>
    <w:rsid w:val="00BB0AB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dc:creator>
  <cp:keywords/>
  <dc:description/>
  <cp:lastModifiedBy>Phuong Tran</cp:lastModifiedBy>
  <cp:revision>1</cp:revision>
  <dcterms:created xsi:type="dcterms:W3CDTF">2025-11-03T14:40:00Z</dcterms:created>
  <dcterms:modified xsi:type="dcterms:W3CDTF">2025-11-03T14:42:00Z</dcterms:modified>
</cp:coreProperties>
</file>