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C927" w14:textId="77777777" w:rsidR="002F5B58" w:rsidRPr="002F5B58" w:rsidRDefault="002F5B58" w:rsidP="002F5B58">
      <w:pPr>
        <w:pStyle w:val="Heading1"/>
        <w:spacing w:before="0" w:after="0"/>
        <w:jc w:val="center"/>
        <w:rPr>
          <w:rFonts w:ascii="Times New Roman" w:hAnsi="Times New Roman" w:cs="Times New Roman"/>
          <w:b/>
          <w:bCs/>
          <w:color w:val="auto"/>
          <w:sz w:val="28"/>
          <w:szCs w:val="28"/>
          <w:lang w:val="es-ES"/>
        </w:rPr>
      </w:pPr>
      <w:bookmarkStart w:id="0" w:name="_Toc154510932"/>
      <w:r w:rsidRPr="002F5B58">
        <w:rPr>
          <w:rFonts w:ascii="Times New Roman" w:hAnsi="Times New Roman" w:cs="Times New Roman"/>
          <w:b/>
          <w:bCs/>
          <w:color w:val="auto"/>
          <w:sz w:val="28"/>
          <w:szCs w:val="28"/>
          <w:lang w:val="it-IT"/>
        </w:rPr>
        <w:t xml:space="preserve">PHẦN 2. ĐIỀU </w:t>
      </w:r>
      <w:r w:rsidRPr="002F5B58">
        <w:rPr>
          <w:rFonts w:ascii="Times New Roman" w:hAnsi="Times New Roman" w:cs="Times New Roman"/>
          <w:b/>
          <w:bCs/>
          <w:color w:val="auto"/>
          <w:sz w:val="28"/>
          <w:szCs w:val="28"/>
          <w:lang w:val="es-ES"/>
        </w:rPr>
        <w:t>KHOẢN THAM CHIẾU</w:t>
      </w:r>
      <w:bookmarkEnd w:id="0"/>
    </w:p>
    <w:p w14:paraId="11ACCED6" w14:textId="77777777" w:rsidR="002F5B58" w:rsidRPr="002F5B58" w:rsidRDefault="002F5B58" w:rsidP="002F5B58">
      <w:pPr>
        <w:pStyle w:val="Heading1"/>
        <w:spacing w:before="0" w:after="0"/>
        <w:jc w:val="center"/>
        <w:rPr>
          <w:rFonts w:ascii="Times New Roman" w:hAnsi="Times New Roman" w:cs="Times New Roman"/>
          <w:b/>
          <w:bCs/>
          <w:color w:val="auto"/>
          <w:sz w:val="28"/>
          <w:szCs w:val="28"/>
          <w:lang w:val="es-ES"/>
        </w:rPr>
      </w:pPr>
      <w:bookmarkStart w:id="1" w:name="_Toc154510933"/>
      <w:r w:rsidRPr="002F5B58">
        <w:rPr>
          <w:rFonts w:ascii="Times New Roman" w:hAnsi="Times New Roman" w:cs="Times New Roman"/>
          <w:b/>
          <w:bCs/>
          <w:color w:val="auto"/>
          <w:sz w:val="28"/>
          <w:szCs w:val="28"/>
          <w:lang w:val="es-ES"/>
        </w:rPr>
        <w:t>CHƯƠNG V. ĐIỀU KHOẢN THAM CHIẾU</w:t>
      </w:r>
      <w:bookmarkEnd w:id="1"/>
    </w:p>
    <w:p w14:paraId="2D87B046" w14:textId="77777777" w:rsidR="002F5B58" w:rsidRPr="002F5B58" w:rsidRDefault="002F5B58" w:rsidP="002F5B58">
      <w:pPr>
        <w:spacing w:before="60" w:after="60"/>
        <w:ind w:firstLine="720"/>
        <w:rPr>
          <w:bCs/>
          <w:i/>
          <w:iCs/>
          <w:sz w:val="28"/>
          <w:szCs w:val="28"/>
          <w:lang w:val="it-IT"/>
        </w:rPr>
      </w:pPr>
    </w:p>
    <w:p w14:paraId="498240AD" w14:textId="77777777" w:rsidR="002F5B58" w:rsidRPr="002F5B58" w:rsidRDefault="002F5B58" w:rsidP="002F5B58">
      <w:pPr>
        <w:spacing w:before="60" w:after="60"/>
        <w:ind w:firstLine="624"/>
        <w:rPr>
          <w:i/>
          <w:iCs/>
          <w:sz w:val="28"/>
          <w:szCs w:val="28"/>
          <w:lang w:val="it-IT"/>
        </w:rPr>
      </w:pPr>
      <w:r w:rsidRPr="002F5B58">
        <w:rPr>
          <w:bCs/>
          <w:i/>
          <w:iCs/>
          <w:sz w:val="28"/>
          <w:szCs w:val="28"/>
          <w:lang w:val="it-IT"/>
        </w:rPr>
        <w:t>“Điều khoản tham chiếu" bao gồm những nội dung chủ yếu sau:</w:t>
      </w:r>
    </w:p>
    <w:p w14:paraId="24F7FF1F" w14:textId="77777777" w:rsidR="002F5B58" w:rsidRPr="002F5B58" w:rsidRDefault="002F5B58" w:rsidP="002F5B58">
      <w:pPr>
        <w:spacing w:before="60" w:after="60"/>
        <w:ind w:firstLine="624"/>
        <w:rPr>
          <w:b/>
          <w:bCs/>
          <w:sz w:val="28"/>
          <w:szCs w:val="28"/>
          <w:lang w:val="it-IT"/>
        </w:rPr>
      </w:pPr>
      <w:r w:rsidRPr="002F5B58">
        <w:rPr>
          <w:b/>
          <w:sz w:val="28"/>
          <w:szCs w:val="28"/>
          <w:lang w:val="it-IT"/>
        </w:rPr>
        <w:t>I. Giới thiệu:</w:t>
      </w:r>
    </w:p>
    <w:p w14:paraId="59030CAC" w14:textId="77777777" w:rsidR="002F5B58" w:rsidRPr="002F5B58" w:rsidRDefault="002F5B58" w:rsidP="002F5B58">
      <w:pPr>
        <w:spacing w:before="60" w:after="60"/>
        <w:ind w:firstLine="624"/>
        <w:rPr>
          <w:bCs/>
          <w:i/>
          <w:sz w:val="28"/>
          <w:szCs w:val="28"/>
          <w:lang w:val="it-IT"/>
        </w:rPr>
      </w:pPr>
      <w:r w:rsidRPr="002F5B58">
        <w:rPr>
          <w:bCs/>
          <w:i/>
          <w:sz w:val="28"/>
          <w:szCs w:val="28"/>
          <w:lang w:val="it-IT"/>
        </w:rPr>
        <w:t>Mô tả khái quát về dự án/dự toán mua sắm và gói thầu.</w:t>
      </w:r>
    </w:p>
    <w:p w14:paraId="6509F61A" w14:textId="77777777" w:rsidR="002F5B58" w:rsidRPr="002F5B58" w:rsidRDefault="002F5B58" w:rsidP="002F5B58">
      <w:pPr>
        <w:spacing w:before="60" w:after="60"/>
        <w:ind w:firstLine="624"/>
        <w:rPr>
          <w:bCs/>
          <w:iCs/>
          <w:sz w:val="28"/>
          <w:szCs w:val="28"/>
          <w:lang w:val="nl-NL"/>
        </w:rPr>
      </w:pPr>
      <w:r w:rsidRPr="002F5B58">
        <w:rPr>
          <w:bCs/>
          <w:iCs/>
          <w:sz w:val="28"/>
          <w:szCs w:val="28"/>
        </w:rPr>
        <w:t>* Tên gói thầu: Gói 01 – Tư vấn khảo sát, lập BCNCKT, TKBVTC-DT, BCKTKT</w:t>
      </w:r>
      <w:r w:rsidRPr="002F5B58">
        <w:rPr>
          <w:bCs/>
          <w:iCs/>
          <w:sz w:val="28"/>
          <w:szCs w:val="28"/>
          <w:lang w:val="nl-NL"/>
        </w:rPr>
        <w:t>.</w:t>
      </w:r>
    </w:p>
    <w:p w14:paraId="4A33388F" w14:textId="77777777" w:rsidR="002F5B58" w:rsidRPr="002F5B58" w:rsidRDefault="002F5B58" w:rsidP="002F5B58">
      <w:pPr>
        <w:spacing w:before="60" w:after="60"/>
        <w:ind w:firstLine="624"/>
        <w:rPr>
          <w:iCs/>
          <w:sz w:val="28"/>
          <w:szCs w:val="28"/>
        </w:rPr>
      </w:pPr>
      <w:r w:rsidRPr="002F5B58">
        <w:rPr>
          <w:bCs/>
          <w:iCs/>
          <w:sz w:val="28"/>
          <w:szCs w:val="28"/>
        </w:rPr>
        <w:t>* Tên dự án: C</w:t>
      </w:r>
      <w:r w:rsidRPr="002F5B58">
        <w:rPr>
          <w:sz w:val="28"/>
          <w:szCs w:val="28"/>
        </w:rPr>
        <w:t>ác dự án ĐTXD bổ sung năm 2025 theo quyết định số 2283/QĐ-EVNNPC ngày 18/10/2025 của Tổng công ty Điện lực miền Bắc</w:t>
      </w:r>
      <w:r w:rsidRPr="002F5B58">
        <w:rPr>
          <w:iCs/>
          <w:sz w:val="28"/>
          <w:szCs w:val="28"/>
        </w:rPr>
        <w:t>.</w:t>
      </w:r>
    </w:p>
    <w:p w14:paraId="2A0D9C1E" w14:textId="77777777" w:rsidR="002F5B58" w:rsidRPr="002F5B58" w:rsidRDefault="002F5B58" w:rsidP="002F5B58">
      <w:pPr>
        <w:spacing w:before="60" w:after="60"/>
        <w:ind w:firstLine="624"/>
        <w:rPr>
          <w:iCs/>
          <w:sz w:val="28"/>
          <w:szCs w:val="28"/>
        </w:rPr>
      </w:pPr>
      <w:r w:rsidRPr="002F5B58">
        <w:rPr>
          <w:iCs/>
          <w:sz w:val="28"/>
          <w:szCs w:val="28"/>
        </w:rPr>
        <w:t>-</w:t>
      </w:r>
      <w:r w:rsidRPr="002F5B58">
        <w:rPr>
          <w:iCs/>
          <w:sz w:val="28"/>
          <w:szCs w:val="28"/>
          <w:lang w:val="vi"/>
        </w:rPr>
        <w:t xml:space="preserve"> DA1: </w:t>
      </w:r>
      <w:r w:rsidRPr="002F5B58">
        <w:rPr>
          <w:iCs/>
          <w:sz w:val="28"/>
          <w:szCs w:val="28"/>
        </w:rPr>
        <w:t>Xuất tuyến 22kV sau TBA 110kV Hưng Hà cấp điện cho phụ tải khu vực Hưng Hà và Quỳnh Phụ, tạo mạch vòng liên lạc trạm 110kV Hưng Hà và trạm 110kV Quỳnh Côi để giảm tải đường dây 110kV Thái Bình - Quỳnh Côi.</w:t>
      </w:r>
    </w:p>
    <w:p w14:paraId="672B0064" w14:textId="77777777" w:rsidR="002F5B58" w:rsidRPr="002F5B58" w:rsidRDefault="002F5B58" w:rsidP="002F5B58">
      <w:pPr>
        <w:spacing w:before="60" w:after="60"/>
        <w:ind w:firstLine="624"/>
        <w:rPr>
          <w:iCs/>
          <w:sz w:val="28"/>
          <w:szCs w:val="28"/>
        </w:rPr>
      </w:pPr>
      <w:r w:rsidRPr="002F5B58">
        <w:rPr>
          <w:iCs/>
          <w:sz w:val="28"/>
          <w:szCs w:val="28"/>
        </w:rPr>
        <w:t xml:space="preserve">- </w:t>
      </w:r>
      <w:r w:rsidRPr="002F5B58">
        <w:rPr>
          <w:iCs/>
          <w:sz w:val="28"/>
          <w:szCs w:val="28"/>
          <w:lang w:val="vi"/>
        </w:rPr>
        <w:t>DA</w:t>
      </w:r>
      <w:r w:rsidRPr="002F5B58">
        <w:rPr>
          <w:iCs/>
          <w:sz w:val="28"/>
          <w:szCs w:val="28"/>
        </w:rPr>
        <w:t>2</w:t>
      </w:r>
      <w:r w:rsidRPr="002F5B58">
        <w:rPr>
          <w:iCs/>
          <w:sz w:val="28"/>
          <w:szCs w:val="28"/>
          <w:lang w:val="vi"/>
        </w:rPr>
        <w:t xml:space="preserve">: </w:t>
      </w:r>
      <w:r w:rsidRPr="002F5B58">
        <w:rPr>
          <w:iCs/>
          <w:sz w:val="28"/>
          <w:szCs w:val="28"/>
        </w:rPr>
        <w:t>Xuất tuyến 22kV sau TBA 110kV Long Bối cấp điện cho phụ tải khu vực Đông Hưng và Quỳnh Phụ, tạo mạch vòng liên lạc trạm 110kV Long Bối và trạm 110kV Quỳnh Phụ để giảm tải đường dây 110kV Thái Bình -Quỳnh Côi.</w:t>
      </w:r>
    </w:p>
    <w:p w14:paraId="77BADFD4" w14:textId="77777777" w:rsidR="002F5B58" w:rsidRPr="002F5B58" w:rsidRDefault="002F5B58" w:rsidP="002F5B58">
      <w:pPr>
        <w:spacing w:before="60" w:after="60"/>
        <w:ind w:firstLine="624"/>
        <w:rPr>
          <w:iCs/>
          <w:sz w:val="28"/>
          <w:szCs w:val="28"/>
        </w:rPr>
      </w:pPr>
      <w:r w:rsidRPr="002F5B58">
        <w:rPr>
          <w:iCs/>
          <w:sz w:val="28"/>
          <w:szCs w:val="28"/>
        </w:rPr>
        <w:t xml:space="preserve">- </w:t>
      </w:r>
      <w:r w:rsidRPr="002F5B58">
        <w:rPr>
          <w:iCs/>
          <w:sz w:val="28"/>
          <w:szCs w:val="28"/>
          <w:lang w:val="vi"/>
        </w:rPr>
        <w:t xml:space="preserve">DA3: </w:t>
      </w:r>
      <w:r w:rsidRPr="002F5B58">
        <w:rPr>
          <w:iCs/>
          <w:sz w:val="28"/>
          <w:szCs w:val="28"/>
        </w:rPr>
        <w:t>Đường dây 35kV tạo mạch vòng liên lạc trạm 110kV Phố Cao và trạm 110kV Hưng Hà 2 giảm tải đường dây 110kV Thái Bình - Quỳnh Côi.</w:t>
      </w:r>
    </w:p>
    <w:p w14:paraId="5729D09C" w14:textId="77777777" w:rsidR="002F5B58" w:rsidRPr="002F5B58" w:rsidRDefault="002F5B58" w:rsidP="002F5B58">
      <w:pPr>
        <w:spacing w:before="60" w:after="60"/>
        <w:ind w:firstLine="720"/>
        <w:rPr>
          <w:bCs/>
          <w:iCs/>
          <w:sz w:val="28"/>
          <w:szCs w:val="28"/>
          <w:lang w:val="nl-NL"/>
        </w:rPr>
      </w:pPr>
      <w:r w:rsidRPr="002F5B58">
        <w:rPr>
          <w:bCs/>
          <w:iCs/>
          <w:sz w:val="28"/>
          <w:szCs w:val="28"/>
          <w:lang w:val="nl-NL"/>
        </w:rPr>
        <w:t>* Quy mô dự kiến:</w:t>
      </w:r>
    </w:p>
    <w:p w14:paraId="7A34CF9A" w14:textId="77777777" w:rsidR="002F5B58" w:rsidRPr="002F5B58" w:rsidRDefault="002F5B58" w:rsidP="002F5B58">
      <w:pPr>
        <w:spacing w:before="60" w:after="60"/>
        <w:ind w:firstLine="720"/>
        <w:rPr>
          <w:iCs/>
          <w:sz w:val="28"/>
          <w:szCs w:val="28"/>
        </w:rPr>
      </w:pPr>
      <w:r w:rsidRPr="002F5B58">
        <w:rPr>
          <w:iCs/>
          <w:sz w:val="28"/>
          <w:szCs w:val="28"/>
        </w:rPr>
        <w:t>-</w:t>
      </w:r>
      <w:r w:rsidRPr="002F5B58">
        <w:rPr>
          <w:iCs/>
          <w:sz w:val="28"/>
          <w:szCs w:val="28"/>
          <w:lang w:val="vi"/>
        </w:rPr>
        <w:t xml:space="preserve"> </w:t>
      </w:r>
      <w:r w:rsidRPr="002F5B58">
        <w:rPr>
          <w:iCs/>
          <w:sz w:val="28"/>
          <w:szCs w:val="28"/>
        </w:rPr>
        <w:t xml:space="preserve">Quy mô </w:t>
      </w:r>
      <w:r w:rsidRPr="002F5B58">
        <w:rPr>
          <w:iCs/>
          <w:sz w:val="28"/>
          <w:szCs w:val="28"/>
          <w:lang w:val="vi"/>
        </w:rPr>
        <w:t>DA1</w:t>
      </w:r>
      <w:r w:rsidRPr="002F5B58">
        <w:rPr>
          <w:iCs/>
          <w:sz w:val="28"/>
          <w:szCs w:val="28"/>
        </w:rPr>
        <w:t>:</w:t>
      </w:r>
    </w:p>
    <w:p w14:paraId="570D4C77" w14:textId="77777777" w:rsidR="002F5B58" w:rsidRPr="002F5B58" w:rsidRDefault="002F5B58" w:rsidP="002F5B58">
      <w:pPr>
        <w:pStyle w:val="BodyText"/>
        <w:spacing w:before="40" w:after="40" w:line="320" w:lineRule="exact"/>
        <w:ind w:firstLine="624"/>
        <w:rPr>
          <w:iCs/>
          <w:sz w:val="28"/>
          <w:szCs w:val="28"/>
        </w:rPr>
      </w:pPr>
      <w:r w:rsidRPr="002F5B58">
        <w:rPr>
          <w:iCs/>
          <w:sz w:val="28"/>
          <w:szCs w:val="28"/>
        </w:rPr>
        <w:t>+ Xây dựng mới 0,6km đường cáp ngầm 22kV (Al/XLPE 3x400) + 8,0km đường dây 22kV mạch kép (treo dây 1 mạch, dây AC150);</w:t>
      </w:r>
    </w:p>
    <w:p w14:paraId="343B6572" w14:textId="77777777" w:rsidR="002F5B58" w:rsidRPr="002F5B58" w:rsidRDefault="002F5B58" w:rsidP="002F5B58">
      <w:pPr>
        <w:pStyle w:val="BodyText"/>
        <w:spacing w:before="40" w:after="40" w:line="320" w:lineRule="exact"/>
        <w:ind w:firstLine="624"/>
        <w:rPr>
          <w:iCs/>
          <w:sz w:val="28"/>
          <w:szCs w:val="28"/>
        </w:rPr>
      </w:pPr>
      <w:r w:rsidRPr="002F5B58">
        <w:rPr>
          <w:iCs/>
          <w:sz w:val="28"/>
          <w:szCs w:val="28"/>
        </w:rPr>
        <w:t>+ Lắp mới 01 bộ Recloser 24kV + 01 bộ Router 4G/APN để kết nối các Recloser/LBS về TTĐK PCHY (B11) và Trung tâm giám sát dữ liệu của Tổng công ty + 04 bộ hợp bộ MOF 24kV;</w:t>
      </w:r>
    </w:p>
    <w:p w14:paraId="65AF95B0" w14:textId="77777777" w:rsidR="002F5B58" w:rsidRPr="002F5B58" w:rsidRDefault="002F5B58" w:rsidP="002F5B58">
      <w:pPr>
        <w:pStyle w:val="BodyText"/>
        <w:spacing w:before="40" w:after="40" w:line="320" w:lineRule="exact"/>
        <w:ind w:firstLine="624"/>
        <w:rPr>
          <w:iCs/>
          <w:sz w:val="28"/>
          <w:szCs w:val="28"/>
        </w:rPr>
      </w:pPr>
      <w:r w:rsidRPr="002F5B58">
        <w:rPr>
          <w:iCs/>
          <w:sz w:val="28"/>
          <w:szCs w:val="28"/>
        </w:rPr>
        <w:t>+ Cải tạo 5,5 km đường dây 22kV mạch đơn lên mạch kép (treo dây 1 mạch, dây AC50 lên dây AC150).</w:t>
      </w:r>
    </w:p>
    <w:p w14:paraId="1C0E6186" w14:textId="77777777" w:rsidR="002F5B58" w:rsidRPr="002F5B58" w:rsidRDefault="002F5B58" w:rsidP="002F5B58">
      <w:pPr>
        <w:pStyle w:val="BodyText"/>
        <w:spacing w:before="40" w:after="120"/>
        <w:ind w:firstLine="624"/>
        <w:rPr>
          <w:iCs/>
          <w:sz w:val="28"/>
          <w:szCs w:val="28"/>
        </w:rPr>
      </w:pPr>
      <w:r w:rsidRPr="002F5B58">
        <w:rPr>
          <w:iCs/>
          <w:sz w:val="28"/>
          <w:szCs w:val="28"/>
        </w:rPr>
        <w:t>-</w:t>
      </w:r>
      <w:r w:rsidRPr="002F5B58">
        <w:rPr>
          <w:iCs/>
          <w:sz w:val="28"/>
          <w:szCs w:val="28"/>
          <w:lang w:val="vi"/>
        </w:rPr>
        <w:t xml:space="preserve"> </w:t>
      </w:r>
      <w:r w:rsidRPr="002F5B58">
        <w:rPr>
          <w:iCs/>
          <w:sz w:val="28"/>
          <w:szCs w:val="28"/>
        </w:rPr>
        <w:t xml:space="preserve">Quy mô </w:t>
      </w:r>
      <w:r w:rsidRPr="002F5B58">
        <w:rPr>
          <w:iCs/>
          <w:sz w:val="28"/>
          <w:szCs w:val="28"/>
          <w:lang w:val="vi"/>
        </w:rPr>
        <w:t>DA</w:t>
      </w:r>
      <w:r w:rsidRPr="002F5B58">
        <w:rPr>
          <w:iCs/>
          <w:sz w:val="28"/>
          <w:szCs w:val="28"/>
        </w:rPr>
        <w:t>2</w:t>
      </w:r>
      <w:r w:rsidRPr="002F5B58">
        <w:rPr>
          <w:iCs/>
          <w:sz w:val="28"/>
          <w:szCs w:val="28"/>
          <w:lang w:val="vi"/>
        </w:rPr>
        <w:t>:</w:t>
      </w:r>
      <w:r w:rsidRPr="002F5B58">
        <w:rPr>
          <w:iCs/>
          <w:sz w:val="28"/>
          <w:szCs w:val="28"/>
        </w:rPr>
        <w:t xml:space="preserve"> </w:t>
      </w:r>
    </w:p>
    <w:p w14:paraId="6EC00A53" w14:textId="77777777" w:rsidR="002F5B58" w:rsidRPr="002F5B58" w:rsidRDefault="002F5B58" w:rsidP="002F5B58">
      <w:pPr>
        <w:pStyle w:val="BodyText"/>
        <w:spacing w:before="40" w:after="120"/>
        <w:ind w:firstLine="624"/>
        <w:rPr>
          <w:iCs/>
          <w:sz w:val="28"/>
          <w:szCs w:val="28"/>
        </w:rPr>
      </w:pPr>
      <w:r w:rsidRPr="002F5B58">
        <w:rPr>
          <w:iCs/>
          <w:sz w:val="28"/>
          <w:szCs w:val="28"/>
        </w:rPr>
        <w:t xml:space="preserve">+ Xây dựng mới 0,7km đường cáp ngầm 22kV mạch kép (Al/XLPE 3x400 + 1,0km đường cáp ngầm 22kV (Al/XLPE 3x400); </w:t>
      </w:r>
    </w:p>
    <w:p w14:paraId="5858F847"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xml:space="preserve">+ Xây dựng mới 7,1km đường dây 22kV mạch kép (dây AC150) + 4,9km đường dây 22kV (dây AC150) + 1,3km đường dây đường dây 22kV (dây AC70); </w:t>
      </w:r>
    </w:p>
    <w:p w14:paraId="6839ABCF"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Lắp mới 02 ngăn tủ máy cắt hợp bộ 24kV-630A-25kA/1s;</w:t>
      </w:r>
    </w:p>
    <w:p w14:paraId="0781133F"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xml:space="preserve">+ Lắp mới 02 bộ Recloser 24kV + 02 bộ hợp bộ MOF 24kV + 02 bộ Router 4G/APN để kết nối các Recloser về TTĐK PCHY (B11) và Trung tâm giám sát dữ liệu của Tổng công ty; </w:t>
      </w:r>
    </w:p>
    <w:p w14:paraId="7DCC12B4"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lastRenderedPageBreak/>
        <w:t>+ Cải tạo 0,6 km đường dây 22kV mạch đơn lên mạch kép (dây AC50 lên dây AC150).</w:t>
      </w:r>
    </w:p>
    <w:p w14:paraId="18F673C9"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xml:space="preserve">- Quy mô </w:t>
      </w:r>
      <w:r w:rsidRPr="002F5B58">
        <w:rPr>
          <w:iCs/>
          <w:sz w:val="28"/>
          <w:szCs w:val="28"/>
          <w:lang w:val="vi"/>
        </w:rPr>
        <w:t>DA3:</w:t>
      </w:r>
      <w:r w:rsidRPr="002F5B58">
        <w:rPr>
          <w:iCs/>
          <w:sz w:val="28"/>
          <w:szCs w:val="28"/>
        </w:rPr>
        <w:t xml:space="preserve"> </w:t>
      </w:r>
    </w:p>
    <w:p w14:paraId="41C4AB2E"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Xây dựng mới 1km đường dây 35kV (sử dụng dây AC150/24);</w:t>
      </w:r>
    </w:p>
    <w:p w14:paraId="30E7D04A"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Lắp đặt 01 Recloser 35kV + 01 bộ đo đếm 35kV (03 hợp bộ 01 pha);</w:t>
      </w:r>
    </w:p>
    <w:p w14:paraId="482E72C9" w14:textId="77777777" w:rsidR="002F5B58" w:rsidRPr="002F5B58" w:rsidRDefault="002F5B58" w:rsidP="002F5B58">
      <w:pPr>
        <w:pStyle w:val="BodyText"/>
        <w:spacing w:before="60" w:after="80" w:line="320" w:lineRule="exact"/>
        <w:ind w:firstLine="624"/>
        <w:rPr>
          <w:iCs/>
          <w:sz w:val="28"/>
          <w:szCs w:val="28"/>
        </w:rPr>
      </w:pPr>
      <w:r w:rsidRPr="002F5B58">
        <w:rPr>
          <w:iCs/>
          <w:sz w:val="28"/>
          <w:szCs w:val="28"/>
        </w:rPr>
        <w:t xml:space="preserve">+ Cải tạo 5,3km đường dây 35kV (sử dụng dây AC150/24). </w:t>
      </w:r>
    </w:p>
    <w:p w14:paraId="38F662EF" w14:textId="77777777" w:rsidR="002F5B58" w:rsidRPr="002F5B58" w:rsidRDefault="002F5B58" w:rsidP="002F5B58">
      <w:pPr>
        <w:spacing w:before="60" w:after="60"/>
        <w:ind w:firstLine="624"/>
        <w:rPr>
          <w:bCs/>
          <w:i/>
          <w:sz w:val="28"/>
          <w:szCs w:val="28"/>
          <w:lang w:val="it-IT"/>
        </w:rPr>
      </w:pPr>
      <w:r w:rsidRPr="002F5B58">
        <w:rPr>
          <w:bCs/>
          <w:i/>
          <w:sz w:val="28"/>
          <w:szCs w:val="28"/>
          <w:lang w:val="it-IT"/>
        </w:rPr>
        <w:t xml:space="preserve">Mô tả mục đích tuyển chọn nhà thầu. Nhằm tuyển chọn được nhà thầu có đầy đủ năng lực và kinh nghiệm </w:t>
      </w:r>
      <w:r w:rsidRPr="002F5B58">
        <w:rPr>
          <w:bCs/>
          <w:i/>
          <w:iCs/>
          <w:sz w:val="28"/>
          <w:szCs w:val="28"/>
          <w:lang w:val="it-IT"/>
        </w:rPr>
        <w:t>để thực hiện gói thầu đem lại hiệu quả sau đầu tư của dự án.</w:t>
      </w:r>
    </w:p>
    <w:p w14:paraId="5F3E4376" w14:textId="77777777" w:rsidR="002F5B58" w:rsidRPr="002F5B58" w:rsidRDefault="002F5B58" w:rsidP="002F5B58">
      <w:pPr>
        <w:spacing w:before="60" w:after="60"/>
        <w:ind w:firstLine="720"/>
        <w:rPr>
          <w:b/>
          <w:bCs/>
          <w:sz w:val="28"/>
          <w:szCs w:val="28"/>
          <w:lang w:val="it-IT"/>
        </w:rPr>
      </w:pPr>
      <w:r w:rsidRPr="002F5B58">
        <w:rPr>
          <w:b/>
          <w:sz w:val="28"/>
          <w:szCs w:val="28"/>
          <w:lang w:val="it-IT"/>
        </w:rPr>
        <w:t>II. Phạm vi công việc:</w:t>
      </w:r>
    </w:p>
    <w:p w14:paraId="72AF017F" w14:textId="77777777" w:rsidR="002F5B58" w:rsidRPr="002F5B58" w:rsidRDefault="002F5B58" w:rsidP="002F5B58">
      <w:pPr>
        <w:spacing w:before="40" w:line="320" w:lineRule="exact"/>
        <w:ind w:firstLine="567"/>
        <w:rPr>
          <w:bCs/>
          <w:iCs/>
          <w:sz w:val="28"/>
          <w:szCs w:val="28"/>
          <w:lang w:val="it-IT"/>
        </w:rPr>
      </w:pPr>
      <w:r w:rsidRPr="002F5B58">
        <w:rPr>
          <w:bCs/>
          <w:iCs/>
          <w:sz w:val="28"/>
          <w:szCs w:val="28"/>
          <w:lang w:val="it-IT"/>
        </w:rPr>
        <w:t>1. Mô tả chi tiết phạm vi công việc đối với nhà thầu, nguồn vốn, tên cơ quan thực hiện dự án/dự toán mua sắm, thời gian, tiến độ thực hiện.</w:t>
      </w:r>
    </w:p>
    <w:p w14:paraId="3ED95A1A" w14:textId="77777777" w:rsidR="002F5B58" w:rsidRPr="002F5B58" w:rsidRDefault="002F5B58" w:rsidP="002F5B58">
      <w:pPr>
        <w:spacing w:before="40" w:line="320" w:lineRule="exact"/>
        <w:ind w:firstLine="567"/>
        <w:rPr>
          <w:bCs/>
          <w:sz w:val="28"/>
          <w:szCs w:val="28"/>
          <w:lang w:val="it-IT"/>
        </w:rPr>
      </w:pPr>
      <w:r w:rsidRPr="002F5B58">
        <w:rPr>
          <w:bCs/>
          <w:sz w:val="28"/>
          <w:szCs w:val="28"/>
          <w:lang w:val="it-IT"/>
        </w:rPr>
        <w:t xml:space="preserve">- Nhà thầu thực hiện công việc trong phạm vị theo quy mô dự kiến như trên các nội dung sau: </w:t>
      </w:r>
    </w:p>
    <w:p w14:paraId="33625FC1"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xml:space="preserve">+ Thực hiện khảo sát, địa hình, thu thập thông tin liên quan ... theo quy định. </w:t>
      </w:r>
    </w:p>
    <w:p w14:paraId="60002D74"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Lập nhiệm vụ khảo sát, nhiệm vụ thiết kế.</w:t>
      </w:r>
    </w:p>
    <w:p w14:paraId="01DC99C7"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Lập phương án kỹ thuật khảo sát công trình.</w:t>
      </w:r>
    </w:p>
    <w:p w14:paraId="07042A95"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Lập báo cáo khảo sát xây dựng.</w:t>
      </w:r>
    </w:p>
    <w:p w14:paraId="45E24DF4"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Thảo thuận mặt bằng, hướng tuyến, vị trí xây dựng với các bên liên quan.</w:t>
      </w:r>
    </w:p>
    <w:p w14:paraId="15D5607A" w14:textId="77777777" w:rsidR="002F5B58" w:rsidRPr="002F5B58" w:rsidRDefault="002F5B58" w:rsidP="002F5B58">
      <w:pPr>
        <w:spacing w:before="40" w:line="320" w:lineRule="exact"/>
        <w:ind w:firstLine="567"/>
        <w:rPr>
          <w:sz w:val="28"/>
          <w:szCs w:val="28"/>
          <w:lang w:val="it-IT"/>
        </w:rPr>
      </w:pPr>
      <w:r w:rsidRPr="002F5B58">
        <w:rPr>
          <w:sz w:val="28"/>
          <w:szCs w:val="28"/>
          <w:lang w:val="it-IT"/>
        </w:rPr>
        <w:t>+ Lập BCKTKT với quy mô như trên.</w:t>
      </w:r>
    </w:p>
    <w:p w14:paraId="35E2E084" w14:textId="77777777" w:rsidR="002F5B58" w:rsidRPr="002F5B58" w:rsidRDefault="002F5B58" w:rsidP="002F5B58">
      <w:pPr>
        <w:widowControl w:val="0"/>
        <w:spacing w:before="40" w:line="320" w:lineRule="exact"/>
        <w:ind w:firstLine="567"/>
        <w:rPr>
          <w:bCs/>
          <w:sz w:val="28"/>
          <w:szCs w:val="28"/>
          <w:lang w:val="it-IT"/>
        </w:rPr>
      </w:pPr>
      <w:r w:rsidRPr="002F5B58">
        <w:rPr>
          <w:bCs/>
          <w:sz w:val="28"/>
          <w:szCs w:val="28"/>
          <w:lang w:val="it-IT"/>
        </w:rPr>
        <w:t>+ Trình duyệt và bảo vệ với cấp có thẩm quyền.</w:t>
      </w:r>
    </w:p>
    <w:p w14:paraId="5BCC0AA2" w14:textId="77777777" w:rsidR="002F5B58" w:rsidRPr="002F5B58" w:rsidRDefault="002F5B58" w:rsidP="002F5B58">
      <w:pPr>
        <w:widowControl w:val="0"/>
        <w:spacing w:before="40" w:line="320" w:lineRule="exact"/>
        <w:ind w:firstLine="567"/>
        <w:rPr>
          <w:bCs/>
          <w:sz w:val="28"/>
          <w:szCs w:val="28"/>
          <w:lang w:val="it-IT"/>
        </w:rPr>
      </w:pPr>
      <w:r w:rsidRPr="002F5B58">
        <w:rPr>
          <w:bCs/>
          <w:sz w:val="28"/>
          <w:szCs w:val="28"/>
          <w:lang w:val="it-IT"/>
        </w:rPr>
        <w:t>- Nguồn vốn thực hiện: Vốn khấu hao cơ bản của Tổng công ty Điện lực miền Bắc.</w:t>
      </w:r>
    </w:p>
    <w:p w14:paraId="3DC0CB28" w14:textId="77777777" w:rsidR="002F5B58" w:rsidRPr="002F5B58" w:rsidRDefault="002F5B58" w:rsidP="002F5B58">
      <w:pPr>
        <w:widowControl w:val="0"/>
        <w:spacing w:before="40" w:line="320" w:lineRule="exact"/>
        <w:ind w:firstLine="567"/>
        <w:rPr>
          <w:bCs/>
          <w:sz w:val="28"/>
          <w:szCs w:val="28"/>
          <w:lang w:val="it-IT"/>
        </w:rPr>
      </w:pPr>
      <w:r w:rsidRPr="002F5B58">
        <w:rPr>
          <w:bCs/>
          <w:sz w:val="28"/>
          <w:szCs w:val="28"/>
          <w:lang w:val="it-IT"/>
        </w:rPr>
        <w:t>- Đại diện chủ đầu tư: Công ty Điện lực Hưng Yên – CN Tổng công ty Điện lực miền Bắc.</w:t>
      </w:r>
    </w:p>
    <w:p w14:paraId="283EA35C" w14:textId="77777777" w:rsidR="002F5B58" w:rsidRPr="002F5B58" w:rsidRDefault="002F5B58" w:rsidP="002F5B58">
      <w:pPr>
        <w:widowControl w:val="0"/>
        <w:spacing w:before="40" w:line="320" w:lineRule="exact"/>
        <w:ind w:firstLine="567"/>
        <w:rPr>
          <w:bCs/>
          <w:sz w:val="28"/>
          <w:szCs w:val="28"/>
          <w:lang w:val="it-IT"/>
        </w:rPr>
      </w:pPr>
      <w:r w:rsidRPr="002F5B58">
        <w:rPr>
          <w:bCs/>
          <w:sz w:val="28"/>
          <w:szCs w:val="28"/>
          <w:lang w:val="it-IT"/>
        </w:rPr>
        <w:t>- Tiến độ thực hiện: 90 ngày.</w:t>
      </w:r>
    </w:p>
    <w:p w14:paraId="060DD47F" w14:textId="77777777" w:rsidR="002F5B58" w:rsidRPr="002F5B58" w:rsidRDefault="002F5B58" w:rsidP="002F5B58">
      <w:pPr>
        <w:spacing w:before="60" w:after="60"/>
        <w:ind w:firstLine="720"/>
        <w:rPr>
          <w:bCs/>
          <w:sz w:val="28"/>
          <w:szCs w:val="28"/>
          <w:lang w:val="it-IT"/>
        </w:rPr>
      </w:pPr>
      <w:r w:rsidRPr="002F5B58">
        <w:rPr>
          <w:bCs/>
          <w:sz w:val="28"/>
          <w:szCs w:val="28"/>
          <w:lang w:val="it-IT"/>
        </w:rPr>
        <w:t>2. 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5B9DB7F8" w14:textId="77777777" w:rsidR="002F5B58" w:rsidRPr="002F5B58" w:rsidRDefault="002F5B58" w:rsidP="002F5B58">
      <w:pPr>
        <w:spacing w:before="40" w:line="320" w:lineRule="exact"/>
        <w:ind w:firstLine="567"/>
        <w:rPr>
          <w:iCs/>
          <w:sz w:val="28"/>
          <w:szCs w:val="28"/>
          <w:lang w:val="es-ES"/>
        </w:rPr>
      </w:pPr>
      <w:r w:rsidRPr="002F5B58">
        <w:rPr>
          <w:iCs/>
          <w:sz w:val="28"/>
          <w:szCs w:val="28"/>
          <w:lang w:val="it-IT"/>
        </w:rPr>
        <w:t xml:space="preserve">a. </w:t>
      </w:r>
      <w:r w:rsidRPr="002F5B58">
        <w:rPr>
          <w:iCs/>
          <w:sz w:val="28"/>
          <w:szCs w:val="28"/>
          <w:lang w:val="es-ES"/>
        </w:rPr>
        <w:t xml:space="preserve">Yêu cầu quy định chung về khảo sát </w:t>
      </w:r>
    </w:p>
    <w:p w14:paraId="4CA788E6" w14:textId="77777777" w:rsidR="002F5B58" w:rsidRPr="002F5B58" w:rsidRDefault="002F5B58" w:rsidP="002F5B58">
      <w:pPr>
        <w:spacing w:before="40" w:line="320" w:lineRule="exact"/>
        <w:ind w:firstLine="567"/>
        <w:rPr>
          <w:iCs/>
          <w:sz w:val="28"/>
          <w:szCs w:val="28"/>
          <w:lang w:val="es-ES"/>
        </w:rPr>
      </w:pPr>
      <w:r w:rsidRPr="002F5B58">
        <w:rPr>
          <w:iCs/>
          <w:sz w:val="28"/>
          <w:szCs w:val="28"/>
          <w:lang w:val="es-ES"/>
        </w:rPr>
        <w:t xml:space="preserve">- Việc khảo sát phải tuân thủ theo </w:t>
      </w:r>
      <w:r w:rsidRPr="002F5B58">
        <w:rPr>
          <w:iCs/>
          <w:sz w:val="28"/>
          <w:szCs w:val="28"/>
          <w:lang w:val="de-DE"/>
        </w:rPr>
        <w:t xml:space="preserve">Quyết </w:t>
      </w:r>
      <w:r w:rsidRPr="002F5B58">
        <w:rPr>
          <w:iCs/>
          <w:sz w:val="28"/>
          <w:szCs w:val="28"/>
          <w:lang w:val="es-ES"/>
        </w:rPr>
        <w:t>định số 789/QĐ-EVN ngày 10/6/2025 của Tập đoàn Điện lực Việt Nam V/v ban hành Quy định về công tác Đầu tư xây dựng trong Tập đoàn Điện lực Quốc gia Việt Nam;</w:t>
      </w:r>
    </w:p>
    <w:p w14:paraId="523BB74C" w14:textId="77777777" w:rsidR="002F5B58" w:rsidRPr="002F5B58" w:rsidRDefault="002F5B58" w:rsidP="002F5B58">
      <w:pPr>
        <w:spacing w:before="40" w:line="320" w:lineRule="exact"/>
        <w:ind w:firstLine="567"/>
        <w:rPr>
          <w:iCs/>
          <w:spacing w:val="-2"/>
          <w:sz w:val="28"/>
          <w:szCs w:val="28"/>
          <w:lang w:val="es-ES"/>
        </w:rPr>
      </w:pPr>
      <w:r w:rsidRPr="002F5B58">
        <w:rPr>
          <w:iCs/>
          <w:spacing w:val="-2"/>
          <w:sz w:val="28"/>
          <w:szCs w:val="28"/>
          <w:lang w:val="es-ES"/>
        </w:rPr>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57F3ACFC"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lastRenderedPageBreak/>
        <w:t>b. Lập nhiệm vụ khảo sát, phương án kỹ thuật khảo sát xây dựng</w:t>
      </w:r>
    </w:p>
    <w:p w14:paraId="3A40193D"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 Nhà thầu khảo sát lập phương án kỹ thuật khảo sát xây dựng phù hợp với nhiệm vụ khảo sát xây dựng, các tiêu chuẩn về khảo sát xây dựng được áp dụng và trình chủ đầu tư phê duyệt.</w:t>
      </w:r>
    </w:p>
    <w:p w14:paraId="4814FCE5"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 Nội dung của nhiệm vụ khảo sát tuân thủ theo điều 30, chương III của nghị định 175/2024/NĐ-CP, ngày 30/12/2024.</w:t>
      </w:r>
    </w:p>
    <w:p w14:paraId="6836BED2"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 Nội dung của phương án kỹ thuật khảo sát tuân thủ theo điều 31, chương III của nghị định 175/2024/NĐ-CP, ngày 30/12/2024.</w:t>
      </w:r>
    </w:p>
    <w:p w14:paraId="17437222"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c. Lập báo cáo khảo sát xây dựng</w:t>
      </w:r>
    </w:p>
    <w:p w14:paraId="117E2ECA"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Nội dung của Báo cáo khảo sát xây dựng tuân thủ theo điều 33, chương III của nghị định 175/2024/NĐ-CP, ngày 30/12/2024.</w:t>
      </w:r>
    </w:p>
    <w:p w14:paraId="30D5A3D8"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it-IT"/>
        </w:rPr>
        <w:t xml:space="preserve">d. </w:t>
      </w:r>
      <w:r w:rsidRPr="002F5B58">
        <w:rPr>
          <w:iCs/>
          <w:sz w:val="28"/>
          <w:szCs w:val="28"/>
          <w:lang w:val="es-ES"/>
        </w:rPr>
        <w:t>Lập hồ sơ BCKTKT</w:t>
      </w:r>
    </w:p>
    <w:p w14:paraId="0EFB729C" w14:textId="77777777" w:rsidR="002F5B58" w:rsidRPr="002F5B58" w:rsidRDefault="002F5B58" w:rsidP="002F5B58">
      <w:pPr>
        <w:spacing w:before="40" w:after="40" w:line="360" w:lineRule="exact"/>
        <w:ind w:firstLine="567"/>
        <w:rPr>
          <w:iCs/>
          <w:sz w:val="28"/>
          <w:szCs w:val="28"/>
          <w:lang w:val="it-IT"/>
        </w:rPr>
      </w:pPr>
      <w:r w:rsidRPr="002F5B58">
        <w:rPr>
          <w:iCs/>
          <w:sz w:val="28"/>
          <w:szCs w:val="28"/>
          <w:lang w:val="it-IT"/>
        </w:rPr>
        <w:t xml:space="preserve">- Các thoả thuận hướng tuyến, mặt bằng với các bên có liên quan, khối lượng công việc và sản </w:t>
      </w:r>
      <w:r w:rsidRPr="002F5B58">
        <w:rPr>
          <w:iCs/>
          <w:sz w:val="28"/>
          <w:szCs w:val="28"/>
          <w:shd w:val="solid" w:color="FFFFFF" w:fill="auto"/>
          <w:lang w:val="it-IT"/>
        </w:rPr>
        <w:t>phẩm</w:t>
      </w:r>
      <w:r w:rsidRPr="002F5B58">
        <w:rPr>
          <w:iCs/>
          <w:sz w:val="28"/>
          <w:szCs w:val="28"/>
          <w:lang w:val="it-IT"/>
        </w:rPr>
        <w:t xml:space="preserve"> của hợp đồng tư vấn phải phù hợp với các quy định của pháp luật về đầu tư xây dựng, quy chuẩn, tiêu chuẩn liên quan đến dự án, chủ trương đầu tư, hồ sơ mời thầu, các biên bản đàm phán hợp đồng.</w:t>
      </w:r>
    </w:p>
    <w:p w14:paraId="5F6875AE"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 xml:space="preserve">- Nội dung của </w:t>
      </w:r>
      <w:r w:rsidRPr="002F5B58">
        <w:rPr>
          <w:iCs/>
          <w:sz w:val="28"/>
          <w:szCs w:val="28"/>
          <w:lang w:val="it-IT"/>
        </w:rPr>
        <w:t>Báo cáo kinh tế kỹ thuật đầu tư xây dựng</w:t>
      </w:r>
      <w:r w:rsidRPr="002F5B58">
        <w:rPr>
          <w:iCs/>
          <w:sz w:val="28"/>
          <w:szCs w:val="28"/>
          <w:lang w:val="es-ES"/>
        </w:rPr>
        <w:t xml:space="preserve"> tuân thủ </w:t>
      </w:r>
      <w:r w:rsidRPr="002F5B58">
        <w:rPr>
          <w:iCs/>
          <w:sz w:val="28"/>
          <w:szCs w:val="28"/>
          <w:lang w:val="it-IT"/>
        </w:rPr>
        <w:t>theo quy định tại Điều 55 của Luật Xây dựng năm 2014</w:t>
      </w:r>
      <w:r w:rsidRPr="002F5B58">
        <w:rPr>
          <w:iCs/>
          <w:sz w:val="28"/>
          <w:szCs w:val="28"/>
          <w:lang w:val="es-ES"/>
        </w:rPr>
        <w:t>.</w:t>
      </w:r>
    </w:p>
    <w:p w14:paraId="45777817" w14:textId="77777777" w:rsidR="002F5B58" w:rsidRPr="002F5B58" w:rsidRDefault="002F5B58" w:rsidP="002F5B58">
      <w:pPr>
        <w:widowControl w:val="0"/>
        <w:spacing w:before="40" w:after="40" w:line="360" w:lineRule="exact"/>
        <w:ind w:right="9" w:firstLine="567"/>
        <w:rPr>
          <w:iCs/>
          <w:sz w:val="28"/>
          <w:szCs w:val="28"/>
          <w:lang w:val="sv-FI"/>
        </w:rPr>
      </w:pPr>
      <w:r w:rsidRPr="002F5B58">
        <w:rPr>
          <w:iCs/>
          <w:sz w:val="28"/>
          <w:szCs w:val="28"/>
          <w:lang w:val="sv-FI"/>
        </w:rPr>
        <w:t xml:space="preserve">- Hồ sơ phải tuân thủ theo </w:t>
      </w:r>
      <w:r w:rsidRPr="002F5B58">
        <w:rPr>
          <w:iCs/>
          <w:sz w:val="28"/>
          <w:szCs w:val="28"/>
          <w:lang w:val="de-DE"/>
        </w:rPr>
        <w:t xml:space="preserve">Quyết </w:t>
      </w:r>
      <w:r w:rsidRPr="002F5B58">
        <w:rPr>
          <w:iCs/>
          <w:sz w:val="28"/>
          <w:szCs w:val="28"/>
          <w:lang w:val="es-ES"/>
        </w:rPr>
        <w:t>định số 789/QĐ-EVN ngày 10/6/2025 của Tập đoàn Điện lực Việt Nam V/v ban hành Quy định về công tác Đầu tư xây dựng trong Tập đoàn Điện lực Quốc gia Việt Nam</w:t>
      </w:r>
      <w:r w:rsidRPr="002F5B58">
        <w:rPr>
          <w:iCs/>
          <w:sz w:val="28"/>
          <w:szCs w:val="28"/>
          <w:lang w:val="sv-FI"/>
        </w:rPr>
        <w:t>;</w:t>
      </w:r>
    </w:p>
    <w:p w14:paraId="1346E911" w14:textId="77777777" w:rsidR="002F5B58" w:rsidRPr="002F5B58" w:rsidRDefault="002F5B58" w:rsidP="002F5B58">
      <w:pPr>
        <w:spacing w:before="40" w:after="40" w:line="360" w:lineRule="exact"/>
        <w:ind w:firstLine="567"/>
        <w:rPr>
          <w:iCs/>
          <w:sz w:val="28"/>
          <w:szCs w:val="28"/>
          <w:lang w:val="es-ES"/>
        </w:rPr>
      </w:pPr>
      <w:r w:rsidRPr="002F5B58">
        <w:rPr>
          <w:iCs/>
          <w:sz w:val="28"/>
          <w:szCs w:val="28"/>
          <w:lang w:val="es-ES"/>
        </w:rPr>
        <w:t xml:space="preserve"> Hồ sơ </w:t>
      </w:r>
      <w:r w:rsidRPr="002F5B58">
        <w:rPr>
          <w:iCs/>
          <w:sz w:val="28"/>
          <w:szCs w:val="28"/>
          <w:lang w:val="vi"/>
        </w:rPr>
        <w:t>BCNCKT, TKBVTC-DT,</w:t>
      </w:r>
      <w:r w:rsidRPr="002F5B58">
        <w:rPr>
          <w:iCs/>
          <w:sz w:val="28"/>
          <w:szCs w:val="28"/>
        </w:rPr>
        <w:t xml:space="preserve"> </w:t>
      </w:r>
      <w:r w:rsidRPr="002F5B58">
        <w:rPr>
          <w:iCs/>
          <w:sz w:val="28"/>
          <w:szCs w:val="28"/>
          <w:lang w:val="vi"/>
        </w:rPr>
        <w:t>BCKTKT</w:t>
      </w:r>
      <w:r w:rsidRPr="002F5B58">
        <w:rPr>
          <w:iCs/>
          <w:sz w:val="28"/>
          <w:szCs w:val="28"/>
          <w:lang w:val="es-ES"/>
        </w:rPr>
        <w:t xml:space="preserve"> phải bảo đảm thể hiện được đầy đủ các thông số kỹ thuật, vật liệu sử dụng và chi tiết cấu tạo phù hợp với các quy chuẩn, tiêu chuẩn được áp dụng, đảm bảo đủ điều kiện để triển khai thi công xây dựng công trình.</w:t>
      </w:r>
    </w:p>
    <w:p w14:paraId="2267FB6F" w14:textId="77777777" w:rsidR="002F5B58" w:rsidRPr="002F5B58" w:rsidRDefault="002F5B58" w:rsidP="002F5B58">
      <w:pPr>
        <w:spacing w:before="60" w:after="60"/>
        <w:ind w:firstLine="720"/>
        <w:rPr>
          <w:bCs/>
          <w:i/>
          <w:iCs/>
          <w:sz w:val="28"/>
          <w:szCs w:val="28"/>
          <w:lang w:val="it-IT"/>
        </w:rPr>
      </w:pPr>
      <w:r w:rsidRPr="002F5B58">
        <w:rPr>
          <w:bCs/>
          <w:i/>
          <w:iCs/>
          <w:sz w:val="28"/>
          <w:szCs w:val="28"/>
          <w:lang w:val="it-IT"/>
        </w:rPr>
        <w:t xml:space="preserve">3. Dự kiến thời gian chuyên gia bắt đầu thực hiện DVTV: </w:t>
      </w:r>
      <w:r w:rsidRPr="002F5B58">
        <w:rPr>
          <w:bCs/>
          <w:i/>
          <w:sz w:val="28"/>
          <w:szCs w:val="28"/>
          <w:lang w:val="af-ZA"/>
        </w:rPr>
        <w:t>Tháng 11/2025.</w:t>
      </w:r>
    </w:p>
    <w:p w14:paraId="0A258507" w14:textId="77777777" w:rsidR="002F5B58" w:rsidRPr="002F5B58" w:rsidRDefault="002F5B58" w:rsidP="002F5B58">
      <w:pPr>
        <w:spacing w:before="60" w:after="60"/>
        <w:ind w:firstLine="720"/>
        <w:rPr>
          <w:b/>
          <w:bCs/>
          <w:iCs/>
          <w:sz w:val="28"/>
          <w:szCs w:val="28"/>
          <w:lang w:val="it-IT"/>
        </w:rPr>
      </w:pPr>
      <w:r w:rsidRPr="002F5B58">
        <w:rPr>
          <w:b/>
          <w:bCs/>
          <w:iCs/>
          <w:sz w:val="28"/>
          <w:szCs w:val="28"/>
          <w:lang w:val="it-IT"/>
        </w:rPr>
        <w:t>III. Báo cáo và thời gian thực hiện:</w:t>
      </w:r>
    </w:p>
    <w:p w14:paraId="5C6D1DC1"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1. Nhà thầu báo cáo định kỳ theo lịch như sau:</w:t>
      </w:r>
    </w:p>
    <w:p w14:paraId="611B6880"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Báo cáo hàng tuần, hàng tháng qua nhóm zalo công việc, hoặc bằng văn bản khi có yêu cầu của Chủ đầu tư.</w:t>
      </w:r>
    </w:p>
    <w:p w14:paraId="7384EC36"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Nội dung báo cáo phải thể hiện rõ tiến độ, khối lượng công việc đã thực hiện của nhà thầu, các vướng mắc, tồn tại cần xử lý, các đề xuất, kiến nghị với Chủ đầu tư.</w:t>
      </w:r>
    </w:p>
    <w:p w14:paraId="4D66BB2B"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lastRenderedPageBreak/>
        <w:t>2. Nhà thầu báo cáo đột xuất theo yêu cầu của Chủ đầu tư, hoặc các vấn đề nảy sinh cần có sự thống nhất giữa các bên trong quá trình thực hiện.</w:t>
      </w:r>
    </w:p>
    <w:p w14:paraId="79273BA8"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Nội dung báo cáo: Theo yêu cầu của Chủ đầu tư.</w:t>
      </w:r>
    </w:p>
    <w:p w14:paraId="71289078"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3. Nhà thầu phải nộp Hồ sơ cho Chủ đầu tư để tổ chức nghiệm thu, thẩm tra phê duyệt bao gồm:</w:t>
      </w:r>
    </w:p>
    <w:p w14:paraId="3C3B2FEC"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Nhiệm vụ khảo sát xây dựng; Phương án kỹ thuật khảo sát xây dựng; Báo cáo khảo sát xây dựng; Nhiệm vụ thiết kế xây dựng.</w:t>
      </w:r>
    </w:p>
    <w:p w14:paraId="45AA52F7"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Các văn bản thoả thuận, quyết định phê duyệt của các cơ quan ban ngành, cấp có thẩm quyền liên quan đến thỏa thuận hướng tuyến.</w:t>
      </w:r>
    </w:p>
    <w:p w14:paraId="323DAC97"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xml:space="preserve">- Hồ sơ TKBVTC-DT, </w:t>
      </w:r>
      <w:r w:rsidRPr="002F5B58">
        <w:rPr>
          <w:sz w:val="27"/>
          <w:szCs w:val="27"/>
          <w:lang w:val="it-IT"/>
        </w:rPr>
        <w:t>BCKTKT</w:t>
      </w:r>
      <w:r w:rsidRPr="002F5B58">
        <w:rPr>
          <w:sz w:val="28"/>
          <w:szCs w:val="28"/>
          <w:lang w:val="sv-SE"/>
        </w:rPr>
        <w:t>;</w:t>
      </w:r>
    </w:p>
    <w:p w14:paraId="0312F50D" w14:textId="77777777" w:rsidR="002F5B58" w:rsidRPr="002F5B58" w:rsidRDefault="002F5B58" w:rsidP="002F5B58">
      <w:pPr>
        <w:tabs>
          <w:tab w:val="left" w:pos="436"/>
          <w:tab w:val="right" w:pos="8393"/>
        </w:tabs>
        <w:spacing w:before="40" w:after="40" w:line="360" w:lineRule="exact"/>
        <w:ind w:firstLine="567"/>
        <w:rPr>
          <w:sz w:val="28"/>
          <w:szCs w:val="28"/>
          <w:lang w:val="sv-SE"/>
        </w:rPr>
      </w:pPr>
      <w:r w:rsidRPr="002F5B58">
        <w:rPr>
          <w:sz w:val="28"/>
          <w:szCs w:val="28"/>
          <w:lang w:val="sv-SE"/>
        </w:rPr>
        <w:t>- Hồ sơ thanh, quyết toán theo hợp đồng.</w:t>
      </w:r>
    </w:p>
    <w:p w14:paraId="094F9F2F" w14:textId="77777777" w:rsidR="002F5B58" w:rsidRPr="002F5B58" w:rsidRDefault="002F5B58" w:rsidP="002F5B58">
      <w:pPr>
        <w:spacing w:before="40" w:after="40" w:line="360" w:lineRule="exact"/>
        <w:ind w:firstLine="567"/>
        <w:rPr>
          <w:sz w:val="28"/>
          <w:szCs w:val="28"/>
          <w:lang w:val="it-IT"/>
        </w:rPr>
      </w:pPr>
      <w:r w:rsidRPr="002F5B58">
        <w:rPr>
          <w:sz w:val="28"/>
          <w:szCs w:val="28"/>
          <w:lang w:val="it-IT"/>
        </w:rPr>
        <w:t>4. Thời gian thực hiện hợp đồng: 120 ngày kề từ ngày hợp đồng có hiệu lực.</w:t>
      </w:r>
    </w:p>
    <w:p w14:paraId="4E9A8F0A" w14:textId="77777777" w:rsidR="002F5B58" w:rsidRPr="002F5B58" w:rsidRDefault="002F5B58" w:rsidP="002F5B58">
      <w:pPr>
        <w:spacing w:before="60" w:after="60"/>
        <w:ind w:firstLine="567"/>
        <w:rPr>
          <w:b/>
          <w:bCs/>
          <w:iCs/>
          <w:sz w:val="28"/>
          <w:szCs w:val="28"/>
          <w:lang w:val="it-IT"/>
        </w:rPr>
      </w:pPr>
      <w:r w:rsidRPr="002F5B58">
        <w:rPr>
          <w:b/>
          <w:bCs/>
          <w:iCs/>
          <w:sz w:val="28"/>
          <w:szCs w:val="28"/>
          <w:lang w:val="it-IT"/>
        </w:rPr>
        <w:t>IV. Kinh nghiệm và nhân sự của nhà thầu:</w:t>
      </w:r>
    </w:p>
    <w:p w14:paraId="1A6E4F9D" w14:textId="77777777" w:rsidR="002F5B58" w:rsidRPr="002F5B58" w:rsidRDefault="002F5B58" w:rsidP="002F5B58">
      <w:pPr>
        <w:spacing w:before="60" w:after="60"/>
        <w:ind w:firstLine="567"/>
        <w:rPr>
          <w:bCs/>
          <w:i/>
          <w:iCs/>
          <w:sz w:val="28"/>
          <w:szCs w:val="28"/>
          <w:lang w:val="it-IT"/>
        </w:rPr>
      </w:pPr>
      <w:r w:rsidRPr="002F5B58">
        <w:rPr>
          <w:bCs/>
          <w:i/>
          <w:iCs/>
          <w:sz w:val="28"/>
          <w:szCs w:val="28"/>
          <w:lang w:val="it-IT"/>
        </w:rPr>
        <w:t xml:space="preserve">Yêu cầu về nhân sự cần thiết cho gói thầu và cho từng vị trí . </w:t>
      </w:r>
      <w:r w:rsidRPr="002F5B58">
        <w:rPr>
          <w:bCs/>
          <w:iCs/>
          <w:sz w:val="28"/>
          <w:szCs w:val="28"/>
          <w:lang w:val="it-IT"/>
        </w:rPr>
        <w:t xml:space="preserve">Theo </w:t>
      </w:r>
      <w:r w:rsidRPr="002F5B58">
        <w:rPr>
          <w:b/>
          <w:bCs/>
          <w:iCs/>
          <w:sz w:val="28"/>
          <w:szCs w:val="28"/>
          <w:lang w:val="it-IT"/>
        </w:rPr>
        <w:t>khoản 4</w:t>
      </w:r>
      <w:r w:rsidRPr="002F5B58">
        <w:rPr>
          <w:bCs/>
          <w:iCs/>
          <w:sz w:val="28"/>
          <w:szCs w:val="28"/>
          <w:lang w:val="it-IT"/>
        </w:rPr>
        <w:t xml:space="preserve"> </w:t>
      </w:r>
      <w:r w:rsidRPr="002F5B58">
        <w:rPr>
          <w:b/>
          <w:bCs/>
          <w:iCs/>
          <w:sz w:val="28"/>
          <w:szCs w:val="28"/>
          <w:lang w:val="it-IT"/>
        </w:rPr>
        <w:t>mục 2</w:t>
      </w:r>
      <w:r w:rsidRPr="002F5B58">
        <w:rPr>
          <w:bCs/>
          <w:iCs/>
          <w:sz w:val="28"/>
          <w:szCs w:val="28"/>
          <w:lang w:val="it-IT"/>
        </w:rPr>
        <w:t xml:space="preserve"> tiêu chuẩn đánh giá về kỹ thuật, Chương III.</w:t>
      </w:r>
    </w:p>
    <w:p w14:paraId="14F0EE30" w14:textId="77777777" w:rsidR="002F5B58" w:rsidRPr="002F5B58" w:rsidRDefault="002F5B58" w:rsidP="002F5B58">
      <w:pPr>
        <w:spacing w:before="60" w:after="60"/>
        <w:ind w:firstLine="567"/>
        <w:rPr>
          <w:b/>
          <w:bCs/>
          <w:iCs/>
          <w:sz w:val="28"/>
          <w:szCs w:val="28"/>
          <w:lang w:val="it-IT"/>
        </w:rPr>
      </w:pPr>
      <w:r w:rsidRPr="002F5B58">
        <w:rPr>
          <w:b/>
          <w:bCs/>
          <w:iCs/>
          <w:sz w:val="28"/>
          <w:szCs w:val="28"/>
          <w:lang w:val="it-IT"/>
        </w:rPr>
        <w:t>V. Trách nhiệm của Chủ đầu tư:</w:t>
      </w:r>
    </w:p>
    <w:p w14:paraId="79EE6B18" w14:textId="77777777" w:rsidR="002F5B58" w:rsidRPr="002F5B58" w:rsidRDefault="002F5B58" w:rsidP="002F5B58">
      <w:pPr>
        <w:spacing w:before="60" w:after="60"/>
        <w:ind w:firstLine="567"/>
        <w:rPr>
          <w:i/>
          <w:iCs/>
          <w:sz w:val="28"/>
          <w:szCs w:val="28"/>
          <w:lang w:val="it-IT"/>
        </w:rPr>
      </w:pPr>
      <w:r w:rsidRPr="002F5B58">
        <w:rPr>
          <w:bCs/>
          <w:sz w:val="28"/>
          <w:szCs w:val="28"/>
          <w:lang w:val="it-IT"/>
        </w:rPr>
        <w:t>Chủ đầu tư có trách nhiệm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14:paraId="7625BA8C" w14:textId="77777777" w:rsidR="000A651E" w:rsidRPr="002F5B58" w:rsidRDefault="000A651E"/>
    <w:sectPr w:rsidR="000A651E" w:rsidRPr="002F5B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58"/>
    <w:rsid w:val="000A651E"/>
    <w:rsid w:val="002F5B58"/>
    <w:rsid w:val="004C25CA"/>
    <w:rsid w:val="00634355"/>
    <w:rsid w:val="007567EC"/>
    <w:rsid w:val="00D33E28"/>
    <w:rsid w:val="00E74BDF"/>
    <w:rsid w:val="00EF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2E07"/>
  <w15:chartTrackingRefBased/>
  <w15:docId w15:val="{868DB7FE-165E-4447-8DB5-859F4B8B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B58"/>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
    <w:basedOn w:val="Normal"/>
    <w:next w:val="Normal"/>
    <w:link w:val="Heading1Char"/>
    <w:qFormat/>
    <w:rsid w:val="002F5B58"/>
    <w:pPr>
      <w:keepNext/>
      <w:keepLines/>
      <w:spacing w:before="360" w:after="80" w:line="278" w:lineRule="auto"/>
      <w:jc w:val="left"/>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5B58"/>
    <w:pPr>
      <w:keepNext/>
      <w:keepLines/>
      <w:spacing w:before="160" w:after="80" w:line="278" w:lineRule="auto"/>
      <w:jc w:val="left"/>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5B58"/>
    <w:pPr>
      <w:keepNext/>
      <w:keepLines/>
      <w:spacing w:before="160" w:after="80" w:line="278" w:lineRule="auto"/>
      <w:jc w:val="left"/>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5B58"/>
    <w:pPr>
      <w:keepNext/>
      <w:keepLines/>
      <w:spacing w:before="80" w:after="40" w:line="278" w:lineRule="auto"/>
      <w:jc w:val="left"/>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2F5B58"/>
    <w:pPr>
      <w:keepNext/>
      <w:keepLines/>
      <w:spacing w:before="80" w:after="40" w:line="278" w:lineRule="auto"/>
      <w:jc w:val="left"/>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2F5B5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2F5B5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2F5B5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2F5B58"/>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2F5B5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F5B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F5B5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F5B5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F5B5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F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B58"/>
    <w:rPr>
      <w:rFonts w:eastAsiaTheme="majorEastAsia" w:cstheme="majorBidi"/>
      <w:color w:val="272727" w:themeColor="text1" w:themeTint="D8"/>
    </w:rPr>
  </w:style>
  <w:style w:type="paragraph" w:styleId="Title">
    <w:name w:val="Title"/>
    <w:basedOn w:val="Normal"/>
    <w:next w:val="Normal"/>
    <w:link w:val="TitleChar"/>
    <w:uiPriority w:val="10"/>
    <w:qFormat/>
    <w:rsid w:val="002F5B58"/>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B5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B58"/>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F5B58"/>
    <w:rPr>
      <w:i/>
      <w:iCs/>
      <w:color w:val="404040" w:themeColor="text1" w:themeTint="BF"/>
    </w:rPr>
  </w:style>
  <w:style w:type="paragraph" w:styleId="ListParagraph">
    <w:name w:val="List Paragraph"/>
    <w:basedOn w:val="Normal"/>
    <w:uiPriority w:val="34"/>
    <w:qFormat/>
    <w:rsid w:val="002F5B58"/>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2F5B58"/>
    <w:rPr>
      <w:i/>
      <w:iCs/>
      <w:color w:val="2E74B5" w:themeColor="accent1" w:themeShade="BF"/>
    </w:rPr>
  </w:style>
  <w:style w:type="paragraph" w:styleId="IntenseQuote">
    <w:name w:val="Intense Quote"/>
    <w:basedOn w:val="Normal"/>
    <w:next w:val="Normal"/>
    <w:link w:val="IntenseQuoteChar"/>
    <w:uiPriority w:val="30"/>
    <w:qFormat/>
    <w:rsid w:val="002F5B58"/>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2F5B58"/>
    <w:rPr>
      <w:i/>
      <w:iCs/>
      <w:color w:val="2E74B5" w:themeColor="accent1" w:themeShade="BF"/>
    </w:rPr>
  </w:style>
  <w:style w:type="character" w:styleId="IntenseReference">
    <w:name w:val="Intense Reference"/>
    <w:basedOn w:val="DefaultParagraphFont"/>
    <w:uiPriority w:val="32"/>
    <w:qFormat/>
    <w:rsid w:val="002F5B58"/>
    <w:rPr>
      <w:b/>
      <w:bCs/>
      <w:smallCaps/>
      <w:color w:val="2E74B5" w:themeColor="accent1" w:themeShade="BF"/>
      <w:spacing w:val="5"/>
    </w:rPr>
  </w:style>
  <w:style w:type="paragraph" w:styleId="BodyText">
    <w:name w:val="Body Text"/>
    <w:basedOn w:val="Normal"/>
    <w:link w:val="BodyTextChar"/>
    <w:rsid w:val="002F5B58"/>
    <w:pPr>
      <w:suppressAutoHyphens/>
      <w:ind w:right="-72"/>
    </w:pPr>
    <w:rPr>
      <w:spacing w:val="-4"/>
    </w:rPr>
  </w:style>
  <w:style w:type="character" w:customStyle="1" w:styleId="BodyTextChar">
    <w:name w:val="Body Text Char"/>
    <w:basedOn w:val="DefaultParagraphFont"/>
    <w:link w:val="BodyText"/>
    <w:rsid w:val="002F5B58"/>
    <w:rPr>
      <w:rFonts w:ascii="Times New Roman" w:eastAsia="Times New Roman" w:hAnsi="Times New Roman" w:cs="Times New Roman"/>
      <w:spacing w:val="-4"/>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Duy Linh</dc:creator>
  <cp:keywords/>
  <dc:description/>
  <cp:lastModifiedBy>Hoang Duy Linh</cp:lastModifiedBy>
  <cp:revision>1</cp:revision>
  <dcterms:created xsi:type="dcterms:W3CDTF">2025-11-03T08:18:00Z</dcterms:created>
  <dcterms:modified xsi:type="dcterms:W3CDTF">2025-11-03T08:19:00Z</dcterms:modified>
</cp:coreProperties>
</file>