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379" w:rsidRPr="0097778D" w:rsidRDefault="00FE7379" w:rsidP="00FE7379">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rsidR="00FE7379" w:rsidRPr="00F532AC" w:rsidRDefault="00FE7379" w:rsidP="00FE7379">
      <w:pPr>
        <w:widowControl w:val="0"/>
        <w:spacing w:before="120" w:line="276" w:lineRule="auto"/>
        <w:ind w:firstLine="567"/>
        <w:rPr>
          <w:sz w:val="26"/>
          <w:szCs w:val="26"/>
          <w:lang w:val="es-ES"/>
        </w:rPr>
      </w:pPr>
      <w:r w:rsidRPr="00F532AC">
        <w:rPr>
          <w:sz w:val="26"/>
          <w:szCs w:val="26"/>
          <w:lang w:val="es-ES"/>
        </w:rPr>
        <w:t>Đánh giá theo phương pháp đạt, không đạt.</w:t>
      </w:r>
    </w:p>
    <w:p w:rsidR="00FE7379" w:rsidRPr="00F532AC" w:rsidRDefault="00FE7379" w:rsidP="00FE7379">
      <w:pPr>
        <w:spacing w:before="120" w:after="120"/>
        <w:ind w:firstLine="567"/>
        <w:rPr>
          <w:sz w:val="26"/>
          <w:szCs w:val="26"/>
        </w:rPr>
      </w:pPr>
      <w:r w:rsidRPr="00F532AC">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rsidR="00FE7379" w:rsidRPr="00F532AC" w:rsidRDefault="00FE7379" w:rsidP="00FE7379">
      <w:pPr>
        <w:spacing w:before="120" w:after="120"/>
        <w:ind w:firstLine="567"/>
        <w:rPr>
          <w:sz w:val="26"/>
          <w:szCs w:val="26"/>
        </w:rPr>
      </w:pPr>
      <w:r w:rsidRPr="00F532AC">
        <w:rPr>
          <w:sz w:val="26"/>
          <w:szCs w:val="26"/>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2164"/>
        <w:gridCol w:w="3381"/>
        <w:gridCol w:w="2820"/>
      </w:tblGrid>
      <w:tr w:rsidR="00FE7379" w:rsidRPr="00F532AC" w:rsidTr="00AE3DB6">
        <w:trPr>
          <w:trHeight w:val="411"/>
          <w:tblHeader/>
        </w:trPr>
        <w:tc>
          <w:tcPr>
            <w:tcW w:w="361" w:type="pct"/>
            <w:vMerge w:val="restart"/>
            <w:tcBorders>
              <w:top w:val="single" w:sz="4" w:space="0" w:color="auto"/>
              <w:left w:val="single" w:sz="4" w:space="0" w:color="auto"/>
              <w:right w:val="single" w:sz="4" w:space="0" w:color="auto"/>
            </w:tcBorders>
            <w:vAlign w:val="center"/>
            <w:hideMark/>
          </w:tcPr>
          <w:p w:rsidR="00FE7379" w:rsidRPr="00F532AC" w:rsidRDefault="00FE7379" w:rsidP="00AE3DB6">
            <w:pPr>
              <w:spacing w:before="60" w:line="288" w:lineRule="auto"/>
              <w:rPr>
                <w:b/>
                <w:sz w:val="26"/>
                <w:szCs w:val="26"/>
              </w:rPr>
            </w:pPr>
            <w:r w:rsidRPr="00F532AC">
              <w:rPr>
                <w:b/>
                <w:sz w:val="26"/>
                <w:szCs w:val="26"/>
              </w:rPr>
              <w:t>TT</w:t>
            </w:r>
          </w:p>
        </w:tc>
        <w:tc>
          <w:tcPr>
            <w:tcW w:w="1200" w:type="pct"/>
            <w:vMerge w:val="restart"/>
            <w:tcBorders>
              <w:top w:val="single" w:sz="4" w:space="0" w:color="auto"/>
              <w:left w:val="single" w:sz="4" w:space="0" w:color="auto"/>
              <w:right w:val="single" w:sz="4" w:space="0" w:color="auto"/>
            </w:tcBorders>
            <w:vAlign w:val="center"/>
            <w:hideMark/>
          </w:tcPr>
          <w:p w:rsidR="00FE7379" w:rsidRPr="00F532AC" w:rsidRDefault="00FE7379" w:rsidP="00AE3DB6">
            <w:pPr>
              <w:spacing w:before="60" w:line="288" w:lineRule="auto"/>
              <w:rPr>
                <w:b/>
                <w:sz w:val="26"/>
                <w:szCs w:val="26"/>
              </w:rPr>
            </w:pPr>
            <w:r w:rsidRPr="00F532AC">
              <w:rPr>
                <w:b/>
                <w:sz w:val="26"/>
                <w:szCs w:val="26"/>
              </w:rPr>
              <w:t>Nội dung yêu cầu</w:t>
            </w:r>
          </w:p>
        </w:tc>
        <w:tc>
          <w:tcPr>
            <w:tcW w:w="3439" w:type="pct"/>
            <w:gridSpan w:val="2"/>
            <w:tcBorders>
              <w:top w:val="single" w:sz="4" w:space="0" w:color="auto"/>
              <w:left w:val="single" w:sz="4" w:space="0" w:color="auto"/>
              <w:bottom w:val="single" w:sz="4" w:space="0" w:color="auto"/>
              <w:right w:val="single" w:sz="4" w:space="0" w:color="auto"/>
            </w:tcBorders>
            <w:vAlign w:val="center"/>
            <w:hideMark/>
          </w:tcPr>
          <w:p w:rsidR="00FE7379" w:rsidRPr="00F532AC" w:rsidRDefault="00FE7379" w:rsidP="00AE3DB6">
            <w:pPr>
              <w:spacing w:before="60" w:line="288" w:lineRule="auto"/>
              <w:jc w:val="center"/>
              <w:rPr>
                <w:b/>
                <w:sz w:val="26"/>
                <w:szCs w:val="26"/>
              </w:rPr>
            </w:pPr>
            <w:r w:rsidRPr="00F532AC">
              <w:rPr>
                <w:b/>
                <w:sz w:val="26"/>
                <w:szCs w:val="26"/>
              </w:rPr>
              <w:t>Mức độ đáp ứng</w:t>
            </w:r>
          </w:p>
        </w:tc>
      </w:tr>
      <w:tr w:rsidR="00FE7379" w:rsidRPr="00F532AC" w:rsidTr="00AE3DB6">
        <w:trPr>
          <w:tblHeader/>
        </w:trPr>
        <w:tc>
          <w:tcPr>
            <w:tcW w:w="361" w:type="pct"/>
            <w:vMerge/>
            <w:tcBorders>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
                <w:sz w:val="26"/>
                <w:szCs w:val="26"/>
              </w:rPr>
            </w:pPr>
          </w:p>
        </w:tc>
        <w:tc>
          <w:tcPr>
            <w:tcW w:w="1200" w:type="pct"/>
            <w:vMerge/>
            <w:tcBorders>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
                <w:sz w:val="26"/>
                <w:szCs w:val="26"/>
              </w:rPr>
            </w:pPr>
          </w:p>
        </w:tc>
        <w:tc>
          <w:tcPr>
            <w:tcW w:w="1875" w:type="pct"/>
            <w:tcBorders>
              <w:top w:val="single" w:sz="4" w:space="0" w:color="auto"/>
              <w:left w:val="single" w:sz="4" w:space="0" w:color="auto"/>
              <w:bottom w:val="single" w:sz="4" w:space="0" w:color="auto"/>
              <w:right w:val="single" w:sz="4" w:space="0" w:color="auto"/>
            </w:tcBorders>
            <w:vAlign w:val="center"/>
            <w:hideMark/>
          </w:tcPr>
          <w:p w:rsidR="00FE7379" w:rsidRPr="00F532AC" w:rsidRDefault="00FE7379" w:rsidP="00AE3DB6">
            <w:pPr>
              <w:spacing w:before="60" w:line="288" w:lineRule="auto"/>
              <w:jc w:val="center"/>
              <w:rPr>
                <w:b/>
                <w:sz w:val="26"/>
                <w:szCs w:val="26"/>
              </w:rPr>
            </w:pPr>
            <w:r w:rsidRPr="00F532AC">
              <w:rPr>
                <w:b/>
                <w:sz w:val="26"/>
                <w:szCs w:val="26"/>
              </w:rPr>
              <w:t>Đạt</w:t>
            </w:r>
          </w:p>
        </w:tc>
        <w:tc>
          <w:tcPr>
            <w:tcW w:w="1561" w:type="pct"/>
            <w:tcBorders>
              <w:top w:val="single" w:sz="4" w:space="0" w:color="auto"/>
              <w:left w:val="single" w:sz="4" w:space="0" w:color="auto"/>
              <w:bottom w:val="single" w:sz="4" w:space="0" w:color="auto"/>
              <w:right w:val="single" w:sz="4" w:space="0" w:color="auto"/>
            </w:tcBorders>
            <w:vAlign w:val="center"/>
            <w:hideMark/>
          </w:tcPr>
          <w:p w:rsidR="00FE7379" w:rsidRPr="00F532AC" w:rsidRDefault="00FE7379" w:rsidP="00AE3DB6">
            <w:pPr>
              <w:spacing w:before="60" w:line="288" w:lineRule="auto"/>
              <w:jc w:val="center"/>
              <w:rPr>
                <w:b/>
                <w:sz w:val="26"/>
                <w:szCs w:val="26"/>
              </w:rPr>
            </w:pPr>
            <w:r w:rsidRPr="00F532AC">
              <w:rPr>
                <w:b/>
                <w:sz w:val="26"/>
                <w:szCs w:val="26"/>
              </w:rPr>
              <w:t>Không đạt</w:t>
            </w:r>
          </w:p>
        </w:tc>
      </w:tr>
      <w:tr w:rsidR="00FE7379" w:rsidRPr="00F532AC" w:rsidTr="00AE3DB6">
        <w:trPr>
          <w:trHeight w:val="611"/>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jc w:val="center"/>
              <w:rPr>
                <w:bCs/>
                <w:sz w:val="26"/>
                <w:szCs w:val="26"/>
              </w:rPr>
            </w:pPr>
            <w:r w:rsidRPr="00F532AC">
              <w:rPr>
                <w:bCs/>
                <w:sz w:val="26"/>
                <w:szCs w:val="26"/>
              </w:rPr>
              <w:t>1</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 xml:space="preserve">Các loại VTTB yêu cầu tại Chương V, Phần </w:t>
            </w:r>
            <w:r>
              <w:rPr>
                <w:bCs/>
                <w:sz w:val="26"/>
                <w:szCs w:val="26"/>
              </w:rPr>
              <w:t>3</w:t>
            </w:r>
            <w:r w:rsidRPr="00F532AC">
              <w:rPr>
                <w:bCs/>
                <w:sz w:val="26"/>
                <w:szCs w:val="26"/>
              </w:rPr>
              <w:t xml:space="preserve"> Yêu cầu về kỹ thuật</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rPr>
            </w:pPr>
            <w:r w:rsidRPr="00F532AC">
              <w:rPr>
                <w:bCs/>
                <w:sz w:val="26"/>
                <w:szCs w:val="26"/>
              </w:rPr>
              <w:t xml:space="preserve">- Nêu chủng loại, nhà sản xuất, thông số kỹ thuật, tiêu chuẩn sản xuất đáp ứng theo yêu cầu tại Chương V, Phần </w:t>
            </w:r>
            <w:r>
              <w:rPr>
                <w:bCs/>
                <w:sz w:val="26"/>
                <w:szCs w:val="26"/>
              </w:rPr>
              <w:t>3</w:t>
            </w:r>
            <w:r w:rsidRPr="00F532AC">
              <w:rPr>
                <w:bCs/>
                <w:sz w:val="26"/>
                <w:szCs w:val="26"/>
              </w:rPr>
              <w:t xml:space="preserve"> Yêu cầu về kỹ thuật. </w:t>
            </w:r>
          </w:p>
          <w:p w:rsidR="00FE7379" w:rsidRPr="00F532AC" w:rsidRDefault="00FE7379" w:rsidP="00AE3DB6">
            <w:pPr>
              <w:spacing w:before="60" w:line="288" w:lineRule="auto"/>
              <w:rPr>
                <w:bCs/>
                <w:sz w:val="26"/>
                <w:szCs w:val="26"/>
                <w:lang w:val="nl-NL"/>
              </w:rPr>
            </w:pPr>
            <w:r w:rsidRPr="00F532AC">
              <w:rPr>
                <w:bCs/>
                <w:sz w:val="26"/>
                <w:szCs w:val="26"/>
              </w:rPr>
              <w:t xml:space="preserve"> - Cam kết vật tư cung cấp cho gói thầu phải đảm bảo mới 100% chưa từng qua sử dụng, có nguồn gốc xuất xứ hợp lệ, đáp ứng các yêu cầu kỹ thuật của HSMT</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rPr>
            </w:pPr>
            <w:r w:rsidRPr="00F532AC">
              <w:rPr>
                <w:bCs/>
                <w:sz w:val="26"/>
                <w:szCs w:val="26"/>
              </w:rPr>
              <w:t xml:space="preserve">- Không nêu thông số kỹ thuật, vật tư thiết bị hoặc có nêu chủng loại, nhà sản xuất, thông số kỹ thuật nhưng không không đáp ứng theo yêu cầu tại Chương V, Phần </w:t>
            </w:r>
            <w:r>
              <w:rPr>
                <w:bCs/>
                <w:sz w:val="26"/>
                <w:szCs w:val="26"/>
              </w:rPr>
              <w:t>3</w:t>
            </w:r>
            <w:r w:rsidRPr="00F532AC">
              <w:rPr>
                <w:bCs/>
                <w:sz w:val="26"/>
                <w:szCs w:val="26"/>
              </w:rPr>
              <w:t xml:space="preserve"> Yêu cầu về kỹ thuật. </w:t>
            </w:r>
          </w:p>
          <w:p w:rsidR="00FE7379" w:rsidRPr="00F532AC" w:rsidRDefault="00FE7379" w:rsidP="00AE3DB6">
            <w:pPr>
              <w:spacing w:before="60" w:line="288" w:lineRule="auto"/>
              <w:rPr>
                <w:bCs/>
                <w:sz w:val="26"/>
                <w:szCs w:val="26"/>
                <w:lang w:val="nl-NL"/>
              </w:rPr>
            </w:pPr>
            <w:r w:rsidRPr="00F532AC">
              <w:rPr>
                <w:bCs/>
                <w:sz w:val="26"/>
                <w:szCs w:val="26"/>
              </w:rPr>
              <w:t xml:space="preserve"> - Không có cam kết vật tư cung cấp cho gói thầu</w:t>
            </w:r>
          </w:p>
        </w:tc>
      </w:tr>
      <w:tr w:rsidR="00FE7379" w:rsidRPr="009F4961" w:rsidTr="00AE3DB6">
        <w:trPr>
          <w:trHeight w:val="629"/>
        </w:trPr>
        <w:tc>
          <w:tcPr>
            <w:tcW w:w="361" w:type="pct"/>
            <w:tcBorders>
              <w:top w:val="single" w:sz="4" w:space="0" w:color="auto"/>
              <w:left w:val="single" w:sz="4" w:space="0" w:color="auto"/>
              <w:right w:val="single" w:sz="4" w:space="0" w:color="auto"/>
            </w:tcBorders>
            <w:vAlign w:val="center"/>
          </w:tcPr>
          <w:p w:rsidR="00FE7379" w:rsidRPr="009F4961" w:rsidRDefault="00FE7379" w:rsidP="00AE3DB6">
            <w:pPr>
              <w:spacing w:before="60" w:line="288" w:lineRule="auto"/>
              <w:ind w:left="-110"/>
              <w:jc w:val="center"/>
              <w:rPr>
                <w:b/>
                <w:sz w:val="26"/>
                <w:szCs w:val="26"/>
              </w:rPr>
            </w:pPr>
            <w:r w:rsidRPr="009F4961">
              <w:rPr>
                <w:b/>
                <w:sz w:val="26"/>
                <w:szCs w:val="26"/>
              </w:rPr>
              <w:t>2</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9F4961" w:rsidRDefault="00FE7379" w:rsidP="00AE3DB6">
            <w:pPr>
              <w:pStyle w:val="BodyText2"/>
              <w:suppressAutoHyphens w:val="0"/>
              <w:spacing w:before="60" w:line="288" w:lineRule="auto"/>
              <w:ind w:left="34"/>
              <w:jc w:val="left"/>
              <w:rPr>
                <w:b/>
                <w:i w:val="0"/>
                <w:sz w:val="26"/>
                <w:szCs w:val="26"/>
              </w:rPr>
            </w:pPr>
            <w:r w:rsidRPr="009F4961">
              <w:rPr>
                <w:b/>
                <w:i w:val="0"/>
                <w:sz w:val="26"/>
                <w:szCs w:val="26"/>
              </w:rPr>
              <w:t>Giải pháp kỹ thuật, biện pháp tổ chức thi công:</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9F4961" w:rsidRDefault="00FE7379" w:rsidP="00AE3DB6">
            <w:pPr>
              <w:spacing w:before="60" w:line="288" w:lineRule="auto"/>
              <w:rPr>
                <w:b/>
                <w:sz w:val="26"/>
                <w:szCs w:val="26"/>
                <w:lang w:val="nl-NL"/>
              </w:rPr>
            </w:pP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9F4961" w:rsidRDefault="00FE7379" w:rsidP="00AE3DB6">
            <w:pPr>
              <w:spacing w:before="60" w:line="288" w:lineRule="auto"/>
              <w:rPr>
                <w:b/>
                <w:sz w:val="26"/>
                <w:szCs w:val="26"/>
                <w:lang w:val="nl-NL"/>
              </w:rPr>
            </w:pP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2.1</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Tổ chức mặt bằng công trường</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Có giải pháp kỹ thuật hợp lý, phù hợp với điều kiện biện pháp thi công, tiến độ thi công tháo dỡ, sửa chữa máy biến áp</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Không có giải pháp hoặc giải pháp kỹ thuật không hợp lý, không phù hợp với điều kiện biện pháp thi công, thi công tháo dỡ, sửa chữa máy biến áp</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2.2</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Giải pháp tháo dỡ, thu hồi vật tư, thiết bị</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Có giải pháp kỹ thuật hợp lý, phù hợp với điều kiện biện pháp thi công, tiến độ thi công tháo dỡ, sửa chữa máy biến áp</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Không có giải pháp hoặc giải pháp kỹ thuật không hợp lý, không phù hợp với điều kiện biện pháp thi công tháo dỡ, sửa chữa máy biến áp</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lastRenderedPageBreak/>
              <w:t>2.3</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Giải pháp cung cấp và thi công lắp đặt vật tư, thiết bị</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rPr>
            </w:pPr>
            <w:r w:rsidRPr="00F532AC">
              <w:rPr>
                <w:bCs/>
                <w:sz w:val="26"/>
                <w:szCs w:val="26"/>
              </w:rPr>
              <w:t xml:space="preserve">- Có giải pháp kỹ thuật hợp lý, phù hợp với điều kiện biện pháp thi công, tiến độ thi công tháo dỡ, sửa chữa máy biến áp. </w:t>
            </w:r>
          </w:p>
          <w:p w:rsidR="00FE7379" w:rsidRPr="00F532AC" w:rsidRDefault="00FE7379" w:rsidP="00AE3DB6">
            <w:pPr>
              <w:spacing w:before="60" w:line="288" w:lineRule="auto"/>
              <w:rPr>
                <w:bCs/>
                <w:sz w:val="26"/>
                <w:szCs w:val="26"/>
                <w:lang w:val="nl-NL"/>
              </w:rPr>
            </w:pPr>
            <w:r w:rsidRPr="00F532AC">
              <w:rPr>
                <w:bCs/>
                <w:sz w:val="26"/>
                <w:szCs w:val="26"/>
              </w:rPr>
              <w:t>- Có bảng thông số vật tư thiết bị đáp ứng yêu cầu kỹ thuật.</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rPr>
            </w:pPr>
            <w:r w:rsidRPr="00F532AC">
              <w:rPr>
                <w:bCs/>
                <w:sz w:val="26"/>
                <w:szCs w:val="26"/>
              </w:rPr>
              <w:t>- Không có giải pháp hoặc giải pháp kỹ thuật không hợp lý, không phù hợp với điều kiện biện pháp thi công tháo dỡ, sửa chữa máy biến áp.</w:t>
            </w:r>
          </w:p>
          <w:p w:rsidR="00FE7379" w:rsidRPr="00F532AC" w:rsidRDefault="00FE7379" w:rsidP="00AE3DB6">
            <w:pPr>
              <w:spacing w:before="60" w:line="288" w:lineRule="auto"/>
              <w:rPr>
                <w:bCs/>
                <w:sz w:val="26"/>
                <w:szCs w:val="26"/>
                <w:lang w:val="nl-NL"/>
              </w:rPr>
            </w:pPr>
            <w:r w:rsidRPr="00F532AC">
              <w:rPr>
                <w:bCs/>
                <w:sz w:val="26"/>
                <w:szCs w:val="26"/>
              </w:rPr>
              <w:t xml:space="preserve"> - Không có bảng thông số vật tư thiết bị hoặc có bảng thông số vật tư thiết bị nhưng không đáp ứng yêu cầu kỹ thuật</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2.4</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Giải pháp thí nghiệm xuất xưởng máy biến</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rPr>
            </w:pPr>
            <w:r w:rsidRPr="00F532AC">
              <w:rPr>
                <w:bCs/>
                <w:sz w:val="26"/>
                <w:szCs w:val="26"/>
              </w:rPr>
              <w:t>- Có phòng thử nghiệm đủ năng lực thực hiện đầy đủ các hạng mục xuất xưởng MBA tại nhà xưởng, với các thiết bị thử nghiệm được cơ quan thẩm quyền cấp chứng nhận hiệu chuẩn. Cung cấp chứng chỉ ISO/IEC 17025:2017 của đơn vị thử nghiệm hoặc của đơn vị chứng kiến và xác nhận kết quả thử nghiệm</w:t>
            </w:r>
          </w:p>
          <w:p w:rsidR="00FE7379" w:rsidRPr="00F532AC" w:rsidRDefault="00FE7379" w:rsidP="00AE3DB6">
            <w:pPr>
              <w:spacing w:before="60" w:line="288" w:lineRule="auto"/>
              <w:rPr>
                <w:bCs/>
                <w:sz w:val="26"/>
                <w:szCs w:val="26"/>
                <w:lang w:val="nl-NL"/>
              </w:rPr>
            </w:pPr>
            <w:r w:rsidRPr="00F532AC">
              <w:rPr>
                <w:bCs/>
                <w:sz w:val="26"/>
                <w:szCs w:val="26"/>
              </w:rPr>
              <w:t>- Có các sơ đồ thuyết minh các hạng mục thí nghiệm xuất xưởng (FAT)</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 Không có phòng thử nghiệm đủ năng lực thực hiện đầy đủ các hạng mục xuất xưởng MBA tại nhà xưởng; hoặc các thiết bị thử nghiệm không được cơ quan thẩm quyền cấp chứng nhận hiệu chuẩn, hoặc đã hết hạn; hoặc không có các sơ đồ thuyết minh các hạng mục thí nghiệm xuất xưởng (FAT)</w:t>
            </w:r>
          </w:p>
        </w:tc>
      </w:tr>
      <w:tr w:rsidR="00FE7379" w:rsidRPr="009F4961" w:rsidTr="00AE3DB6">
        <w:trPr>
          <w:trHeight w:val="629"/>
        </w:trPr>
        <w:tc>
          <w:tcPr>
            <w:tcW w:w="361" w:type="pct"/>
            <w:tcBorders>
              <w:top w:val="single" w:sz="4" w:space="0" w:color="auto"/>
              <w:left w:val="single" w:sz="4" w:space="0" w:color="auto"/>
              <w:right w:val="single" w:sz="4" w:space="0" w:color="auto"/>
            </w:tcBorders>
            <w:vAlign w:val="center"/>
          </w:tcPr>
          <w:p w:rsidR="00FE7379" w:rsidRPr="009F4961" w:rsidRDefault="00FE7379" w:rsidP="00AE3DB6">
            <w:pPr>
              <w:spacing w:before="60" w:line="288" w:lineRule="auto"/>
              <w:ind w:left="-110"/>
              <w:jc w:val="center"/>
              <w:rPr>
                <w:b/>
                <w:sz w:val="26"/>
                <w:szCs w:val="26"/>
              </w:rPr>
            </w:pPr>
            <w:r w:rsidRPr="009F4961">
              <w:rPr>
                <w:b/>
                <w:sz w:val="26"/>
                <w:szCs w:val="26"/>
              </w:rPr>
              <w:t>3</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9F4961" w:rsidRDefault="00FE7379" w:rsidP="00AE3DB6">
            <w:pPr>
              <w:pStyle w:val="BodyText2"/>
              <w:suppressAutoHyphens w:val="0"/>
              <w:spacing w:before="60" w:line="288" w:lineRule="auto"/>
              <w:ind w:left="34"/>
              <w:jc w:val="left"/>
              <w:rPr>
                <w:b/>
                <w:i w:val="0"/>
                <w:sz w:val="26"/>
                <w:szCs w:val="26"/>
              </w:rPr>
            </w:pPr>
            <w:r w:rsidRPr="009F4961">
              <w:rPr>
                <w:b/>
                <w:i w:val="0"/>
                <w:sz w:val="26"/>
                <w:szCs w:val="26"/>
              </w:rPr>
              <w:t>Tiến độ thi công:</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9F4961" w:rsidRDefault="00FE7379" w:rsidP="00AE3DB6">
            <w:pPr>
              <w:spacing w:before="60" w:line="288" w:lineRule="auto"/>
              <w:rPr>
                <w:b/>
                <w:sz w:val="26"/>
                <w:szCs w:val="26"/>
                <w:lang w:val="nl-NL"/>
              </w:rPr>
            </w:pP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9F4961" w:rsidRDefault="00FE7379" w:rsidP="00AE3DB6">
            <w:pPr>
              <w:spacing w:before="60" w:line="288" w:lineRule="auto"/>
              <w:rPr>
                <w:b/>
                <w:sz w:val="26"/>
                <w:szCs w:val="26"/>
                <w:lang w:val="nl-NL"/>
              </w:rPr>
            </w:pP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3.1</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Thời gian thi công: đảm bảo thời gian thi công không quá 30 ngày có tính điều kiện thời tiết kể từ ngày khởi công</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Đề xuất thời gian thi công không vượt quá 30 ngày có tính đến điều kiện thời tiết.</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Đề xuất về thời gian thi công vượt quá 30 ngày</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lastRenderedPageBreak/>
              <w:t>3.2</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 xml:space="preserve">Tính phù hợp: </w:t>
            </w:r>
          </w:p>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a) Giữa huy động thiết bị và tiến độ thi công</w:t>
            </w:r>
          </w:p>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 xml:space="preserve"> b) Giữa bố trí nhân lực và tiến độ thi công</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Đề xuất đầy đủ, hợp lý, khả thi cho cả 2 nội dung a) và b).</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Đề xuất không đủ 2 nội dung a) và b)</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3.3</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Biểu tiến độ thi công hợp lý, khả thi phù hợp với đề xuất kỹ thuật và đáp ứng yêu cầu của HSMT</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Có Biểu tiến độ thi công hợp lý, khả thi và phù hợp với đề xuất kỹ thuật và đáp ứng yêu cầu của HSMT.</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Không có Biểu tiến độ thi công hoặc có Biểu tiến độ thi công nhưng không hợp lý, không khả thi, không phù hợp với đề xuất kỹ thuật.</w:t>
            </w:r>
          </w:p>
        </w:tc>
      </w:tr>
      <w:tr w:rsidR="00FE7379" w:rsidRPr="008707A4" w:rsidTr="00AE3DB6">
        <w:trPr>
          <w:trHeight w:val="629"/>
        </w:trPr>
        <w:tc>
          <w:tcPr>
            <w:tcW w:w="361" w:type="pct"/>
            <w:tcBorders>
              <w:top w:val="single" w:sz="4" w:space="0" w:color="auto"/>
              <w:left w:val="single" w:sz="4" w:space="0" w:color="auto"/>
              <w:right w:val="single" w:sz="4" w:space="0" w:color="auto"/>
            </w:tcBorders>
            <w:vAlign w:val="center"/>
          </w:tcPr>
          <w:p w:rsidR="00FE7379" w:rsidRPr="008707A4" w:rsidRDefault="00FE7379" w:rsidP="00AE3DB6">
            <w:pPr>
              <w:spacing w:before="60" w:line="288" w:lineRule="auto"/>
              <w:ind w:left="-110"/>
              <w:jc w:val="center"/>
              <w:rPr>
                <w:b/>
                <w:sz w:val="26"/>
                <w:szCs w:val="26"/>
              </w:rPr>
            </w:pPr>
            <w:r w:rsidRPr="008707A4">
              <w:rPr>
                <w:b/>
                <w:sz w:val="26"/>
                <w:szCs w:val="26"/>
              </w:rPr>
              <w:t>4</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8707A4" w:rsidRDefault="00FE7379" w:rsidP="00AE3DB6">
            <w:pPr>
              <w:pStyle w:val="BodyText2"/>
              <w:suppressAutoHyphens w:val="0"/>
              <w:spacing w:before="60" w:line="288" w:lineRule="auto"/>
              <w:ind w:left="34"/>
              <w:jc w:val="left"/>
              <w:rPr>
                <w:b/>
                <w:i w:val="0"/>
                <w:sz w:val="26"/>
                <w:szCs w:val="26"/>
              </w:rPr>
            </w:pPr>
            <w:r w:rsidRPr="008707A4">
              <w:rPr>
                <w:b/>
                <w:i w:val="0"/>
                <w:sz w:val="26"/>
                <w:szCs w:val="26"/>
              </w:rPr>
              <w:t>Biện pháp bảo đảm chất lượng:</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8707A4" w:rsidRDefault="00FE7379" w:rsidP="00AE3DB6">
            <w:pPr>
              <w:spacing w:before="60" w:line="288" w:lineRule="auto"/>
              <w:rPr>
                <w:b/>
                <w:sz w:val="26"/>
                <w:szCs w:val="26"/>
                <w:lang w:val="nl-NL"/>
              </w:rPr>
            </w:pP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8707A4" w:rsidRDefault="00FE7379" w:rsidP="00AE3DB6">
            <w:pPr>
              <w:spacing w:before="60" w:line="288" w:lineRule="auto"/>
              <w:rPr>
                <w:b/>
                <w:sz w:val="26"/>
                <w:szCs w:val="26"/>
                <w:lang w:val="nl-NL"/>
              </w:rPr>
            </w:pP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4.1</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 xml:space="preserve">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w:t>
            </w:r>
            <w:r w:rsidRPr="00F532AC">
              <w:rPr>
                <w:bCs/>
                <w:i w:val="0"/>
                <w:sz w:val="26"/>
                <w:szCs w:val="26"/>
              </w:rPr>
              <w:lastRenderedPageBreak/>
              <w:t>có biện pháp quản lý hồ sơ chất lượng công trình.</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lastRenderedPageBreak/>
              <w:t>Có biện pháp bảo đảm chất lượng hợp lý, khả thi, có đề xuất đầy đủ nội dung yêu cầu phù hợp với đề xuất biện pháp tổ chức thi công.</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Không có biện pháp bảo đảm chất lượng hoặc có biện pháp bảo đảm chất lượng nhưng không hợp lý, không khả thi, không phù hợp với đề xuất biện pháp tổ chức thi công</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4.2</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Biện pháp bảo đảm chất lượng vật liệu, sản phẩm, cấu kiện, thiết bị sử dụng cho công trình</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Có biện pháp bảo đảm chất lượng hợp lý, khả thi phù hợp với đề xuất biện pháp tổ chức thi công</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Không có biện pháp bảo đảm chất lượng hoặc có biện pháp bảo đảm chất lượng nhưng không hợp lý, không khả thi, không phù hợp với đề xuất tiến độ thi công</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4.3</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Cam kết về tổn hao (hiệu suất năng lượng) của MBA sau sửa chữa: Đạt tiêu chuẩn TCVN 8525:2015</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rPr>
            </w:pPr>
            <w:r w:rsidRPr="00F532AC">
              <w:rPr>
                <w:bCs/>
                <w:sz w:val="26"/>
                <w:szCs w:val="26"/>
              </w:rPr>
              <w:t xml:space="preserve">Có cam kết về tổn hao (hiệu suất năng lượng) của MBA sau sửa chữa, đạt tiêu chuẩn </w:t>
            </w:r>
            <w:bookmarkStart w:id="0" w:name="_Hlk209613555"/>
            <w:r w:rsidRPr="00F532AC">
              <w:rPr>
                <w:bCs/>
                <w:sz w:val="26"/>
                <w:szCs w:val="26"/>
              </w:rPr>
              <w:t>TCVN 8525:2015</w:t>
            </w:r>
            <w:bookmarkEnd w:id="0"/>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Không có cam kết hoặc cam kết không đáp ứng yêu cầu</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4.4</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 xml:space="preserve">Cam kết các thông số của MBA sau sửa chữa: Đáp ứng tiêu chuẩn cơ sở </w:t>
            </w:r>
            <w:bookmarkStart w:id="1" w:name="_Hlk209613603"/>
            <w:r w:rsidRPr="00F532AC">
              <w:rPr>
                <w:bCs/>
                <w:i w:val="0"/>
                <w:sz w:val="26"/>
                <w:szCs w:val="26"/>
              </w:rPr>
              <w:t xml:space="preserve">TCCS 01:2023/EVN </w:t>
            </w:r>
            <w:bookmarkEnd w:id="1"/>
            <w:r w:rsidRPr="00F532AC">
              <w:rPr>
                <w:bCs/>
                <w:i w:val="0"/>
                <w:sz w:val="26"/>
                <w:szCs w:val="26"/>
              </w:rPr>
              <w:t>(có tiêu chuẩn kèm theo HSMT)</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rPr>
            </w:pPr>
            <w:r w:rsidRPr="00F532AC">
              <w:rPr>
                <w:bCs/>
                <w:sz w:val="26"/>
                <w:szCs w:val="26"/>
              </w:rPr>
              <w:t>Có cam kết đáp ứng yêu cầu</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Không có cam kết hoặc cam kết không đáp ứng yêu cầu</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4.5</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 xml:space="preserve">Năng lực của đơn vị sửa chữa: Đã từng có biên bản thử nghiệm hạng mục khả năng chịu ngắn mạch của MBA phân phối cấp điện áp ≤35kV, do Tổ </w:t>
            </w:r>
            <w:r w:rsidRPr="00F532AC">
              <w:rPr>
                <w:bCs/>
                <w:i w:val="0"/>
                <w:sz w:val="26"/>
                <w:szCs w:val="26"/>
              </w:rPr>
              <w:lastRenderedPageBreak/>
              <w:t>chức thử nghiệm thuộc Hiệp hội STL thực hiện (tính tại thời điểm cấp biên bản)</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rPr>
            </w:pPr>
            <w:r w:rsidRPr="00F532AC">
              <w:rPr>
                <w:bCs/>
                <w:sz w:val="26"/>
                <w:szCs w:val="26"/>
              </w:rPr>
              <w:lastRenderedPageBreak/>
              <w:t>Cung cấp đầy đủ biên bản theo yêu cầu</w:t>
            </w:r>
            <w:r w:rsidRPr="00F532AC">
              <w:rPr>
                <w:bCs/>
                <w:i/>
                <w:sz w:val="26"/>
                <w:szCs w:val="26"/>
              </w:rPr>
              <w:t xml:space="preserve"> </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lang w:val="nl-NL"/>
              </w:rPr>
              <w:t>Không cung cấp hoặc cung cấp không đầy đủ biên bản theo yêu cầu</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5</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An toàn lao động, phòng cháy chữa cháy, vệ sinh môi trường:</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5.1</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An toàn lao động</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Có biện an toàn lao động hợp lý, khả thi phù hợp với đề xuất về biện pháp tổ chức thi công</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Không có biện pháp an toàn lao động hoặc có biện pháp phòng cháy, chữa cháy nhưng không hợp lý, không khả thi, không phù hợp với đề xuất về biện pháp tổ chức thi công</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5.2</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Phòng cháy, chữa cháy</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Có biện phòng cháy, chữa cháy hợp lý, khả thi phù hợp với đề xuất về biện pháp tổ chức thi công</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Không có biện pháp phòng cháy, chữa cháy hoặc có biện pháp phòng cháy, chữa cháy nhưng không hợp lý, không khả thi, không phù hợp với đề xuất về biện pháp tổ chức thi công</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5.3</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Vệ sinh môi trường</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Có biện pháp bảo đảm vệ sinh môi trường hợp lý, khả thi phù hợp với đề xuất về biện pháp tổ chức thi công</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r>
      <w:tr w:rsidR="00FE7379" w:rsidRPr="00F532AC" w:rsidTr="00AE3DB6">
        <w:trPr>
          <w:trHeight w:val="629"/>
        </w:trPr>
        <w:tc>
          <w:tcPr>
            <w:tcW w:w="361" w:type="pct"/>
            <w:tcBorders>
              <w:top w:val="single" w:sz="4" w:space="0" w:color="auto"/>
              <w:left w:val="single" w:sz="4" w:space="0" w:color="auto"/>
              <w:right w:val="single" w:sz="4" w:space="0" w:color="auto"/>
            </w:tcBorders>
            <w:vAlign w:val="center"/>
          </w:tcPr>
          <w:p w:rsidR="00FE7379" w:rsidRPr="00F532AC" w:rsidRDefault="00FE7379" w:rsidP="00AE3DB6">
            <w:pPr>
              <w:spacing w:before="60" w:line="288" w:lineRule="auto"/>
              <w:ind w:left="-110"/>
              <w:jc w:val="center"/>
              <w:rPr>
                <w:bCs/>
                <w:sz w:val="26"/>
                <w:szCs w:val="26"/>
              </w:rPr>
            </w:pPr>
            <w:r w:rsidRPr="00F532AC">
              <w:rPr>
                <w:bCs/>
                <w:sz w:val="26"/>
                <w:szCs w:val="26"/>
              </w:rPr>
              <w:t>6</w:t>
            </w:r>
          </w:p>
        </w:tc>
        <w:tc>
          <w:tcPr>
            <w:tcW w:w="1200"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pStyle w:val="BodyText2"/>
              <w:suppressAutoHyphens w:val="0"/>
              <w:spacing w:before="60" w:line="288" w:lineRule="auto"/>
              <w:ind w:left="34"/>
              <w:jc w:val="left"/>
              <w:rPr>
                <w:bCs/>
                <w:i w:val="0"/>
                <w:sz w:val="26"/>
                <w:szCs w:val="26"/>
              </w:rPr>
            </w:pPr>
            <w:r w:rsidRPr="00F532AC">
              <w:rPr>
                <w:bCs/>
                <w:i w:val="0"/>
                <w:sz w:val="26"/>
                <w:szCs w:val="26"/>
              </w:rPr>
              <w:t>Thời gian bảo hành</w:t>
            </w:r>
          </w:p>
        </w:tc>
        <w:tc>
          <w:tcPr>
            <w:tcW w:w="1875"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t xml:space="preserve">Có cam kết thời gian bảo hành lớn hơn hoặc bằng 24 tháng kể </w:t>
            </w:r>
            <w:r w:rsidRPr="00F532AC">
              <w:rPr>
                <w:bCs/>
                <w:sz w:val="26"/>
                <w:szCs w:val="26"/>
              </w:rPr>
              <w:lastRenderedPageBreak/>
              <w:t>từ ngày đóng điện đưa vào sử dụng hoặc 36 tháng kể từ ngày bàn giao tùy điều kiện nào đến trước</w:t>
            </w:r>
          </w:p>
        </w:tc>
        <w:tc>
          <w:tcPr>
            <w:tcW w:w="1561" w:type="pct"/>
            <w:tcBorders>
              <w:top w:val="single" w:sz="4" w:space="0" w:color="auto"/>
              <w:left w:val="single" w:sz="4" w:space="0" w:color="auto"/>
              <w:bottom w:val="single" w:sz="4" w:space="0" w:color="auto"/>
              <w:right w:val="single" w:sz="4" w:space="0" w:color="auto"/>
            </w:tcBorders>
            <w:vAlign w:val="center"/>
          </w:tcPr>
          <w:p w:rsidR="00FE7379" w:rsidRPr="00F532AC" w:rsidRDefault="00FE7379" w:rsidP="00AE3DB6">
            <w:pPr>
              <w:spacing w:before="60" w:line="288" w:lineRule="auto"/>
              <w:rPr>
                <w:bCs/>
                <w:sz w:val="26"/>
                <w:szCs w:val="26"/>
                <w:lang w:val="nl-NL"/>
              </w:rPr>
            </w:pPr>
            <w:r w:rsidRPr="00F532AC">
              <w:rPr>
                <w:bCs/>
                <w:sz w:val="26"/>
                <w:szCs w:val="26"/>
              </w:rPr>
              <w:lastRenderedPageBreak/>
              <w:t xml:space="preserve">Không có cam kết hoặc có cam kết thời gian bảo </w:t>
            </w:r>
            <w:r w:rsidRPr="00F532AC">
              <w:rPr>
                <w:bCs/>
                <w:sz w:val="26"/>
                <w:szCs w:val="26"/>
              </w:rPr>
              <w:lastRenderedPageBreak/>
              <w:t>hành nhỏ hơn 24 tháng kể từ ngày đóng điện đưa vào sử dụng hoặc 36 tháng kể từ ngày bàn giao tùy điều kiện nào đến trước.</w:t>
            </w:r>
          </w:p>
        </w:tc>
      </w:tr>
    </w:tbl>
    <w:p w:rsidR="00A95B92" w:rsidRDefault="00A95B92">
      <w:bookmarkStart w:id="2" w:name="_GoBack"/>
      <w:bookmarkEnd w:id="2"/>
    </w:p>
    <w:sectPr w:rsidR="00A95B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B7"/>
    <w:rsid w:val="00A52AB7"/>
    <w:rsid w:val="00A95B92"/>
    <w:rsid w:val="00FE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545AA-B7F0-4682-8B16-75759AA7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379"/>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E7379"/>
    <w:pPr>
      <w:suppressAutoHyphens/>
    </w:pPr>
    <w:rPr>
      <w:i/>
      <w:lang w:val="x-none" w:eastAsia="x-none"/>
    </w:rPr>
  </w:style>
  <w:style w:type="character" w:customStyle="1" w:styleId="BodyText2Char">
    <w:name w:val="Body Text 2 Char"/>
    <w:basedOn w:val="DefaultParagraphFont"/>
    <w:link w:val="BodyText2"/>
    <w:rsid w:val="00FE7379"/>
    <w:rPr>
      <w:rFonts w:ascii="Times New Roman" w:eastAsia="Times New Roman" w:hAnsi="Times New Roman" w:cs="Times New Roman"/>
      <w:i/>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Anh Nguyen</cp:lastModifiedBy>
  <cp:revision>2</cp:revision>
  <dcterms:created xsi:type="dcterms:W3CDTF">2025-11-01T05:41:00Z</dcterms:created>
  <dcterms:modified xsi:type="dcterms:W3CDTF">2025-11-01T05:41:00Z</dcterms:modified>
</cp:coreProperties>
</file>