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049" w:rsidRPr="00180F17" w:rsidRDefault="00271049" w:rsidP="00271049">
      <w:pPr>
        <w:pStyle w:val="Subtitle"/>
        <w:widowControl w:val="0"/>
        <w:spacing w:before="120" w:line="264" w:lineRule="auto"/>
        <w:outlineLvl w:val="1"/>
        <w:rPr>
          <w:sz w:val="28"/>
        </w:rPr>
      </w:pPr>
      <w:r w:rsidRPr="00180F17">
        <w:rPr>
          <w:sz w:val="28"/>
        </w:rPr>
        <w:t>Chương VI. ĐIỀU KIỆN CHUNG CỦA HỢP ĐỒNG</w:t>
      </w:r>
    </w:p>
    <w:p w:rsidR="00271049" w:rsidRPr="00180F17" w:rsidRDefault="00271049" w:rsidP="0027104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271049" w:rsidRPr="00180F17" w:rsidTr="0080479C">
        <w:tc>
          <w:tcPr>
            <w:tcW w:w="2268" w:type="dxa"/>
          </w:tcPr>
          <w:p w:rsidR="00271049" w:rsidRPr="00180F17" w:rsidRDefault="00271049" w:rsidP="0080479C">
            <w:pPr>
              <w:pStyle w:val="HAStyle1"/>
              <w:numPr>
                <w:ilvl w:val="0"/>
                <w:numId w:val="0"/>
              </w:numPr>
            </w:pPr>
            <w:r w:rsidRPr="00180F17">
              <w:t>1. Định nghĩa</w:t>
            </w:r>
          </w:p>
        </w:tc>
        <w:tc>
          <w:tcPr>
            <w:tcW w:w="6946" w:type="dxa"/>
          </w:tcPr>
          <w:p w:rsidR="00271049" w:rsidRPr="00180F17" w:rsidRDefault="00271049" w:rsidP="0080479C">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rsidR="00271049" w:rsidRPr="00271049" w:rsidRDefault="00271049" w:rsidP="00271049">
            <w:pPr>
              <w:pStyle w:val="Heading3"/>
              <w:rPr>
                <w:b/>
              </w:rPr>
            </w:pPr>
            <w:r w:rsidRPr="00271049">
              <w:t>1.1. “Chủ đầu tư” là tổ chức được quy định tại E-ĐKCT;</w:t>
            </w:r>
          </w:p>
          <w:p w:rsidR="00271049" w:rsidRPr="00271049" w:rsidRDefault="00271049" w:rsidP="00271049">
            <w:pPr>
              <w:pStyle w:val="Heading3"/>
              <w:rPr>
                <w:b/>
              </w:rPr>
            </w:pPr>
            <w:r w:rsidRPr="00271049">
              <w:t>1.2. “Hợp đồng” là thỏa thuận giữa Chủ đầu tư và Nhà thầu, thể hiện bằng văn bản, được hai bên ký kết, bao gồm cả phụ lục và tài liệu kèm theo;</w:t>
            </w:r>
          </w:p>
          <w:p w:rsidR="00271049" w:rsidRPr="00271049" w:rsidRDefault="00271049" w:rsidP="00271049">
            <w:pPr>
              <w:pStyle w:val="Heading3"/>
              <w:rPr>
                <w:b/>
              </w:rPr>
            </w:pPr>
            <w:r w:rsidRPr="00271049">
              <w:t>1.3. “Nhà thầu” là nhà thầu trúng thầu (có thể là nhà thầu độc lập hoặc liên danh) và được quy định tại E-ĐKCT;</w:t>
            </w:r>
          </w:p>
          <w:p w:rsidR="00271049" w:rsidRPr="00271049" w:rsidRDefault="00271049" w:rsidP="0080479C">
            <w:pPr>
              <w:widowControl w:val="0"/>
              <w:tabs>
                <w:tab w:val="left" w:pos="1241"/>
              </w:tabs>
              <w:overflowPunct w:val="0"/>
              <w:autoSpaceDE w:val="0"/>
              <w:autoSpaceDN w:val="0"/>
              <w:adjustRightInd w:val="0"/>
              <w:spacing w:before="120" w:after="120" w:line="264" w:lineRule="auto"/>
              <w:ind w:left="170"/>
              <w:textAlignment w:val="baseline"/>
              <w:rPr>
                <w:sz w:val="26"/>
                <w:szCs w:val="26"/>
              </w:rPr>
            </w:pPr>
            <w:r w:rsidRPr="00271049">
              <w:rPr>
                <w:sz w:val="26"/>
                <w:szCs w:val="26"/>
              </w:rPr>
              <w:t xml:space="preserve">1.4. “Nhà thầu phụ” là tổ chức, cá nhân ký hợp đồng với nhà thầu để tham gia thực hiện dịch vụ liên quan; </w:t>
            </w:r>
          </w:p>
          <w:p w:rsidR="00271049" w:rsidRPr="00271049" w:rsidRDefault="00271049" w:rsidP="00271049">
            <w:pPr>
              <w:pStyle w:val="Heading3"/>
              <w:rPr>
                <w:b/>
              </w:rPr>
            </w:pPr>
            <w:r w:rsidRPr="00271049">
              <w:lastRenderedPageBreak/>
              <w:t>1.5. “Tài liệu hợp đồng” là các tài liệu được liệt kê trong Hợp đồng, bao gồm bất kỳ bản sửa đổi, bổ sung nào của Hợp đồng;</w:t>
            </w:r>
          </w:p>
          <w:p w:rsidR="00271049" w:rsidRPr="00271049" w:rsidRDefault="00271049" w:rsidP="00271049">
            <w:pPr>
              <w:pStyle w:val="Heading3"/>
              <w:rPr>
                <w:b/>
              </w:rPr>
            </w:pPr>
            <w:r w:rsidRPr="00271049">
              <w:t>1.6. “Giá hợp đồng”</w:t>
            </w:r>
            <w:r w:rsidRPr="00271049">
              <w:rPr>
                <w:lang w:val="nl-NL"/>
              </w:rPr>
              <w:t xml:space="preserve"> </w:t>
            </w:r>
            <w:r w:rsidRPr="00271049">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rsidR="00271049" w:rsidRPr="00271049" w:rsidRDefault="00271049" w:rsidP="00271049">
            <w:pPr>
              <w:pStyle w:val="Heading3"/>
              <w:rPr>
                <w:b/>
              </w:rPr>
            </w:pPr>
            <w:r w:rsidRPr="00271049">
              <w:t>1.7. “Ngày” là ngày dương lịch; “năm” là 365 ngày;</w:t>
            </w:r>
          </w:p>
          <w:p w:rsidR="00271049" w:rsidRPr="00271049" w:rsidRDefault="00271049" w:rsidP="00271049">
            <w:pPr>
              <w:pStyle w:val="Heading3"/>
              <w:rPr>
                <w:b/>
                <w:lang w:val="pl-PL"/>
              </w:rPr>
            </w:pPr>
            <w:r w:rsidRPr="00271049">
              <w:rPr>
                <w:lang w:val="pl-PL"/>
              </w:rPr>
              <w:t xml:space="preserve">1.8. “Hàng hóa” </w:t>
            </w:r>
            <w:r w:rsidRPr="00271049">
              <w:t>gồm máy móc, thiết bị, nguyên liệu, nhiên liệu, vật liệu, vật tư, phụ tùng; sản phẩm; phương tiện; hàng tiêu dùng; hóa chất, vật tư xét nghiệm, thiết bị y tế; phần mềm thương mại.</w:t>
            </w:r>
            <w:r w:rsidRPr="00271049">
              <w:rPr>
                <w:lang w:val="pl-PL"/>
              </w:rPr>
              <w:t>;</w:t>
            </w:r>
          </w:p>
          <w:p w:rsidR="00271049" w:rsidRPr="00271049" w:rsidRDefault="00271049" w:rsidP="00271049">
            <w:pPr>
              <w:pStyle w:val="Heading3"/>
              <w:rPr>
                <w:b/>
              </w:rPr>
            </w:pPr>
            <w:r w:rsidRPr="00271049">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rsidR="00271049" w:rsidRPr="00271049" w:rsidRDefault="00271049" w:rsidP="00271049">
            <w:pPr>
              <w:pStyle w:val="Heading3"/>
              <w:rPr>
                <w:b/>
              </w:rPr>
            </w:pPr>
            <w:r w:rsidRPr="00271049">
              <w:t>1.10. “Hoàn thành” là việc Nhà thầu hoàn tất các dịch vụ liên quan theo các điều khoản và điều kiện quy định tại Hợp đồng;</w:t>
            </w:r>
          </w:p>
          <w:p w:rsidR="00271049" w:rsidRPr="00271049" w:rsidRDefault="00271049" w:rsidP="00271049">
            <w:pPr>
              <w:pStyle w:val="Heading3"/>
            </w:pPr>
            <w:r w:rsidRPr="00271049">
              <w:t xml:space="preserve">1.11. “Địa điểm dự án” là địa điểm được quy định tại </w:t>
            </w:r>
            <w:r w:rsidRPr="00271049">
              <w:rPr>
                <w:lang w:val="pl-PL"/>
              </w:rPr>
              <w:t>E-ĐKCT</w:t>
            </w:r>
            <w:r w:rsidRPr="00271049">
              <w:t xml:space="preserve">. </w:t>
            </w:r>
          </w:p>
          <w:p w:rsidR="00271049" w:rsidRPr="00180F17" w:rsidRDefault="00271049" w:rsidP="0080479C">
            <w:pPr>
              <w:ind w:left="170"/>
              <w:rPr>
                <w:lang w:val="es-ES"/>
              </w:rPr>
            </w:pPr>
            <w:r w:rsidRPr="00180F17">
              <w:rPr>
                <w:sz w:val="28"/>
                <w:szCs w:val="28"/>
                <w:lang w:val="pl-PL"/>
              </w:rPr>
              <w:t>1.12. “Thời gian thực hiện hợp đồng” được tính từ ngày hợp đồng có hiệu lực cho đến khi các bên đã hoàn thành các nghĩa vụ theo hợp đồng đã ký.</w:t>
            </w:r>
          </w:p>
        </w:tc>
      </w:tr>
      <w:tr w:rsidR="00271049" w:rsidRPr="00180F17" w:rsidTr="0080479C">
        <w:tc>
          <w:tcPr>
            <w:tcW w:w="2268" w:type="dxa"/>
          </w:tcPr>
          <w:p w:rsidR="00271049" w:rsidRPr="00180F17" w:rsidRDefault="00271049" w:rsidP="0080479C">
            <w:pPr>
              <w:pStyle w:val="HAStyle1"/>
              <w:numPr>
                <w:ilvl w:val="0"/>
                <w:numId w:val="0"/>
              </w:numPr>
              <w:rPr>
                <w:lang w:val="pl-PL"/>
              </w:rPr>
            </w:pPr>
            <w:r w:rsidRPr="00180F17">
              <w:rPr>
                <w:lang w:val="pl-PL"/>
              </w:rPr>
              <w:lastRenderedPageBreak/>
              <w:t>2. Hồ sơ hợp đồng và thứ tự ưu tiên</w:t>
            </w:r>
          </w:p>
        </w:tc>
        <w:tc>
          <w:tcPr>
            <w:tcW w:w="6946" w:type="dxa"/>
          </w:tcPr>
          <w:p w:rsidR="00271049" w:rsidRPr="00180F17" w:rsidRDefault="00271049" w:rsidP="0080479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rsidR="00271049" w:rsidRPr="00180F17" w:rsidRDefault="00271049" w:rsidP="0080479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Văn bản hợp đồng, kèm theo các phụ lục hợp đồng;</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 và bao gồm cả các nội dung hiệu chỉnh, bổ sung, làm rõ trong quá trình lựa chọn nhà thầu, hoàn thiện hợp đồng (nếu có);</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c) Biên bản hoàn thiện hợp đồng;</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 của hợp đồng;</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 Quyết định phê duyệt kết quả lựa chọn nhà thầu;</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 và trao hợp đồng;</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(nếu có) </w:t>
            </w:r>
            <w:r w:rsidRPr="00180F17">
              <w:rPr>
                <w:sz w:val="28"/>
                <w:szCs w:val="28"/>
              </w:rPr>
              <w:t>của Nhà thầu;</w:t>
            </w:r>
          </w:p>
          <w:p w:rsidR="00271049" w:rsidRPr="00180F17" w:rsidRDefault="00271049" w:rsidP="00271049">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làm rõ E-HSMT (nếu có);</w:t>
            </w:r>
          </w:p>
          <w:p w:rsidR="00271049" w:rsidRPr="00180F17" w:rsidRDefault="00271049" w:rsidP="0080479C">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rsidR="00271049" w:rsidRPr="00180F17" w:rsidRDefault="00271049" w:rsidP="0080479C">
            <w:pPr>
              <w:pStyle w:val="Sub-ClauseText"/>
              <w:widowControl w:val="0"/>
              <w:tabs>
                <w:tab w:val="left" w:pos="342"/>
                <w:tab w:val="left" w:pos="882"/>
              </w:tabs>
              <w:spacing w:line="259" w:lineRule="auto"/>
              <w:ind w:left="173" w:right="9"/>
              <w:rPr>
                <w:sz w:val="28"/>
                <w:szCs w:val="28"/>
              </w:rPr>
            </w:pPr>
            <w:r w:rsidRPr="00180F17">
              <w:rPr>
                <w:sz w:val="28"/>
                <w:szCs w:val="28"/>
              </w:rPr>
              <w:t>2.3. Tài liệu hợp đồng là một phần của hồ sơ hợp đồng quy định tại Điều 65 của Luật Đấu thầu và được các bên ký số để tạo thành hợp đồng điện tử bao gồm:</w:t>
            </w:r>
          </w:p>
          <w:p w:rsidR="00271049" w:rsidRPr="00180F17" w:rsidRDefault="00271049" w:rsidP="0080479C">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rsidR="00271049" w:rsidRPr="00180F17" w:rsidRDefault="00271049" w:rsidP="0080479C">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rsidR="00271049" w:rsidRPr="00180F17" w:rsidRDefault="00271049" w:rsidP="0080479C">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rsidR="00271049" w:rsidRPr="00180F17" w:rsidRDefault="00271049" w:rsidP="0080479C">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271049" w:rsidRPr="00180F17" w:rsidTr="0080479C">
        <w:tc>
          <w:tcPr>
            <w:tcW w:w="2268" w:type="dxa"/>
            <w:shd w:val="clear" w:color="auto" w:fill="auto"/>
          </w:tcPr>
          <w:p w:rsidR="00271049" w:rsidRPr="00180F17" w:rsidRDefault="00271049" w:rsidP="0080479C">
            <w:pPr>
              <w:pStyle w:val="HAStyle1"/>
              <w:numPr>
                <w:ilvl w:val="0"/>
                <w:numId w:val="0"/>
              </w:numPr>
            </w:pPr>
            <w:r w:rsidRPr="00180F17">
              <w:lastRenderedPageBreak/>
              <w:t>3. Luật và ngôn ngữ</w:t>
            </w:r>
          </w:p>
        </w:tc>
        <w:tc>
          <w:tcPr>
            <w:tcW w:w="6946" w:type="dxa"/>
            <w:shd w:val="clear" w:color="auto" w:fill="auto"/>
          </w:tcPr>
          <w:p w:rsidR="00271049" w:rsidRPr="00180F17" w:rsidRDefault="00271049" w:rsidP="0080479C">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271049" w:rsidRPr="00180F17" w:rsidTr="0080479C">
        <w:trPr>
          <w:hidden/>
        </w:trPr>
        <w:tc>
          <w:tcPr>
            <w:tcW w:w="2268" w:type="dxa"/>
          </w:tcPr>
          <w:p w:rsidR="00271049" w:rsidRPr="00180F17" w:rsidRDefault="00271049" w:rsidP="0080479C">
            <w:pPr>
              <w:pStyle w:val="HAStyle1"/>
              <w:numPr>
                <w:ilvl w:val="0"/>
                <w:numId w:val="0"/>
              </w:numPr>
              <w:rPr>
                <w:vanish/>
              </w:rPr>
            </w:pPr>
          </w:p>
        </w:tc>
        <w:tc>
          <w:tcPr>
            <w:tcW w:w="6946" w:type="dxa"/>
          </w:tcPr>
          <w:p w:rsidR="00271049" w:rsidRPr="00180F17" w:rsidRDefault="00271049" w:rsidP="0080479C">
            <w:pPr>
              <w:widowControl w:val="0"/>
              <w:overflowPunct w:val="0"/>
              <w:autoSpaceDE w:val="0"/>
              <w:autoSpaceDN w:val="0"/>
              <w:adjustRightInd w:val="0"/>
              <w:spacing w:before="120" w:after="120" w:line="259" w:lineRule="auto"/>
              <w:ind w:left="173"/>
              <w:textAlignment w:val="baseline"/>
              <w:rPr>
                <w:vanish/>
                <w:sz w:val="28"/>
                <w:szCs w:val="28"/>
              </w:rPr>
            </w:pP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pPr>
            <w:r w:rsidRPr="00180F17">
              <w:rPr>
                <w:lang w:val="nl-NL"/>
              </w:rPr>
              <w:t>4. Thông báo</w:t>
            </w:r>
          </w:p>
        </w:tc>
        <w:tc>
          <w:tcPr>
            <w:tcW w:w="6946" w:type="dxa"/>
            <w:hideMark/>
          </w:tcPr>
          <w:p w:rsidR="00271049" w:rsidRPr="00180F17" w:rsidRDefault="00271049" w:rsidP="0080479C">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rsidR="00271049" w:rsidRPr="00180F17" w:rsidRDefault="00271049" w:rsidP="0080479C">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rPr>
                <w:lang w:val="nl-NL"/>
              </w:rPr>
            </w:pPr>
            <w:r w:rsidRPr="00180F17">
              <w:rPr>
                <w:lang w:val="nl-NL"/>
              </w:rPr>
              <w:t>5. Bảo đảm thực hiện hợp đồng</w:t>
            </w:r>
          </w:p>
        </w:tc>
        <w:tc>
          <w:tcPr>
            <w:tcW w:w="6946" w:type="dxa"/>
            <w:hideMark/>
          </w:tcPr>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lastRenderedPageBreak/>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rsidR="00271049" w:rsidRPr="00180F17" w:rsidRDefault="00271049" w:rsidP="0080479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rsidR="00271049" w:rsidRPr="00180F17" w:rsidRDefault="00271049" w:rsidP="0080479C">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rPr>
                <w:lang w:val="es-ES"/>
              </w:rPr>
            </w:pPr>
            <w:r w:rsidRPr="00180F17">
              <w:rPr>
                <w:lang w:val="nl-NL"/>
              </w:rPr>
              <w:lastRenderedPageBreak/>
              <w:t>6. Ký hợp đồng thầu phụ</w:t>
            </w:r>
          </w:p>
        </w:tc>
        <w:tc>
          <w:tcPr>
            <w:tcW w:w="6946" w:type="dxa"/>
            <w:hideMark/>
          </w:tcPr>
          <w:p w:rsidR="00271049" w:rsidRPr="00180F17" w:rsidRDefault="00271049" w:rsidP="0080479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 xml:space="preserve">6.1. Nhà thầu được ký kết hợp đồng với các nhà thầu phụ 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271049" w:rsidRPr="00180F17" w:rsidRDefault="00271049" w:rsidP="0080479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w:t>
            </w:r>
            <w:r w:rsidRPr="00180F17">
              <w:rPr>
                <w:spacing w:val="-4"/>
                <w:sz w:val="28"/>
                <w:szCs w:val="28"/>
                <w:lang w:val="es-ES"/>
              </w:rPr>
              <w:lastRenderedPageBreak/>
              <w:t>đáp ứng về năng lực, kinh nghiệm theo yêu cầu của nhà thầu.</w:t>
            </w:r>
          </w:p>
          <w:p w:rsidR="00271049" w:rsidRPr="00180F17" w:rsidRDefault="00271049" w:rsidP="0080479C">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6.2. Nhà thầu có trách nhiệm thanh toán đầy đủ và đúng hạn cho nhà thầu phụ theo các điều khoản thỏa thuận giữa Nhà thầu và nhà thầu phụ.</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rPr>
                <w:lang w:val="vi-VN"/>
              </w:rPr>
            </w:pPr>
            <w:r w:rsidRPr="00180F17">
              <w:rPr>
                <w:lang w:val="es-ES"/>
              </w:rPr>
              <w:lastRenderedPageBreak/>
              <w:t>7. Giải quyết tranh chấp</w:t>
            </w:r>
          </w:p>
        </w:tc>
        <w:tc>
          <w:tcPr>
            <w:tcW w:w="6946" w:type="dxa"/>
            <w:hideMark/>
          </w:tcPr>
          <w:p w:rsidR="00271049" w:rsidRPr="00180F17" w:rsidRDefault="00271049" w:rsidP="0080479C">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rsidR="00271049" w:rsidRPr="00180F17" w:rsidRDefault="00271049" w:rsidP="0080479C">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271049" w:rsidRPr="00180F17" w:rsidTr="0080479C">
        <w:tc>
          <w:tcPr>
            <w:tcW w:w="2268" w:type="dxa"/>
          </w:tcPr>
          <w:p w:rsidR="00271049" w:rsidRPr="00180F17" w:rsidRDefault="00271049" w:rsidP="0080479C">
            <w:pPr>
              <w:pStyle w:val="HAStyle1"/>
              <w:numPr>
                <w:ilvl w:val="0"/>
                <w:numId w:val="0"/>
              </w:numPr>
              <w:rPr>
                <w:lang w:val="es-ES"/>
              </w:rPr>
            </w:pPr>
            <w:r w:rsidRPr="00180F17">
              <w:rPr>
                <w:lang w:val="es-ES"/>
              </w:rPr>
              <w:t>8. Phạm vi cung cấp</w:t>
            </w:r>
          </w:p>
        </w:tc>
        <w:tc>
          <w:tcPr>
            <w:tcW w:w="6946" w:type="dxa"/>
          </w:tcPr>
          <w:p w:rsidR="00271049" w:rsidRPr="00180F17" w:rsidRDefault="00271049" w:rsidP="0080479C">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271049" w:rsidRPr="00180F17" w:rsidTr="0080479C">
        <w:tc>
          <w:tcPr>
            <w:tcW w:w="2268" w:type="dxa"/>
          </w:tcPr>
          <w:p w:rsidR="00271049" w:rsidRPr="00180F17" w:rsidRDefault="00271049" w:rsidP="0080479C">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rsidR="00271049" w:rsidRPr="00180F17" w:rsidRDefault="00271049" w:rsidP="0080479C">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271049" w:rsidRPr="00180F17" w:rsidTr="0080479C">
        <w:tc>
          <w:tcPr>
            <w:tcW w:w="2268" w:type="dxa"/>
          </w:tcPr>
          <w:p w:rsidR="00271049" w:rsidRPr="00180F17" w:rsidRDefault="00271049" w:rsidP="0080479C">
            <w:pPr>
              <w:pStyle w:val="HAStyle1"/>
              <w:numPr>
                <w:ilvl w:val="0"/>
                <w:numId w:val="0"/>
              </w:numPr>
              <w:rPr>
                <w:lang w:val="es-ES"/>
              </w:rPr>
            </w:pPr>
            <w:r w:rsidRPr="00180F17">
              <w:rPr>
                <w:lang w:val="es-ES"/>
              </w:rPr>
              <w:t xml:space="preserve">10. Trách nhiệm của Nhà thầu </w:t>
            </w:r>
          </w:p>
        </w:tc>
        <w:tc>
          <w:tcPr>
            <w:tcW w:w="6946" w:type="dxa"/>
          </w:tcPr>
          <w:p w:rsidR="00271049" w:rsidRPr="00180F17" w:rsidRDefault="00271049" w:rsidP="0080479C">
            <w:pPr>
              <w:pStyle w:val="Sub-ClauseText"/>
              <w:widowControl w:val="0"/>
              <w:spacing w:line="264" w:lineRule="auto"/>
              <w:ind w:left="205"/>
              <w:rPr>
                <w:spacing w:val="-6"/>
                <w:sz w:val="28"/>
                <w:szCs w:val="28"/>
                <w:lang w:val="es-ES"/>
              </w:rPr>
            </w:pPr>
            <w:r w:rsidRPr="00180F17">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180F17">
              <w:rPr>
                <w:spacing w:val="-6"/>
                <w:sz w:val="28"/>
                <w:szCs w:val="28"/>
                <w:lang w:val="es-ES"/>
              </w:rPr>
              <w:t>.</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rPr>
                <w:spacing w:val="-10"/>
                <w:lang w:val="es-ES"/>
              </w:rPr>
            </w:pPr>
            <w:r w:rsidRPr="00180F17">
              <w:rPr>
                <w:spacing w:val="-10"/>
                <w:lang w:val="es-ES"/>
              </w:rPr>
              <w:t>11. Loại hợp đồng và giá hợp đồng</w:t>
            </w:r>
          </w:p>
        </w:tc>
        <w:tc>
          <w:tcPr>
            <w:tcW w:w="6946" w:type="dxa"/>
            <w:hideMark/>
          </w:tcPr>
          <w:p w:rsidR="00271049" w:rsidRPr="00180F17" w:rsidRDefault="00271049" w:rsidP="0080479C">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rsidR="00271049" w:rsidRPr="00180F17" w:rsidRDefault="00271049" w:rsidP="0080479C">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t xml:space="preserve">12. Thuế, phí, lệ </w:t>
            </w:r>
            <w:r w:rsidRPr="00180F17">
              <w:lastRenderedPageBreak/>
              <w:t>phí</w:t>
            </w:r>
          </w:p>
          <w:p w:rsidR="00271049" w:rsidRPr="00180F17" w:rsidRDefault="00271049" w:rsidP="0080479C">
            <w:pPr>
              <w:pStyle w:val="HAStyle1"/>
              <w:numPr>
                <w:ilvl w:val="0"/>
                <w:numId w:val="0"/>
              </w:numPr>
            </w:pPr>
          </w:p>
        </w:tc>
        <w:tc>
          <w:tcPr>
            <w:tcW w:w="6946" w:type="dxa"/>
          </w:tcPr>
          <w:p w:rsidR="00271049" w:rsidRPr="00180F17" w:rsidRDefault="00271049" w:rsidP="0080479C">
            <w:pPr>
              <w:pStyle w:val="Sub-ClauseText"/>
              <w:widowControl w:val="0"/>
              <w:spacing w:line="264" w:lineRule="auto"/>
              <w:ind w:left="205"/>
              <w:rPr>
                <w:sz w:val="28"/>
                <w:szCs w:val="28"/>
                <w:lang w:val="es-ES"/>
              </w:rPr>
            </w:pPr>
            <w:r w:rsidRPr="00180F17">
              <w:rPr>
                <w:spacing w:val="0"/>
                <w:sz w:val="28"/>
                <w:szCs w:val="28"/>
                <w:lang w:val="es-ES"/>
              </w:rPr>
              <w:lastRenderedPageBreak/>
              <w:t xml:space="preserve">12.1. </w:t>
            </w:r>
            <w:r w:rsidRPr="00180F17">
              <w:rPr>
                <w:sz w:val="28"/>
                <w:szCs w:val="28"/>
                <w:lang w:val="es-ES"/>
              </w:rPr>
              <w:t xml:space="preserve">Nhà thầu chịu trách nhiệm đối với toàn bộ chi phí về thuế, phí, lệ phí phát sinh cho đến khi hàng hóa được giao </w:t>
            </w:r>
            <w:r w:rsidRPr="00180F17">
              <w:rPr>
                <w:sz w:val="28"/>
                <w:szCs w:val="28"/>
                <w:lang w:val="es-ES"/>
              </w:rPr>
              <w:lastRenderedPageBreak/>
              <w:t>cho Chủ đầu tư.</w:t>
            </w:r>
          </w:p>
          <w:p w:rsidR="00271049" w:rsidRPr="00180F17" w:rsidRDefault="00271049" w:rsidP="0080479C">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rsidR="00271049" w:rsidRPr="00180F17" w:rsidRDefault="00271049" w:rsidP="0080479C">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tabs>
                <w:tab w:val="left" w:pos="486"/>
              </w:tabs>
            </w:pPr>
            <w:r w:rsidRPr="00180F17">
              <w:lastRenderedPageBreak/>
              <w:t>13. Tạm ứng</w:t>
            </w:r>
          </w:p>
        </w:tc>
        <w:tc>
          <w:tcPr>
            <w:tcW w:w="6946" w:type="dxa"/>
            <w:hideMark/>
          </w:tcPr>
          <w:p w:rsidR="00271049" w:rsidRPr="00180F17" w:rsidRDefault="00271049" w:rsidP="0080479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rsidR="00271049" w:rsidRPr="00180F17" w:rsidRDefault="00271049" w:rsidP="0080479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tabs>
                <w:tab w:val="left" w:pos="486"/>
              </w:tabs>
            </w:pPr>
            <w:r w:rsidRPr="00180F17">
              <w:t>14. Thanh toán</w:t>
            </w:r>
          </w:p>
        </w:tc>
        <w:tc>
          <w:tcPr>
            <w:tcW w:w="6946" w:type="dxa"/>
            <w:hideMark/>
          </w:tcPr>
          <w:p w:rsidR="00271049" w:rsidRPr="00180F17" w:rsidRDefault="00271049" w:rsidP="0080479C">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rsidR="00271049" w:rsidRPr="00180F17" w:rsidRDefault="00271049" w:rsidP="0080479C">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rsidR="00271049" w:rsidRPr="00180F17" w:rsidRDefault="00271049" w:rsidP="0080479C">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14.3. Đồng tiền thanh toán là VND.</w:t>
            </w:r>
          </w:p>
        </w:tc>
      </w:tr>
      <w:tr w:rsidR="00271049" w:rsidRPr="00180F17" w:rsidTr="0080479C">
        <w:trPr>
          <w:trHeight w:val="1566"/>
        </w:trPr>
        <w:tc>
          <w:tcPr>
            <w:tcW w:w="2268" w:type="dxa"/>
          </w:tcPr>
          <w:p w:rsidR="00271049" w:rsidRPr="00180F17" w:rsidRDefault="00271049" w:rsidP="0080479C">
            <w:pPr>
              <w:pStyle w:val="HAStyle1"/>
              <w:numPr>
                <w:ilvl w:val="0"/>
                <w:numId w:val="0"/>
              </w:numPr>
              <w:tabs>
                <w:tab w:val="left" w:pos="486"/>
              </w:tabs>
            </w:pPr>
            <w:r w:rsidRPr="00180F17">
              <w:t>15. Quyền tác giả</w:t>
            </w:r>
          </w:p>
        </w:tc>
        <w:tc>
          <w:tcPr>
            <w:tcW w:w="6946" w:type="dxa"/>
          </w:tcPr>
          <w:p w:rsidR="00271049" w:rsidRPr="00180F17" w:rsidRDefault="00271049" w:rsidP="0080479C">
            <w:pPr>
              <w:pStyle w:val="Sub-ClauseText"/>
              <w:widowControl w:val="0"/>
              <w:spacing w:line="264" w:lineRule="auto"/>
              <w:ind w:left="205"/>
              <w:rPr>
                <w:spacing w:val="0"/>
                <w:sz w:val="28"/>
                <w:szCs w:val="28"/>
                <w:lang w:val="nl-NL"/>
              </w:rPr>
            </w:pPr>
            <w:r w:rsidRPr="00180F17">
              <w:rPr>
                <w:spacing w:val="0"/>
                <w:sz w:val="28"/>
                <w:szCs w:val="28"/>
                <w:lang w:val="nl-NL"/>
              </w:rPr>
              <w:t>15.1. 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rsidR="00271049" w:rsidRPr="00180F17" w:rsidRDefault="00271049" w:rsidP="0080479C">
            <w:pPr>
              <w:pStyle w:val="Sub-ClauseText"/>
              <w:widowControl w:val="0"/>
              <w:spacing w:line="264" w:lineRule="auto"/>
              <w:ind w:left="205"/>
              <w:rPr>
                <w:spacing w:val="0"/>
                <w:sz w:val="28"/>
                <w:szCs w:val="28"/>
                <w:lang w:val="nl-NL"/>
              </w:rPr>
            </w:pPr>
            <w:r w:rsidRPr="00180F17">
              <w:rPr>
                <w:spacing w:val="0"/>
                <w:sz w:val="28"/>
                <w:szCs w:val="28"/>
                <w:lang w:val="nl-NL"/>
              </w:rPr>
              <w:lastRenderedPageBreak/>
              <w:t xml:space="preserve">15.2. Quyền khác theo quy định tại </w:t>
            </w:r>
            <w:r w:rsidRPr="00180F17">
              <w:rPr>
                <w:b/>
                <w:spacing w:val="0"/>
                <w:sz w:val="28"/>
                <w:szCs w:val="28"/>
                <w:lang w:val="nl-NL"/>
              </w:rPr>
              <w:t>E-ĐKCT.</w:t>
            </w:r>
          </w:p>
        </w:tc>
      </w:tr>
      <w:tr w:rsidR="00271049" w:rsidRPr="00180F17" w:rsidTr="0080479C">
        <w:tc>
          <w:tcPr>
            <w:tcW w:w="2268" w:type="dxa"/>
          </w:tcPr>
          <w:p w:rsidR="00271049" w:rsidRPr="00180F17" w:rsidRDefault="00271049" w:rsidP="0080479C">
            <w:pPr>
              <w:pStyle w:val="HAStyle1"/>
              <w:numPr>
                <w:ilvl w:val="0"/>
                <w:numId w:val="0"/>
              </w:numPr>
              <w:tabs>
                <w:tab w:val="left" w:pos="486"/>
              </w:tabs>
              <w:rPr>
                <w:lang w:val="nl-NL"/>
              </w:rPr>
            </w:pPr>
            <w:r w:rsidRPr="00180F17">
              <w:rPr>
                <w:lang w:val="nl-NL"/>
              </w:rPr>
              <w:lastRenderedPageBreak/>
              <w:t>16. Sử dụng các tài liệu và thông tin liên quan đến hợp đồng</w:t>
            </w:r>
          </w:p>
        </w:tc>
        <w:tc>
          <w:tcPr>
            <w:tcW w:w="6946" w:type="dxa"/>
          </w:tcPr>
          <w:p w:rsidR="00271049" w:rsidRPr="00180F17" w:rsidRDefault="00271049" w:rsidP="0080479C">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271049" w:rsidRPr="00180F17" w:rsidRDefault="00271049" w:rsidP="0080479C">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rsidR="00271049" w:rsidRPr="00180F17" w:rsidRDefault="00271049" w:rsidP="0080479C">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rsidR="00271049" w:rsidRPr="00180F17" w:rsidRDefault="00271049" w:rsidP="0080479C">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rsidR="00271049" w:rsidRPr="00180F17" w:rsidRDefault="00271049" w:rsidP="0080479C">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rsidR="00271049" w:rsidRPr="00180F17" w:rsidRDefault="00271049" w:rsidP="0080479C">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rsidR="00271049" w:rsidRPr="00180F17" w:rsidRDefault="00271049" w:rsidP="0080479C">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rsidR="00271049" w:rsidRPr="00180F17" w:rsidRDefault="00271049" w:rsidP="0080479C">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lastRenderedPageBreak/>
              <w:t>16.4. Các quy định tại Mục 16 E-ĐKC không làm thay đổi bất kỳ cam kết bảo mật nào do một bên đưa ra trước ngày ký hợp đồng liên quan đến việc cung cấp hàng hóa, dịch vụ.</w:t>
            </w:r>
          </w:p>
          <w:p w:rsidR="00271049" w:rsidRPr="00180F17" w:rsidRDefault="00271049" w:rsidP="0080479C">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271049" w:rsidRPr="00180F17" w:rsidTr="0080479C">
        <w:trPr>
          <w:trHeight w:val="2649"/>
        </w:trPr>
        <w:tc>
          <w:tcPr>
            <w:tcW w:w="2268" w:type="dxa"/>
          </w:tcPr>
          <w:p w:rsidR="00271049" w:rsidRPr="00180F17" w:rsidRDefault="00271049" w:rsidP="0080479C">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rsidR="00271049" w:rsidRPr="00271049" w:rsidRDefault="00271049" w:rsidP="00271049">
            <w:pPr>
              <w:pStyle w:val="Heading3"/>
              <w:rPr>
                <w:b/>
              </w:rPr>
            </w:pPr>
            <w:r w:rsidRPr="00271049">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t>18. Đóng gói hàng hóa</w:t>
            </w:r>
          </w:p>
        </w:tc>
        <w:tc>
          <w:tcPr>
            <w:tcW w:w="6946" w:type="dxa"/>
          </w:tcPr>
          <w:p w:rsidR="00271049" w:rsidRPr="00180F17" w:rsidRDefault="00271049" w:rsidP="0080479C">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w:t>
            </w:r>
            <w:bookmarkStart w:id="0" w:name="_GoBack"/>
            <w:bookmarkEnd w:id="0"/>
            <w:r w:rsidRPr="00180F17">
              <w:rPr>
                <w:spacing w:val="0"/>
                <w:sz w:val="28"/>
                <w:szCs w:val="28"/>
                <w:lang w:val="es-ES"/>
              </w:rPr>
              <w:t>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rsidR="00271049" w:rsidRPr="00180F17" w:rsidRDefault="00271049" w:rsidP="0080479C">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t xml:space="preserve">19. Bảo hiểm </w:t>
            </w:r>
          </w:p>
        </w:tc>
        <w:tc>
          <w:tcPr>
            <w:tcW w:w="6946" w:type="dxa"/>
          </w:tcPr>
          <w:p w:rsidR="00271049" w:rsidRPr="00180F17" w:rsidRDefault="00271049" w:rsidP="0080479C">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t xml:space="preserve">20. Vận chuyển và các dịch vụ </w:t>
            </w:r>
            <w:r w:rsidRPr="00180F17">
              <w:lastRenderedPageBreak/>
              <w:t xml:space="preserve">phát sinh  </w:t>
            </w:r>
          </w:p>
        </w:tc>
        <w:tc>
          <w:tcPr>
            <w:tcW w:w="6946" w:type="dxa"/>
          </w:tcPr>
          <w:p w:rsidR="00271049" w:rsidRPr="00180F17" w:rsidRDefault="00271049" w:rsidP="0080479C">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quy định tại </w:t>
            </w:r>
            <w:r w:rsidRPr="00180F17">
              <w:rPr>
                <w:b/>
                <w:sz w:val="28"/>
                <w:szCs w:val="28"/>
              </w:rPr>
              <w:t>E-ĐKCT</w:t>
            </w:r>
            <w:r w:rsidRPr="00180F17">
              <w:rPr>
                <w:sz w:val="28"/>
                <w:szCs w:val="28"/>
              </w:rPr>
              <w:t>.</w:t>
            </w:r>
          </w:p>
          <w:p w:rsidR="00271049" w:rsidRPr="00180F17" w:rsidRDefault="00271049" w:rsidP="0080479C">
            <w:pPr>
              <w:widowControl w:val="0"/>
              <w:spacing w:before="120" w:after="120" w:line="264" w:lineRule="auto"/>
              <w:ind w:left="170"/>
              <w:rPr>
                <w:sz w:val="28"/>
                <w:szCs w:val="28"/>
              </w:rPr>
            </w:pPr>
            <w:r w:rsidRPr="00180F17">
              <w:rPr>
                <w:sz w:val="28"/>
                <w:szCs w:val="28"/>
              </w:rPr>
              <w:lastRenderedPageBreak/>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rsidR="00271049" w:rsidRPr="00180F17" w:rsidRDefault="00271049" w:rsidP="0080479C">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rsidR="00271049" w:rsidRPr="00180F17" w:rsidRDefault="00271049" w:rsidP="0080479C">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rsidR="00271049" w:rsidRPr="00180F17" w:rsidRDefault="00271049" w:rsidP="0080479C">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rsidR="00271049" w:rsidRPr="00180F17" w:rsidRDefault="00271049" w:rsidP="0080479C">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rsidR="00271049" w:rsidRPr="00180F17" w:rsidRDefault="00271049" w:rsidP="0080479C">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rsidR="00271049" w:rsidRPr="00180F17" w:rsidRDefault="00271049" w:rsidP="0080479C">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lastRenderedPageBreak/>
              <w:t>21. Kiểm tra và thử nghiệm hàng hóa</w:t>
            </w:r>
          </w:p>
        </w:tc>
        <w:tc>
          <w:tcPr>
            <w:tcW w:w="6946" w:type="dxa"/>
          </w:tcPr>
          <w:p w:rsidR="00271049" w:rsidRPr="00180F17" w:rsidRDefault="00271049" w:rsidP="0080479C">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rsidR="00271049" w:rsidRPr="00180F17" w:rsidRDefault="00271049" w:rsidP="0080479C">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rsidR="00271049" w:rsidRPr="00180F17" w:rsidRDefault="00271049" w:rsidP="0080479C">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rsidR="00271049" w:rsidRPr="00180F17" w:rsidRDefault="00271049" w:rsidP="0080479C">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rsidR="00271049" w:rsidRPr="00180F17" w:rsidRDefault="00271049" w:rsidP="0080479C">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271049" w:rsidRPr="00180F17" w:rsidRDefault="00271049" w:rsidP="0080479C">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rsidR="00271049" w:rsidRPr="00180F17" w:rsidRDefault="00271049" w:rsidP="0080479C">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rsidR="00271049" w:rsidRPr="00180F17" w:rsidRDefault="00271049" w:rsidP="0080479C">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lastRenderedPageBreak/>
              <w:t xml:space="preserve">22. Phạt và bồi thường thiệt hại </w:t>
            </w:r>
          </w:p>
        </w:tc>
        <w:tc>
          <w:tcPr>
            <w:tcW w:w="6946" w:type="dxa"/>
          </w:tcPr>
          <w:p w:rsidR="00271049" w:rsidRPr="00180F17" w:rsidRDefault="00271049" w:rsidP="0080479C">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271049" w:rsidRPr="00180F17" w:rsidTr="0080479C">
        <w:tc>
          <w:tcPr>
            <w:tcW w:w="2268" w:type="dxa"/>
          </w:tcPr>
          <w:p w:rsidR="00271049" w:rsidRPr="00180F17" w:rsidRDefault="00271049" w:rsidP="0080479C">
            <w:pPr>
              <w:pStyle w:val="HAStyle1"/>
              <w:numPr>
                <w:ilvl w:val="0"/>
                <w:numId w:val="0"/>
              </w:numPr>
              <w:tabs>
                <w:tab w:val="left" w:pos="486"/>
              </w:tabs>
            </w:pPr>
            <w:r w:rsidRPr="00180F17">
              <w:t xml:space="preserve">23. Bảo hành </w:t>
            </w:r>
          </w:p>
          <w:p w:rsidR="00271049" w:rsidRPr="00180F17" w:rsidRDefault="00271049" w:rsidP="0080479C">
            <w:pPr>
              <w:pStyle w:val="sec7-clauses"/>
              <w:widowControl w:val="0"/>
              <w:tabs>
                <w:tab w:val="clear" w:pos="360"/>
              </w:tabs>
              <w:spacing w:line="264" w:lineRule="auto"/>
              <w:ind w:left="0" w:right="72" w:firstLine="0"/>
              <w:rPr>
                <w:strike/>
                <w:vanish/>
                <w:sz w:val="28"/>
                <w:szCs w:val="28"/>
              </w:rPr>
            </w:pPr>
          </w:p>
        </w:tc>
        <w:tc>
          <w:tcPr>
            <w:tcW w:w="6946" w:type="dxa"/>
          </w:tcPr>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rsidR="00271049" w:rsidRPr="00180F17" w:rsidRDefault="00271049" w:rsidP="0080479C">
            <w:pPr>
              <w:widowControl w:val="0"/>
              <w:spacing w:before="120" w:after="120" w:line="264" w:lineRule="auto"/>
              <w:ind w:left="170"/>
              <w:rPr>
                <w:strike/>
                <w:sz w:val="28"/>
                <w:szCs w:val="28"/>
                <w:lang w:val="nl-NL"/>
              </w:rPr>
            </w:pPr>
            <w:r w:rsidRPr="00180F17">
              <w:rPr>
                <w:sz w:val="28"/>
                <w:szCs w:val="28"/>
                <w:lang w:val="nl-NL"/>
              </w:rPr>
              <w:t xml:space="preserve">23.3. Yêu cầu về bảo hành đối với hàng hóa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rsidR="00271049" w:rsidRPr="00180F17" w:rsidRDefault="00271049" w:rsidP="0080479C">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271049" w:rsidRPr="00180F17" w:rsidTr="0080479C">
        <w:tc>
          <w:tcPr>
            <w:tcW w:w="2268" w:type="dxa"/>
          </w:tcPr>
          <w:p w:rsidR="00271049" w:rsidRPr="00180F17" w:rsidRDefault="00271049" w:rsidP="0080479C">
            <w:pPr>
              <w:pStyle w:val="HAStyle1"/>
              <w:numPr>
                <w:ilvl w:val="0"/>
                <w:numId w:val="0"/>
              </w:numPr>
              <w:tabs>
                <w:tab w:val="left" w:pos="486"/>
              </w:tabs>
              <w:rPr>
                <w:lang w:val="nl-NL"/>
              </w:rPr>
            </w:pPr>
            <w:r w:rsidRPr="00180F17">
              <w:rPr>
                <w:lang w:val="nl-NL"/>
              </w:rPr>
              <w:t xml:space="preserve">24. Bồi thường vi phạm sáng chế </w:t>
            </w:r>
          </w:p>
          <w:p w:rsidR="00271049" w:rsidRPr="00180F17" w:rsidRDefault="00271049" w:rsidP="0080479C">
            <w:pPr>
              <w:pStyle w:val="sec7-clauses"/>
              <w:widowControl w:val="0"/>
              <w:tabs>
                <w:tab w:val="clear" w:pos="360"/>
              </w:tabs>
              <w:spacing w:line="264" w:lineRule="auto"/>
              <w:ind w:left="0" w:right="72" w:firstLine="0"/>
              <w:rPr>
                <w:sz w:val="28"/>
                <w:szCs w:val="28"/>
                <w:lang w:val="nl-NL"/>
              </w:rPr>
            </w:pPr>
          </w:p>
        </w:tc>
        <w:tc>
          <w:tcPr>
            <w:tcW w:w="6946" w:type="dxa"/>
          </w:tcPr>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w:t>
            </w:r>
            <w:r w:rsidRPr="00180F17">
              <w:rPr>
                <w:sz w:val="28"/>
                <w:szCs w:val="28"/>
                <w:lang w:val="nl-NL"/>
              </w:rPr>
              <w:lastRenderedPageBreak/>
              <w:t xml:space="preserve">ngày ký hợp đồng mà các vi phạm hoặc cáo buộc vi phạm đó liên quan tới: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rsidR="00271049" w:rsidRPr="00180F17" w:rsidRDefault="00271049" w:rsidP="0080479C">
            <w:pPr>
              <w:widowControl w:val="0"/>
              <w:spacing w:before="120" w:after="120" w:line="264" w:lineRule="auto"/>
              <w:ind w:left="170"/>
              <w:rPr>
                <w:sz w:val="28"/>
                <w:szCs w:val="28"/>
                <w:lang w:val="nl-NL"/>
              </w:rPr>
            </w:pPr>
            <w:r w:rsidRPr="00180F17">
              <w:rPr>
                <w:sz w:val="28"/>
                <w:szCs w:val="28"/>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w:t>
            </w:r>
            <w:r w:rsidRPr="00180F17">
              <w:rPr>
                <w:sz w:val="28"/>
                <w:szCs w:val="28"/>
                <w:lang w:val="nl-NL"/>
              </w:rPr>
              <w:lastRenderedPageBreak/>
              <w:t>liệu, bản vẽ, thông số kỹ thuật hoặc các tài liệu và hồ sơ nào được cung cấp hoặc thiết kế bởi Chủ đầu tư hoặc thay mặt Chủ đầu tư.</w:t>
            </w:r>
          </w:p>
        </w:tc>
      </w:tr>
      <w:tr w:rsidR="00271049" w:rsidRPr="00180F17" w:rsidTr="0080479C">
        <w:trPr>
          <w:hidden/>
        </w:trPr>
        <w:tc>
          <w:tcPr>
            <w:tcW w:w="2268" w:type="dxa"/>
          </w:tcPr>
          <w:p w:rsidR="00271049" w:rsidRPr="00180F17" w:rsidRDefault="00271049" w:rsidP="0080479C">
            <w:pPr>
              <w:pStyle w:val="HAStyle1"/>
              <w:numPr>
                <w:ilvl w:val="0"/>
                <w:numId w:val="0"/>
              </w:numPr>
              <w:rPr>
                <w:vanish/>
                <w:lang w:val="nl-NL"/>
              </w:rPr>
            </w:pPr>
          </w:p>
        </w:tc>
        <w:tc>
          <w:tcPr>
            <w:tcW w:w="6946" w:type="dxa"/>
          </w:tcPr>
          <w:p w:rsidR="00271049" w:rsidRPr="00180F17" w:rsidRDefault="00271049" w:rsidP="0080479C">
            <w:pPr>
              <w:spacing w:after="200"/>
              <w:ind w:left="176"/>
              <w:rPr>
                <w:strike/>
                <w:vanish/>
                <w:sz w:val="28"/>
                <w:szCs w:val="28"/>
                <w:lang w:val="nl-NL"/>
              </w:rPr>
            </w:pPr>
          </w:p>
        </w:tc>
      </w:tr>
      <w:tr w:rsidR="00271049" w:rsidRPr="00180F17" w:rsidTr="0080479C">
        <w:tc>
          <w:tcPr>
            <w:tcW w:w="2268" w:type="dxa"/>
          </w:tcPr>
          <w:p w:rsidR="00271049" w:rsidRPr="00180F17" w:rsidRDefault="00271049" w:rsidP="0080479C">
            <w:pPr>
              <w:pStyle w:val="HAStyle1"/>
              <w:numPr>
                <w:ilvl w:val="0"/>
                <w:numId w:val="0"/>
              </w:numPr>
              <w:tabs>
                <w:tab w:val="left" w:pos="486"/>
              </w:tabs>
              <w:rPr>
                <w:lang w:val="nl-NL"/>
              </w:rPr>
            </w:pPr>
            <w:r w:rsidRPr="00180F17">
              <w:rPr>
                <w:lang w:val="nl-NL"/>
              </w:rPr>
              <w:t>25. Thay đổi liên quan đến pháp lý</w:t>
            </w:r>
          </w:p>
          <w:p w:rsidR="00271049" w:rsidRPr="00180F17" w:rsidRDefault="00271049" w:rsidP="0080479C">
            <w:pPr>
              <w:pStyle w:val="sec7-clauses"/>
              <w:widowControl w:val="0"/>
              <w:tabs>
                <w:tab w:val="clear" w:pos="360"/>
              </w:tabs>
              <w:spacing w:line="264" w:lineRule="auto"/>
              <w:ind w:left="0" w:right="72" w:firstLine="0"/>
              <w:rPr>
                <w:strike/>
                <w:vanish/>
                <w:sz w:val="28"/>
                <w:szCs w:val="28"/>
                <w:lang w:val="nl-NL"/>
              </w:rPr>
            </w:pPr>
          </w:p>
        </w:tc>
        <w:tc>
          <w:tcPr>
            <w:tcW w:w="6946" w:type="dxa"/>
          </w:tcPr>
          <w:p w:rsidR="00271049" w:rsidRPr="00180F17" w:rsidRDefault="00271049" w:rsidP="0080479C">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271049" w:rsidRPr="00180F17" w:rsidTr="0080479C">
        <w:tc>
          <w:tcPr>
            <w:tcW w:w="2268" w:type="dxa"/>
          </w:tcPr>
          <w:p w:rsidR="00271049" w:rsidRPr="00180F17" w:rsidRDefault="00271049" w:rsidP="0080479C">
            <w:pPr>
              <w:pStyle w:val="HAStyle1"/>
              <w:numPr>
                <w:ilvl w:val="0"/>
                <w:numId w:val="0"/>
              </w:numPr>
              <w:tabs>
                <w:tab w:val="left" w:pos="486"/>
              </w:tabs>
              <w:rPr>
                <w:spacing w:val="-6"/>
              </w:rPr>
            </w:pPr>
            <w:r w:rsidRPr="00180F17">
              <w:rPr>
                <w:spacing w:val="-6"/>
              </w:rPr>
              <w:t xml:space="preserve">26. Bất khả kháng </w:t>
            </w:r>
          </w:p>
        </w:tc>
        <w:tc>
          <w:tcPr>
            <w:tcW w:w="6946" w:type="dxa"/>
          </w:tcPr>
          <w:p w:rsidR="00271049" w:rsidRPr="00180F17" w:rsidRDefault="00271049" w:rsidP="0080479C">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271049" w:rsidRPr="00180F17" w:rsidRDefault="00271049" w:rsidP="0080479C">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271049" w:rsidRPr="00180F17" w:rsidRDefault="00271049" w:rsidP="0080479C">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271049" w:rsidRPr="00180F17" w:rsidRDefault="00271049" w:rsidP="0080479C">
            <w:pPr>
              <w:widowControl w:val="0"/>
              <w:spacing w:before="60" w:after="60"/>
              <w:ind w:left="175"/>
              <w:rPr>
                <w:sz w:val="28"/>
                <w:szCs w:val="28"/>
              </w:rPr>
            </w:pPr>
            <w:r w:rsidRPr="00180F17">
              <w:rPr>
                <w:sz w:val="28"/>
                <w:szCs w:val="28"/>
              </w:rPr>
              <w:t xml:space="preserve">26.4. Khi xảy ra sự kiện bất khả kháng, bên bị ảnh hưởng </w:t>
            </w:r>
            <w:r w:rsidRPr="00180F17">
              <w:rPr>
                <w:sz w:val="28"/>
                <w:szCs w:val="28"/>
              </w:rPr>
              <w:lastRenderedPageBreak/>
              <w:t>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271049" w:rsidRPr="00180F17" w:rsidRDefault="00271049" w:rsidP="00271049">
            <w:pPr>
              <w:pStyle w:val="Heading3"/>
              <w:rPr>
                <w:b/>
              </w:rPr>
            </w:pPr>
            <w:r w:rsidRPr="00180F17">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271049" w:rsidRPr="00180F17" w:rsidRDefault="00271049" w:rsidP="0080479C">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271049" w:rsidRPr="00180F17" w:rsidTr="0080479C">
        <w:tblPrEx>
          <w:tblLook w:val="04A0" w:firstRow="1" w:lastRow="0" w:firstColumn="1" w:lastColumn="0" w:noHBand="0" w:noVBand="1"/>
        </w:tblPrEx>
        <w:tc>
          <w:tcPr>
            <w:tcW w:w="2268" w:type="dxa"/>
            <w:hideMark/>
          </w:tcPr>
          <w:p w:rsidR="00271049" w:rsidRPr="00180F17" w:rsidRDefault="00271049" w:rsidP="0080479C">
            <w:pPr>
              <w:pStyle w:val="HAStyle1"/>
              <w:numPr>
                <w:ilvl w:val="0"/>
                <w:numId w:val="0"/>
              </w:numPr>
              <w:tabs>
                <w:tab w:val="left" w:pos="486"/>
              </w:tabs>
              <w:rPr>
                <w:spacing w:val="-6"/>
              </w:rPr>
            </w:pPr>
            <w:r w:rsidRPr="00180F17">
              <w:rPr>
                <w:spacing w:val="-6"/>
              </w:rPr>
              <w:lastRenderedPageBreak/>
              <w:t>27. Sửa đổi hợp đồng</w:t>
            </w:r>
          </w:p>
          <w:p w:rsidR="00271049" w:rsidRPr="00180F17" w:rsidRDefault="00271049" w:rsidP="0080479C">
            <w:pPr>
              <w:pStyle w:val="HAStyle1"/>
              <w:numPr>
                <w:ilvl w:val="0"/>
                <w:numId w:val="0"/>
              </w:numPr>
              <w:tabs>
                <w:tab w:val="left" w:pos="486"/>
              </w:tabs>
              <w:rPr>
                <w:spacing w:val="-6"/>
              </w:rPr>
            </w:pPr>
          </w:p>
        </w:tc>
        <w:tc>
          <w:tcPr>
            <w:tcW w:w="6946" w:type="dxa"/>
            <w:hideMark/>
          </w:tcPr>
          <w:p w:rsidR="00271049" w:rsidRPr="00180F17" w:rsidRDefault="00271049" w:rsidP="0080479C">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rsidR="00271049" w:rsidRPr="00180F17" w:rsidRDefault="00271049" w:rsidP="0080479C">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rsidR="00271049" w:rsidRPr="00180F17" w:rsidRDefault="00271049" w:rsidP="0080479C">
            <w:pPr>
              <w:widowControl w:val="0"/>
              <w:spacing w:before="120" w:after="120"/>
              <w:ind w:left="170"/>
              <w:rPr>
                <w:sz w:val="28"/>
                <w:szCs w:val="28"/>
                <w:lang w:val="nl-NL"/>
              </w:rPr>
            </w:pPr>
            <w:r w:rsidRPr="00180F17">
              <w:rPr>
                <w:sz w:val="28"/>
                <w:szCs w:val="28"/>
                <w:lang w:val="nl-NL"/>
              </w:rPr>
              <w:t>b) Thay đổi phương thức vận chuyển hoặc đóng gói;</w:t>
            </w:r>
          </w:p>
          <w:p w:rsidR="00271049" w:rsidRPr="00180F17" w:rsidRDefault="00271049" w:rsidP="0080479C">
            <w:pPr>
              <w:widowControl w:val="0"/>
              <w:spacing w:before="120" w:after="120"/>
              <w:ind w:left="170"/>
              <w:rPr>
                <w:sz w:val="28"/>
                <w:szCs w:val="28"/>
                <w:lang w:val="nl-NL"/>
              </w:rPr>
            </w:pPr>
            <w:r w:rsidRPr="00180F17">
              <w:rPr>
                <w:sz w:val="28"/>
                <w:szCs w:val="28"/>
                <w:lang w:val="nl-NL"/>
              </w:rPr>
              <w:t xml:space="preserve">c) Thay đổi địa điểm giao hàng; </w:t>
            </w:r>
          </w:p>
          <w:p w:rsidR="00271049" w:rsidRPr="00180F17" w:rsidRDefault="00271049" w:rsidP="0080479C">
            <w:pPr>
              <w:widowControl w:val="0"/>
              <w:spacing w:before="120" w:after="120"/>
              <w:ind w:left="170"/>
              <w:rPr>
                <w:sz w:val="28"/>
                <w:szCs w:val="28"/>
                <w:lang w:val="nl-NL"/>
              </w:rPr>
            </w:pPr>
            <w:r w:rsidRPr="00180F17">
              <w:rPr>
                <w:sz w:val="28"/>
                <w:szCs w:val="28"/>
                <w:lang w:val="nl-NL"/>
              </w:rPr>
              <w:t>d) Thay đổi dịch vụ liên quan.</w:t>
            </w:r>
          </w:p>
          <w:p w:rsidR="00271049" w:rsidRPr="00180F17" w:rsidRDefault="00271049" w:rsidP="0080479C">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rsidR="00271049" w:rsidRPr="00180F17" w:rsidRDefault="00271049" w:rsidP="0080479C">
            <w:pPr>
              <w:widowControl w:val="0"/>
              <w:spacing w:before="120" w:after="120"/>
              <w:ind w:left="170"/>
              <w:rPr>
                <w:vanish/>
                <w:sz w:val="28"/>
                <w:szCs w:val="28"/>
                <w:lang w:val="nl-NL"/>
              </w:rPr>
            </w:pPr>
          </w:p>
          <w:p w:rsidR="00271049" w:rsidRPr="00180F17" w:rsidRDefault="00271049" w:rsidP="0080479C">
            <w:pPr>
              <w:widowControl w:val="0"/>
              <w:spacing w:before="120" w:after="120"/>
              <w:ind w:left="170"/>
              <w:rPr>
                <w:vanish/>
                <w:sz w:val="28"/>
                <w:szCs w:val="28"/>
                <w:lang w:val="nl-NL"/>
              </w:rPr>
            </w:pPr>
            <w:r w:rsidRPr="00180F17">
              <w:rPr>
                <w:vanish/>
                <w:sz w:val="28"/>
                <w:szCs w:val="28"/>
                <w:lang w:val="nl-NL"/>
              </w:rPr>
              <w:t xml:space="preserve">  .</w:t>
            </w:r>
          </w:p>
          <w:p w:rsidR="00271049" w:rsidRPr="00180F17" w:rsidRDefault="00271049" w:rsidP="0080479C">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rsidR="00271049" w:rsidRPr="00180F17" w:rsidRDefault="00271049" w:rsidP="0080479C">
            <w:pPr>
              <w:widowControl w:val="0"/>
              <w:spacing w:before="120" w:after="120"/>
              <w:ind w:left="170"/>
              <w:rPr>
                <w:sz w:val="28"/>
                <w:szCs w:val="28"/>
                <w:lang w:val="es-ES"/>
              </w:rPr>
            </w:pPr>
            <w:r w:rsidRPr="00180F17">
              <w:rPr>
                <w:sz w:val="28"/>
                <w:szCs w:val="28"/>
                <w:lang w:val="es-ES"/>
              </w:rPr>
              <w:t xml:space="preserve">27.3. Trường hợp Nhà thầu cung cấp hàng hóa với phiên </w:t>
            </w:r>
            <w:r w:rsidRPr="00180F17">
              <w:rPr>
                <w:sz w:val="28"/>
                <w:szCs w:val="28"/>
                <w:lang w:val="es-ES"/>
              </w:rPr>
              <w:lastRenderedPageBreak/>
              <w:t>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rsidR="00271049" w:rsidRPr="00180F17" w:rsidRDefault="00271049" w:rsidP="0080479C">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rsidR="00271049" w:rsidRPr="00180F17" w:rsidRDefault="00271049" w:rsidP="0080479C">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rsidR="00271049" w:rsidRPr="00180F17" w:rsidRDefault="00271049" w:rsidP="0080479C">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rsidR="00271049" w:rsidRPr="00180F17" w:rsidRDefault="00271049" w:rsidP="0080479C">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rsidR="00271049" w:rsidRPr="00180F17" w:rsidRDefault="00271049" w:rsidP="0080479C">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rsidR="00271049" w:rsidRPr="00180F17" w:rsidRDefault="00271049" w:rsidP="0080479C">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rsidR="00271049" w:rsidRPr="00180F17" w:rsidRDefault="00271049" w:rsidP="0080479C">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rsidR="00271049" w:rsidRPr="00180F17" w:rsidRDefault="00271049" w:rsidP="0080479C">
            <w:pPr>
              <w:widowControl w:val="0"/>
              <w:spacing w:before="120" w:after="120"/>
              <w:ind w:left="170"/>
              <w:rPr>
                <w:sz w:val="28"/>
                <w:szCs w:val="28"/>
                <w:lang w:val="nl-NL"/>
              </w:rPr>
            </w:pPr>
            <w:r w:rsidRPr="00180F17">
              <w:rPr>
                <w:sz w:val="28"/>
                <w:szCs w:val="28"/>
                <w:lang w:val="nl-NL"/>
              </w:rPr>
              <w:t xml:space="preserve">a) Rút ngắn thời gian giao hàng; </w:t>
            </w:r>
          </w:p>
          <w:p w:rsidR="00271049" w:rsidRPr="00180F17" w:rsidRDefault="00271049" w:rsidP="0080479C">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rsidR="00271049" w:rsidRPr="00180F17" w:rsidRDefault="00271049" w:rsidP="0080479C">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rsidR="00271049" w:rsidRPr="00180F17" w:rsidRDefault="00271049" w:rsidP="0080479C">
            <w:pPr>
              <w:widowControl w:val="0"/>
              <w:spacing w:before="120" w:after="120"/>
              <w:ind w:left="170"/>
              <w:rPr>
                <w:sz w:val="28"/>
                <w:szCs w:val="28"/>
                <w:lang w:val="nl-NL"/>
              </w:rPr>
            </w:pPr>
            <w:r w:rsidRPr="00180F17">
              <w:rPr>
                <w:sz w:val="28"/>
                <w:szCs w:val="28"/>
                <w:lang w:val="nl-NL"/>
              </w:rPr>
              <w:t>d) Bất kỳ lợi ích nào khác cho Chủ đầu tư.</w:t>
            </w:r>
          </w:p>
          <w:p w:rsidR="00271049" w:rsidRPr="00180F17" w:rsidRDefault="00271049" w:rsidP="0080479C">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w:t>
            </w:r>
            <w:r w:rsidRPr="00180F17">
              <w:rPr>
                <w:sz w:val="28"/>
                <w:szCs w:val="28"/>
                <w:lang w:val="nl-NL"/>
              </w:rPr>
              <w:lastRenderedPageBreak/>
              <w:t>trị giảm giá hợp đồng.</w:t>
            </w:r>
          </w:p>
          <w:p w:rsidR="00271049" w:rsidRPr="00180F17" w:rsidRDefault="00271049" w:rsidP="0080479C">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271049" w:rsidRPr="00180F17" w:rsidTr="0080479C">
        <w:tc>
          <w:tcPr>
            <w:tcW w:w="2268" w:type="dxa"/>
          </w:tcPr>
          <w:p w:rsidR="00271049" w:rsidRPr="00180F17" w:rsidRDefault="00271049" w:rsidP="0080479C">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rsidR="00271049" w:rsidRPr="00180F17" w:rsidRDefault="00271049" w:rsidP="0080479C">
            <w:pPr>
              <w:widowControl w:val="0"/>
              <w:spacing w:before="120" w:after="120"/>
              <w:ind w:left="170"/>
              <w:rPr>
                <w:sz w:val="28"/>
                <w:szCs w:val="28"/>
                <w:lang w:val="nl-NL"/>
              </w:rPr>
            </w:pPr>
            <w:r w:rsidRPr="00180F17">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rsidR="00271049" w:rsidRPr="00180F17" w:rsidRDefault="00271049" w:rsidP="0080479C">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271049" w:rsidRPr="00180F17" w:rsidTr="0080479C">
        <w:tc>
          <w:tcPr>
            <w:tcW w:w="2268" w:type="dxa"/>
          </w:tcPr>
          <w:p w:rsidR="00271049" w:rsidRPr="00180F17" w:rsidRDefault="00271049" w:rsidP="0080479C">
            <w:pPr>
              <w:pStyle w:val="HAStyle1"/>
              <w:numPr>
                <w:ilvl w:val="0"/>
                <w:numId w:val="0"/>
              </w:numPr>
              <w:tabs>
                <w:tab w:val="left" w:pos="486"/>
              </w:tabs>
              <w:rPr>
                <w:spacing w:val="-6"/>
              </w:rPr>
            </w:pPr>
            <w:r w:rsidRPr="00180F17">
              <w:rPr>
                <w:spacing w:val="-6"/>
              </w:rPr>
              <w:t xml:space="preserve">29. Chấm dứt </w:t>
            </w:r>
            <w:r w:rsidRPr="00180F17">
              <w:t>hợp</w:t>
            </w:r>
            <w:r w:rsidRPr="00180F17">
              <w:rPr>
                <w:spacing w:val="-6"/>
              </w:rPr>
              <w:t xml:space="preserve"> đồng </w:t>
            </w:r>
            <w:r w:rsidRPr="00180F17">
              <w:rPr>
                <w:vanish/>
                <w:spacing w:val="-6"/>
              </w:rPr>
              <w:t>(</w:t>
            </w:r>
          </w:p>
          <w:p w:rsidR="00271049" w:rsidRPr="00180F17" w:rsidRDefault="00271049" w:rsidP="0080479C">
            <w:pPr>
              <w:pStyle w:val="HAStyle1"/>
              <w:numPr>
                <w:ilvl w:val="0"/>
                <w:numId w:val="0"/>
              </w:numPr>
              <w:rPr>
                <w:spacing w:val="-6"/>
              </w:rPr>
            </w:pPr>
          </w:p>
        </w:tc>
        <w:tc>
          <w:tcPr>
            <w:tcW w:w="6946" w:type="dxa"/>
          </w:tcPr>
          <w:p w:rsidR="00271049" w:rsidRPr="00180F17" w:rsidRDefault="00271049" w:rsidP="0080479C">
            <w:pPr>
              <w:pStyle w:val="Sub-ClauseText"/>
              <w:widowControl w:val="0"/>
              <w:ind w:left="170"/>
              <w:rPr>
                <w:spacing w:val="0"/>
                <w:sz w:val="28"/>
                <w:szCs w:val="28"/>
              </w:rPr>
            </w:pPr>
            <w:r w:rsidRPr="00180F17">
              <w:rPr>
                <w:spacing w:val="0"/>
                <w:sz w:val="28"/>
                <w:szCs w:val="28"/>
              </w:rPr>
              <w:t xml:space="preserve">29.1. Chấm dứt hợp đồng do sai phạm </w:t>
            </w:r>
          </w:p>
          <w:p w:rsidR="00271049" w:rsidRPr="00180F17" w:rsidRDefault="00271049" w:rsidP="0080479C">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rsidR="00271049" w:rsidRPr="00180F17" w:rsidRDefault="00271049" w:rsidP="0080479C">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rsidR="00271049" w:rsidRPr="00180F17" w:rsidRDefault="00271049" w:rsidP="0080479C">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rsidR="00271049" w:rsidRPr="00180F17" w:rsidRDefault="00271049" w:rsidP="0080479C">
            <w:pPr>
              <w:pStyle w:val="Sub-ClauseText"/>
              <w:widowControl w:val="0"/>
              <w:ind w:left="170"/>
              <w:rPr>
                <w:spacing w:val="0"/>
                <w:sz w:val="28"/>
                <w:szCs w:val="28"/>
              </w:rPr>
            </w:pPr>
            <w:r w:rsidRPr="00180F17">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rsidR="00271049" w:rsidRPr="00180F17" w:rsidRDefault="00271049" w:rsidP="0080479C">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w:t>
            </w:r>
            <w:r w:rsidRPr="00180F17">
              <w:rPr>
                <w:spacing w:val="0"/>
                <w:sz w:val="28"/>
                <w:szCs w:val="28"/>
              </w:rPr>
              <w:lastRenderedPageBreak/>
              <w:t xml:space="preserve">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rsidR="00271049" w:rsidRPr="00180F17" w:rsidRDefault="00271049" w:rsidP="0080479C">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rsidR="00271049" w:rsidRPr="00180F17" w:rsidRDefault="00271049" w:rsidP="0080479C">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271049" w:rsidRPr="00180F17" w:rsidTr="0080479C">
        <w:tc>
          <w:tcPr>
            <w:tcW w:w="2268" w:type="dxa"/>
          </w:tcPr>
          <w:p w:rsidR="00271049" w:rsidRPr="00180F17" w:rsidRDefault="00271049" w:rsidP="0080479C">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rsidR="00271049" w:rsidRPr="00180F17" w:rsidDel="00916651" w:rsidRDefault="00271049" w:rsidP="0080479C">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271049" w:rsidRPr="00180F17" w:rsidRDefault="00271049" w:rsidP="00271049">
      <w:pPr>
        <w:pStyle w:val="Subtitle"/>
        <w:widowControl w:val="0"/>
        <w:spacing w:before="120" w:line="264" w:lineRule="auto"/>
        <w:outlineLvl w:val="1"/>
        <w:rPr>
          <w:sz w:val="26"/>
        </w:rPr>
      </w:pPr>
    </w:p>
    <w:p w:rsidR="00431870" w:rsidRDefault="00431870"/>
    <w:sectPr w:rsidR="00431870" w:rsidSect="00AC7180">
      <w:pgSz w:w="11907" w:h="16840" w:code="9"/>
      <w:pgMar w:top="1418" w:right="851" w:bottom="170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9"/>
    <w:rsid w:val="0024119B"/>
    <w:rsid w:val="00271049"/>
    <w:rsid w:val="00431870"/>
    <w:rsid w:val="00727514"/>
    <w:rsid w:val="0081522A"/>
    <w:rsid w:val="00AC7180"/>
    <w:rsid w:val="00F9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9CF99-D212-4FFA-BD75-0E4409FF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04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271049"/>
    <w:pPr>
      <w:keepNext/>
      <w:keepLines/>
      <w:widowControl w:val="0"/>
      <w:spacing w:before="120" w:after="120" w:line="264" w:lineRule="auto"/>
      <w:ind w:left="170"/>
      <w:outlineLvl w:val="2"/>
    </w:pPr>
    <w:rPr>
      <w:rFonts w:eastAsiaTheme="majorEastAsia" w:cstheme="majorBidi"/>
      <w:sz w:val="28"/>
      <w:szCs w:val="28"/>
      <w:lang w:val="es-ES"/>
    </w:rPr>
  </w:style>
  <w:style w:type="paragraph" w:styleId="Heading4">
    <w:name w:val="heading 4"/>
    <w:basedOn w:val="Normal"/>
    <w:next w:val="Normal"/>
    <w:link w:val="Heading4Char"/>
    <w:autoRedefine/>
    <w:uiPriority w:val="9"/>
    <w:unhideWhenUsed/>
    <w:qFormat/>
    <w:rsid w:val="0024119B"/>
    <w:pPr>
      <w:keepNext/>
      <w:keepLines/>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271049"/>
    <w:rPr>
      <w:rFonts w:ascii="Times New Roman" w:eastAsiaTheme="majorEastAsia" w:hAnsi="Times New Roman" w:cstheme="majorBidi"/>
      <w:sz w:val="28"/>
      <w:szCs w:val="28"/>
      <w:lang w:val="es-ES"/>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character" w:customStyle="1" w:styleId="Heading3Char1">
    <w:name w:val="Heading 3 Char1"/>
    <w:aliases w:val="Section Header3 Char,ClauseSub_No&amp;Name Char,Section Header3 Char Char Char,Sub-Clause Paragraph Char"/>
    <w:rsid w:val="00271049"/>
    <w:rPr>
      <w:rFonts w:eastAsia="Times New Roman" w:cs="Times New Roman"/>
      <w:b/>
      <w:szCs w:val="20"/>
      <w:lang w:val="en-US"/>
    </w:rPr>
  </w:style>
  <w:style w:type="paragraph" w:styleId="Subtitle">
    <w:name w:val="Subtitle"/>
    <w:basedOn w:val="Normal"/>
    <w:link w:val="SubtitleChar"/>
    <w:qFormat/>
    <w:rsid w:val="00271049"/>
    <w:pPr>
      <w:jc w:val="center"/>
    </w:pPr>
    <w:rPr>
      <w:b/>
      <w:sz w:val="44"/>
    </w:rPr>
  </w:style>
  <w:style w:type="character" w:customStyle="1" w:styleId="SubtitleChar">
    <w:name w:val="Subtitle Char"/>
    <w:basedOn w:val="DefaultParagraphFont"/>
    <w:link w:val="Subtitle"/>
    <w:rsid w:val="00271049"/>
    <w:rPr>
      <w:rFonts w:ascii="Times New Roman" w:eastAsia="Times New Roman" w:hAnsi="Times New Roman" w:cs="Times New Roman"/>
      <w:b/>
      <w:sz w:val="44"/>
      <w:szCs w:val="20"/>
    </w:rPr>
  </w:style>
  <w:style w:type="paragraph" w:customStyle="1" w:styleId="Sub-ClauseText">
    <w:name w:val="Sub-Clause Text"/>
    <w:basedOn w:val="Normal"/>
    <w:rsid w:val="00271049"/>
    <w:pPr>
      <w:spacing w:before="120" w:after="120"/>
    </w:pPr>
    <w:rPr>
      <w:spacing w:val="-4"/>
    </w:rPr>
  </w:style>
  <w:style w:type="paragraph" w:customStyle="1" w:styleId="sec7-clauses">
    <w:name w:val="sec7-clauses"/>
    <w:basedOn w:val="Normal"/>
    <w:rsid w:val="00271049"/>
    <w:pPr>
      <w:tabs>
        <w:tab w:val="num" w:pos="360"/>
      </w:tabs>
      <w:spacing w:before="120" w:after="120"/>
      <w:ind w:left="360" w:hanging="360"/>
      <w:jc w:val="left"/>
    </w:pPr>
    <w:rPr>
      <w:b/>
    </w:rPr>
  </w:style>
  <w:style w:type="paragraph" w:customStyle="1" w:styleId="4">
    <w:name w:val="4"/>
    <w:basedOn w:val="Normal"/>
    <w:rsid w:val="00271049"/>
    <w:pPr>
      <w:spacing w:before="360" w:line="288" w:lineRule="auto"/>
    </w:pPr>
    <w:rPr>
      <w:rFonts w:ascii=".VnArial" w:hAnsi=".VnArial"/>
      <w:b/>
      <w:sz w:val="20"/>
    </w:rPr>
  </w:style>
  <w:style w:type="paragraph" w:customStyle="1" w:styleId="HAStyle1">
    <w:name w:val="HAStyle1"/>
    <w:basedOn w:val="Normal"/>
    <w:qFormat/>
    <w:rsid w:val="00271049"/>
    <w:pPr>
      <w:widowControl w:val="0"/>
      <w:numPr>
        <w:numId w:val="1"/>
      </w:numPr>
      <w:spacing w:before="120" w:after="120" w:line="264" w:lineRule="auto"/>
      <w:jc w:val="left"/>
    </w:pPr>
    <w:rPr>
      <w:rFonts w:eastAsia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4323</Words>
  <Characters>24643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2025-11-04T09:35:00Z</cp:lastPrinted>
  <dcterms:created xsi:type="dcterms:W3CDTF">2025-11-04T09:34:00Z</dcterms:created>
  <dcterms:modified xsi:type="dcterms:W3CDTF">2025-11-04T09:37:00Z</dcterms:modified>
</cp:coreProperties>
</file>