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05B" w:rsidRPr="0084505B" w:rsidRDefault="0084505B" w:rsidP="0084505B">
      <w:pPr>
        <w:pStyle w:val="TOC1"/>
        <w:spacing w:line="264" w:lineRule="auto"/>
        <w:rPr>
          <w:rFonts w:ascii="Times New Roman" w:hAnsi="Times New Roman" w:cs="Times New Roman"/>
        </w:rPr>
      </w:pPr>
      <w:r w:rsidRPr="0084505B">
        <w:rPr>
          <w:rFonts w:ascii="Times New Roman" w:hAnsi="Times New Roman" w:cs="Times New Roman"/>
        </w:rPr>
        <w:t xml:space="preserve">Mục </w:t>
      </w:r>
      <w:r w:rsidRPr="0084505B">
        <w:rPr>
          <w:rFonts w:ascii="Times New Roman" w:hAnsi="Times New Roman" w:cs="Times New Roman"/>
          <w:lang w:val="pl-PL"/>
        </w:rPr>
        <w:t>3</w:t>
      </w:r>
      <w:r w:rsidRPr="0084505B">
        <w:rPr>
          <w:rFonts w:ascii="Times New Roman" w:hAnsi="Times New Roman" w:cs="Times New Roman"/>
        </w:rPr>
        <w:t>. Tiêu chuẩn đánh giá về kỹ thuật</w:t>
      </w:r>
    </w:p>
    <w:p w:rsidR="0084505B" w:rsidRPr="0084505B" w:rsidRDefault="0084505B" w:rsidP="0084505B">
      <w:pPr>
        <w:spacing w:before="80" w:after="80" w:line="264" w:lineRule="auto"/>
        <w:ind w:firstLine="709"/>
        <w:rPr>
          <w:sz w:val="28"/>
          <w:szCs w:val="28"/>
          <w:lang w:val="es-ES"/>
        </w:rPr>
      </w:pPr>
      <w:r w:rsidRPr="0084505B">
        <w:rPr>
          <w:b/>
          <w:iCs/>
          <w:sz w:val="28"/>
          <w:szCs w:val="28"/>
          <w:lang w:val="es-ES"/>
        </w:rPr>
        <w:t>Đánh giá theo phương pháp</w:t>
      </w:r>
      <w:r w:rsidRPr="0084505B" w:rsidDel="00BE4476">
        <w:rPr>
          <w:b/>
          <w:iCs/>
          <w:sz w:val="28"/>
          <w:szCs w:val="28"/>
          <w:lang w:val="es-ES"/>
        </w:rPr>
        <w:t xml:space="preserve"> </w:t>
      </w:r>
      <w:r w:rsidRPr="0084505B">
        <w:rPr>
          <w:b/>
          <w:iCs/>
          <w:sz w:val="28"/>
          <w:szCs w:val="28"/>
          <w:lang w:val="es-ES"/>
        </w:rPr>
        <w:t>đạt/không đạt</w:t>
      </w:r>
      <w:r w:rsidRPr="0084505B">
        <w:rPr>
          <w:rStyle w:val="FootnoteReference"/>
          <w:b/>
          <w:iCs/>
          <w:sz w:val="28"/>
          <w:szCs w:val="28"/>
        </w:rPr>
        <w:footnoteReference w:id="1"/>
      </w:r>
      <w:r w:rsidRPr="0084505B">
        <w:rPr>
          <w:b/>
          <w:sz w:val="28"/>
          <w:szCs w:val="28"/>
          <w:lang w:val="es-ES"/>
        </w:rPr>
        <w:t>:</w:t>
      </w:r>
    </w:p>
    <w:p w:rsidR="0084505B" w:rsidRPr="0084505B" w:rsidRDefault="0084505B" w:rsidP="0084505B">
      <w:pPr>
        <w:spacing w:before="80" w:after="80" w:line="264" w:lineRule="auto"/>
        <w:ind w:firstLine="709"/>
        <w:rPr>
          <w:sz w:val="28"/>
          <w:szCs w:val="28"/>
          <w:lang w:val="es-ES"/>
        </w:rPr>
      </w:pPr>
      <w:r w:rsidRPr="0084505B">
        <w:rPr>
          <w:sz w:val="28"/>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84505B" w:rsidRPr="0084505B" w:rsidRDefault="0084505B" w:rsidP="0084505B">
      <w:pPr>
        <w:spacing w:before="80" w:after="80" w:line="264" w:lineRule="auto"/>
        <w:ind w:firstLine="709"/>
        <w:rPr>
          <w:sz w:val="28"/>
          <w:szCs w:val="28"/>
          <w:lang w:val="es-ES"/>
        </w:rPr>
      </w:pPr>
      <w:r w:rsidRPr="0084505B">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84505B" w:rsidRPr="0084505B" w:rsidRDefault="0084505B" w:rsidP="0084505B">
      <w:pPr>
        <w:spacing w:before="80" w:after="80" w:line="264" w:lineRule="auto"/>
        <w:ind w:firstLine="709"/>
        <w:rPr>
          <w:sz w:val="28"/>
          <w:szCs w:val="28"/>
          <w:lang w:val="es-ES"/>
        </w:rPr>
      </w:pPr>
      <w:r w:rsidRPr="0084505B">
        <w:rPr>
          <w:sz w:val="28"/>
          <w:szCs w:val="28"/>
          <w:lang w:val="es-ES"/>
        </w:rPr>
        <w:t xml:space="preserve">E-HSDT được đánh giá là đáp ứng yêu cầu về kỹ thuật khi có tất cả các tiêu chí tổng quát đều được đánh giá là đạt.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7"/>
        <w:gridCol w:w="2820"/>
        <w:gridCol w:w="4568"/>
        <w:gridCol w:w="1466"/>
      </w:tblGrid>
      <w:tr w:rsidR="0084505B" w:rsidRPr="0084505B" w:rsidTr="00575306">
        <w:tc>
          <w:tcPr>
            <w:tcW w:w="296" w:type="pct"/>
            <w:shd w:val="clear" w:color="auto" w:fill="auto"/>
            <w:vAlign w:val="center"/>
            <w:hideMark/>
          </w:tcPr>
          <w:p w:rsidR="0084505B" w:rsidRPr="0084505B" w:rsidRDefault="0084505B" w:rsidP="00575306">
            <w:pPr>
              <w:ind w:left="57" w:right="57"/>
              <w:jc w:val="center"/>
              <w:rPr>
                <w:b/>
                <w:bCs/>
                <w:sz w:val="28"/>
                <w:szCs w:val="28"/>
              </w:rPr>
            </w:pPr>
            <w:r w:rsidRPr="0084505B">
              <w:rPr>
                <w:b/>
                <w:bCs/>
                <w:sz w:val="28"/>
                <w:szCs w:val="28"/>
              </w:rPr>
              <w:t>Stt</w:t>
            </w:r>
          </w:p>
        </w:tc>
        <w:tc>
          <w:tcPr>
            <w:tcW w:w="3925" w:type="pct"/>
            <w:gridSpan w:val="2"/>
            <w:shd w:val="clear" w:color="auto" w:fill="auto"/>
            <w:vAlign w:val="center"/>
            <w:hideMark/>
          </w:tcPr>
          <w:p w:rsidR="0084505B" w:rsidRPr="0084505B" w:rsidRDefault="0084505B" w:rsidP="00575306">
            <w:pPr>
              <w:ind w:left="57" w:right="57"/>
              <w:jc w:val="center"/>
              <w:rPr>
                <w:b/>
                <w:bCs/>
                <w:sz w:val="28"/>
                <w:szCs w:val="28"/>
              </w:rPr>
            </w:pPr>
            <w:r w:rsidRPr="0084505B">
              <w:rPr>
                <w:b/>
                <w:bCs/>
                <w:sz w:val="28"/>
                <w:szCs w:val="28"/>
              </w:rPr>
              <w:t>Nội dung yêu cầu</w:t>
            </w:r>
          </w:p>
        </w:tc>
        <w:tc>
          <w:tcPr>
            <w:tcW w:w="779" w:type="pct"/>
            <w:shd w:val="clear" w:color="auto" w:fill="auto"/>
            <w:vAlign w:val="center"/>
            <w:hideMark/>
          </w:tcPr>
          <w:p w:rsidR="0084505B" w:rsidRPr="0084505B" w:rsidRDefault="0084505B" w:rsidP="00575306">
            <w:pPr>
              <w:ind w:left="57" w:right="57"/>
              <w:jc w:val="center"/>
              <w:rPr>
                <w:b/>
                <w:bCs/>
                <w:sz w:val="28"/>
                <w:szCs w:val="28"/>
              </w:rPr>
            </w:pPr>
            <w:r w:rsidRPr="0084505B">
              <w:rPr>
                <w:b/>
                <w:bCs/>
                <w:sz w:val="28"/>
                <w:szCs w:val="28"/>
              </w:rPr>
              <w:t>Đánh giá</w:t>
            </w:r>
          </w:p>
        </w:tc>
      </w:tr>
      <w:tr w:rsidR="0084505B" w:rsidRPr="0084505B" w:rsidTr="00575306">
        <w:tc>
          <w:tcPr>
            <w:tcW w:w="296" w:type="pct"/>
            <w:vMerge w:val="restart"/>
            <w:shd w:val="clear" w:color="auto" w:fill="auto"/>
            <w:hideMark/>
          </w:tcPr>
          <w:p w:rsidR="0084505B" w:rsidRPr="0084505B" w:rsidRDefault="0084505B" w:rsidP="00575306">
            <w:pPr>
              <w:ind w:left="57" w:right="57"/>
              <w:jc w:val="left"/>
              <w:rPr>
                <w:sz w:val="28"/>
                <w:szCs w:val="28"/>
              </w:rPr>
            </w:pPr>
            <w:r w:rsidRPr="0084505B">
              <w:rPr>
                <w:sz w:val="28"/>
                <w:szCs w:val="28"/>
              </w:rPr>
              <w:t>1</w:t>
            </w:r>
          </w:p>
        </w:tc>
        <w:tc>
          <w:tcPr>
            <w:tcW w:w="1498" w:type="pct"/>
            <w:vMerge w:val="restart"/>
            <w:shd w:val="clear" w:color="auto" w:fill="auto"/>
            <w:hideMark/>
          </w:tcPr>
          <w:p w:rsidR="0084505B" w:rsidRPr="0084505B" w:rsidRDefault="0084505B" w:rsidP="00575306">
            <w:pPr>
              <w:ind w:left="57" w:right="57"/>
              <w:rPr>
                <w:sz w:val="28"/>
                <w:szCs w:val="28"/>
              </w:rPr>
            </w:pPr>
            <w:r w:rsidRPr="0084505B">
              <w:rPr>
                <w:sz w:val="28"/>
                <w:szCs w:val="28"/>
              </w:rPr>
              <w:t>Đặc tính, thông số kỹ thuật của hàng hóa, tiêu chuẩn sản xuất, tiêu chuẩn chế tạo và công nghệ</w:t>
            </w:r>
          </w:p>
        </w:tc>
        <w:tc>
          <w:tcPr>
            <w:tcW w:w="2427" w:type="pct"/>
            <w:shd w:val="clear" w:color="auto" w:fill="auto"/>
            <w:hideMark/>
          </w:tcPr>
          <w:p w:rsidR="0084505B" w:rsidRPr="0084505B" w:rsidRDefault="0084505B" w:rsidP="00575306">
            <w:pPr>
              <w:spacing w:before="120" w:after="120"/>
              <w:ind w:left="57" w:right="57"/>
              <w:rPr>
                <w:sz w:val="28"/>
                <w:szCs w:val="28"/>
              </w:rPr>
            </w:pPr>
            <w:r w:rsidRPr="0084505B">
              <w:rPr>
                <w:sz w:val="28"/>
                <w:szCs w:val="28"/>
              </w:rPr>
              <w:t>- Lập Bảng thông số thể hiện được sự so sánh tương ứng các yêu cầu của hàng hóa theo yêu cầu của E-HSMT tại chương V với hàng hóa mà nhà thầu chào trong E-HSDT.</w:t>
            </w:r>
          </w:p>
          <w:p w:rsidR="0084505B" w:rsidRPr="0084505B" w:rsidRDefault="0084505B" w:rsidP="00575306">
            <w:pPr>
              <w:spacing w:before="120" w:after="120"/>
              <w:ind w:left="57" w:right="57"/>
              <w:rPr>
                <w:sz w:val="28"/>
                <w:szCs w:val="28"/>
              </w:rPr>
            </w:pPr>
            <w:r w:rsidRPr="0084505B">
              <w:rPr>
                <w:sz w:val="28"/>
                <w:szCs w:val="28"/>
              </w:rPr>
              <w:t>- Có Catalogue hoặc tài liệu kỹ thuật của hàng hóa.</w:t>
            </w:r>
          </w:p>
          <w:p w:rsidR="0084505B" w:rsidRPr="0084505B" w:rsidRDefault="0084505B" w:rsidP="00575306">
            <w:pPr>
              <w:spacing w:before="120" w:after="120"/>
              <w:ind w:left="57" w:right="57"/>
              <w:rPr>
                <w:b/>
                <w:sz w:val="28"/>
                <w:szCs w:val="28"/>
              </w:rPr>
            </w:pPr>
            <w:r w:rsidRPr="0084505B">
              <w:rPr>
                <w:b/>
                <w:sz w:val="28"/>
                <w:szCs w:val="28"/>
              </w:rPr>
              <w:t xml:space="preserve">- Bản cam kết có nội dung: </w:t>
            </w:r>
          </w:p>
          <w:p w:rsidR="0084505B" w:rsidRPr="0084505B" w:rsidRDefault="0084505B" w:rsidP="00575306">
            <w:pPr>
              <w:spacing w:before="120" w:after="120"/>
              <w:ind w:left="57" w:right="57"/>
              <w:rPr>
                <w:sz w:val="28"/>
                <w:szCs w:val="28"/>
              </w:rPr>
            </w:pPr>
            <w:r w:rsidRPr="0084505B">
              <w:rPr>
                <w:sz w:val="28"/>
                <w:szCs w:val="28"/>
              </w:rPr>
              <w:t xml:space="preserve">+ </w:t>
            </w:r>
            <w:r w:rsidRPr="0084505B">
              <w:rPr>
                <w:rStyle w:val="fontstyle01"/>
                <w:rFonts w:ascii="Times New Roman" w:hAnsi="Times New Roman"/>
                <w:color w:val="auto"/>
              </w:rPr>
              <w:t>Nhà thầu cam kết xe ô tô cung cấp mới 100% chưa qua sử dụng, được sản xuất từ năm 2025.</w:t>
            </w:r>
          </w:p>
          <w:p w:rsidR="0084505B" w:rsidRPr="0084505B" w:rsidRDefault="0084505B" w:rsidP="00575306">
            <w:pPr>
              <w:spacing w:before="120" w:after="120"/>
              <w:ind w:left="57" w:right="57"/>
              <w:rPr>
                <w:sz w:val="28"/>
                <w:szCs w:val="28"/>
              </w:rPr>
            </w:pPr>
            <w:r w:rsidRPr="0084505B">
              <w:rPr>
                <w:sz w:val="28"/>
                <w:szCs w:val="28"/>
              </w:rPr>
              <w:t>+ Nhà thầu cam kết xe ô tô đảm bảo đáp ứng đầy đủ các thủ tục để đăng ký, lưu hành theo luật giao thông đường bộ Việt Nam và cam kết cung cấp đầy đủ các giấy tờ hợp lệ kèm theo khi bàn giao xe, phục vụ cho việc đăng ký lưu hành.</w:t>
            </w:r>
          </w:p>
          <w:p w:rsidR="0084505B" w:rsidRPr="0084505B" w:rsidRDefault="0084505B" w:rsidP="00575306">
            <w:pPr>
              <w:spacing w:before="120" w:after="120"/>
              <w:ind w:left="57" w:right="57"/>
              <w:rPr>
                <w:sz w:val="28"/>
                <w:szCs w:val="28"/>
              </w:rPr>
            </w:pPr>
            <w:r w:rsidRPr="0084505B">
              <w:rPr>
                <w:sz w:val="28"/>
                <w:szCs w:val="28"/>
              </w:rPr>
              <w:t>+ Cam kết cung cấp giấy chứng nhận xuất xứ (CO), giấy chứng nhận chất lượng (CQ) trường hợp là hàng hóa nhập khẩu.</w:t>
            </w:r>
          </w:p>
        </w:tc>
        <w:tc>
          <w:tcPr>
            <w:tcW w:w="779" w:type="pct"/>
            <w:shd w:val="clear" w:color="auto" w:fill="auto"/>
            <w:hideMark/>
          </w:tcPr>
          <w:p w:rsidR="0084505B" w:rsidRPr="0084505B" w:rsidRDefault="0084505B" w:rsidP="00575306">
            <w:pPr>
              <w:ind w:left="57" w:right="57"/>
              <w:jc w:val="center"/>
              <w:rPr>
                <w:b/>
                <w:bCs/>
                <w:sz w:val="28"/>
                <w:szCs w:val="28"/>
              </w:rPr>
            </w:pPr>
            <w:r w:rsidRPr="0084505B">
              <w:rPr>
                <w:b/>
                <w:bCs/>
                <w:sz w:val="28"/>
                <w:szCs w:val="28"/>
              </w:rPr>
              <w:t>Đạt</w:t>
            </w:r>
          </w:p>
        </w:tc>
      </w:tr>
      <w:tr w:rsidR="0084505B" w:rsidRPr="0084505B" w:rsidTr="00575306">
        <w:tc>
          <w:tcPr>
            <w:tcW w:w="296" w:type="pct"/>
            <w:vMerge/>
            <w:hideMark/>
          </w:tcPr>
          <w:p w:rsidR="0084505B" w:rsidRPr="0084505B" w:rsidRDefault="0084505B" w:rsidP="00575306">
            <w:pPr>
              <w:ind w:left="57" w:right="57"/>
              <w:jc w:val="left"/>
              <w:rPr>
                <w:sz w:val="28"/>
                <w:szCs w:val="28"/>
              </w:rPr>
            </w:pPr>
          </w:p>
        </w:tc>
        <w:tc>
          <w:tcPr>
            <w:tcW w:w="1498" w:type="pct"/>
            <w:vMerge/>
            <w:hideMark/>
          </w:tcPr>
          <w:p w:rsidR="0084505B" w:rsidRPr="0084505B" w:rsidRDefault="0084505B" w:rsidP="00575306">
            <w:pPr>
              <w:ind w:left="57" w:right="57"/>
              <w:jc w:val="left"/>
              <w:rPr>
                <w:sz w:val="28"/>
                <w:szCs w:val="28"/>
              </w:rPr>
            </w:pPr>
          </w:p>
        </w:tc>
        <w:tc>
          <w:tcPr>
            <w:tcW w:w="2427" w:type="pct"/>
            <w:shd w:val="clear" w:color="auto" w:fill="auto"/>
            <w:hideMark/>
          </w:tcPr>
          <w:p w:rsidR="0084505B" w:rsidRPr="0084505B" w:rsidRDefault="0084505B" w:rsidP="00575306">
            <w:pPr>
              <w:ind w:left="57" w:right="57"/>
              <w:jc w:val="left"/>
              <w:rPr>
                <w:sz w:val="28"/>
                <w:szCs w:val="28"/>
              </w:rPr>
            </w:pPr>
            <w:r w:rsidRPr="0084505B">
              <w:rPr>
                <w:sz w:val="28"/>
                <w:szCs w:val="28"/>
              </w:rPr>
              <w:t>Không đáp ứng yêu cầu trên</w:t>
            </w:r>
          </w:p>
        </w:tc>
        <w:tc>
          <w:tcPr>
            <w:tcW w:w="779" w:type="pct"/>
            <w:shd w:val="clear" w:color="auto" w:fill="auto"/>
            <w:hideMark/>
          </w:tcPr>
          <w:p w:rsidR="0084505B" w:rsidRPr="0084505B" w:rsidRDefault="0084505B" w:rsidP="00575306">
            <w:pPr>
              <w:ind w:left="57" w:right="57"/>
              <w:jc w:val="center"/>
              <w:rPr>
                <w:b/>
                <w:bCs/>
                <w:sz w:val="28"/>
                <w:szCs w:val="28"/>
              </w:rPr>
            </w:pPr>
            <w:r w:rsidRPr="0084505B">
              <w:rPr>
                <w:b/>
                <w:bCs/>
                <w:sz w:val="28"/>
                <w:szCs w:val="28"/>
              </w:rPr>
              <w:t>Không đạt</w:t>
            </w:r>
          </w:p>
        </w:tc>
      </w:tr>
      <w:tr w:rsidR="0084505B" w:rsidRPr="0084505B" w:rsidTr="00575306">
        <w:trPr>
          <w:trHeight w:val="766"/>
        </w:trPr>
        <w:tc>
          <w:tcPr>
            <w:tcW w:w="296" w:type="pct"/>
            <w:shd w:val="clear" w:color="auto" w:fill="auto"/>
            <w:hideMark/>
          </w:tcPr>
          <w:p w:rsidR="0084505B" w:rsidRPr="0084505B" w:rsidRDefault="0084505B" w:rsidP="00575306">
            <w:pPr>
              <w:ind w:left="57" w:right="57"/>
              <w:jc w:val="left"/>
              <w:rPr>
                <w:sz w:val="28"/>
                <w:szCs w:val="28"/>
              </w:rPr>
            </w:pPr>
            <w:r w:rsidRPr="0084505B">
              <w:rPr>
                <w:sz w:val="28"/>
                <w:szCs w:val="28"/>
              </w:rPr>
              <w:lastRenderedPageBreak/>
              <w:t>2</w:t>
            </w:r>
          </w:p>
        </w:tc>
        <w:tc>
          <w:tcPr>
            <w:tcW w:w="4704" w:type="pct"/>
            <w:gridSpan w:val="3"/>
            <w:shd w:val="clear" w:color="auto" w:fill="auto"/>
            <w:hideMark/>
          </w:tcPr>
          <w:p w:rsidR="0084505B" w:rsidRPr="0084505B" w:rsidRDefault="0084505B" w:rsidP="00575306">
            <w:pPr>
              <w:ind w:left="57" w:right="57"/>
              <w:jc w:val="left"/>
              <w:rPr>
                <w:b/>
                <w:bCs/>
                <w:sz w:val="28"/>
                <w:szCs w:val="28"/>
              </w:rPr>
            </w:pPr>
            <w:r w:rsidRPr="0084505B">
              <w:rPr>
                <w:b/>
                <w:bCs/>
                <w:sz w:val="28"/>
                <w:szCs w:val="28"/>
              </w:rPr>
              <w:t>Tính hợp lý và hiệu quả kinh tế của các giải pháp kỹ thuật, biện pháp tổ chức sản xuất (nếu nhà thầu là nhà sản xuất), cung cấp, lắp đặt hàng hóa</w:t>
            </w:r>
          </w:p>
        </w:tc>
      </w:tr>
      <w:tr w:rsidR="0084505B" w:rsidRPr="0084505B" w:rsidTr="00575306">
        <w:tc>
          <w:tcPr>
            <w:tcW w:w="296" w:type="pct"/>
            <w:vMerge w:val="restart"/>
            <w:shd w:val="clear" w:color="auto" w:fill="auto"/>
            <w:hideMark/>
          </w:tcPr>
          <w:p w:rsidR="0084505B" w:rsidRPr="0084505B" w:rsidRDefault="0084505B" w:rsidP="00575306">
            <w:pPr>
              <w:ind w:left="57" w:right="57"/>
              <w:jc w:val="left"/>
              <w:rPr>
                <w:sz w:val="28"/>
                <w:szCs w:val="28"/>
              </w:rPr>
            </w:pPr>
            <w:r w:rsidRPr="0084505B">
              <w:rPr>
                <w:sz w:val="28"/>
                <w:szCs w:val="28"/>
              </w:rPr>
              <w:t>2.1</w:t>
            </w:r>
          </w:p>
        </w:tc>
        <w:tc>
          <w:tcPr>
            <w:tcW w:w="1498" w:type="pct"/>
            <w:vMerge w:val="restart"/>
            <w:shd w:val="clear" w:color="auto" w:fill="auto"/>
            <w:hideMark/>
          </w:tcPr>
          <w:p w:rsidR="0084505B" w:rsidRPr="0084505B" w:rsidRDefault="0084505B" w:rsidP="00575306">
            <w:pPr>
              <w:ind w:left="57" w:right="57"/>
              <w:jc w:val="left"/>
              <w:rPr>
                <w:sz w:val="28"/>
                <w:szCs w:val="28"/>
              </w:rPr>
            </w:pPr>
            <w:r w:rsidRPr="0084505B">
              <w:rPr>
                <w:sz w:val="28"/>
                <w:szCs w:val="28"/>
              </w:rPr>
              <w:t>Hệ thống quản lý chất lượng (Nếu nhà thầu là nhà sản xuất, không áp dụng cho nhà thầu không phải nhà sản xuất)</w:t>
            </w:r>
          </w:p>
        </w:tc>
        <w:tc>
          <w:tcPr>
            <w:tcW w:w="2427" w:type="pct"/>
            <w:shd w:val="clear" w:color="auto" w:fill="auto"/>
            <w:hideMark/>
          </w:tcPr>
          <w:p w:rsidR="0084505B" w:rsidRPr="0084505B" w:rsidRDefault="0084505B" w:rsidP="00575306">
            <w:pPr>
              <w:ind w:left="57" w:right="57"/>
              <w:rPr>
                <w:sz w:val="28"/>
                <w:szCs w:val="28"/>
              </w:rPr>
            </w:pPr>
            <w:r w:rsidRPr="0084505B">
              <w:rPr>
                <w:sz w:val="28"/>
                <w:szCs w:val="28"/>
              </w:rPr>
              <w:t>- Có sơ đồ hệ thống tổ chức bộ máy quản lý, thực hiện gói thầu, gồm các bộ phận chính: Bộ phận sản xuất hàng hóa (Trường hợp nhà thầu là nhà sản xuất); Bộ phận nhập hàng; Bộ phận quản lý chất lượng; Bộ phận quản lý kho bãi; Bộ phận quản lý tiến độ; Bộ phận bốc xếp, vận chuyển, lắp đặt hướng dẫn sử dụng; Bộ phận bảo hành, bảo trì, chăm sóc khách hàng.</w:t>
            </w:r>
          </w:p>
        </w:tc>
        <w:tc>
          <w:tcPr>
            <w:tcW w:w="779" w:type="pct"/>
            <w:shd w:val="clear" w:color="auto" w:fill="auto"/>
            <w:hideMark/>
          </w:tcPr>
          <w:p w:rsidR="0084505B" w:rsidRPr="0084505B" w:rsidRDefault="0084505B" w:rsidP="00575306">
            <w:pPr>
              <w:ind w:left="57" w:right="57"/>
              <w:jc w:val="center"/>
              <w:rPr>
                <w:b/>
                <w:bCs/>
                <w:sz w:val="28"/>
                <w:szCs w:val="28"/>
              </w:rPr>
            </w:pPr>
            <w:r w:rsidRPr="0084505B">
              <w:rPr>
                <w:b/>
                <w:bCs/>
                <w:sz w:val="28"/>
                <w:szCs w:val="28"/>
              </w:rPr>
              <w:t>Đạt</w:t>
            </w:r>
          </w:p>
        </w:tc>
      </w:tr>
      <w:tr w:rsidR="0084505B" w:rsidRPr="0084505B" w:rsidTr="00575306">
        <w:tc>
          <w:tcPr>
            <w:tcW w:w="296" w:type="pct"/>
            <w:vMerge/>
            <w:hideMark/>
          </w:tcPr>
          <w:p w:rsidR="0084505B" w:rsidRPr="0084505B" w:rsidRDefault="0084505B" w:rsidP="00575306">
            <w:pPr>
              <w:ind w:left="57" w:right="57"/>
              <w:jc w:val="left"/>
              <w:rPr>
                <w:sz w:val="28"/>
                <w:szCs w:val="28"/>
              </w:rPr>
            </w:pPr>
          </w:p>
        </w:tc>
        <w:tc>
          <w:tcPr>
            <w:tcW w:w="1498" w:type="pct"/>
            <w:vMerge/>
            <w:hideMark/>
          </w:tcPr>
          <w:p w:rsidR="0084505B" w:rsidRPr="0084505B" w:rsidRDefault="0084505B" w:rsidP="00575306">
            <w:pPr>
              <w:ind w:left="57" w:right="57"/>
              <w:jc w:val="left"/>
              <w:rPr>
                <w:sz w:val="28"/>
                <w:szCs w:val="28"/>
              </w:rPr>
            </w:pPr>
          </w:p>
        </w:tc>
        <w:tc>
          <w:tcPr>
            <w:tcW w:w="2427" w:type="pct"/>
            <w:shd w:val="clear" w:color="auto" w:fill="auto"/>
            <w:hideMark/>
          </w:tcPr>
          <w:p w:rsidR="0084505B" w:rsidRPr="0084505B" w:rsidRDefault="0084505B" w:rsidP="00575306">
            <w:pPr>
              <w:ind w:left="57" w:right="57"/>
              <w:jc w:val="left"/>
              <w:rPr>
                <w:sz w:val="28"/>
                <w:szCs w:val="28"/>
              </w:rPr>
            </w:pPr>
            <w:r w:rsidRPr="0084505B">
              <w:rPr>
                <w:sz w:val="28"/>
                <w:szCs w:val="28"/>
              </w:rPr>
              <w:t>Không đáp ứng yêu cầu trên</w:t>
            </w:r>
          </w:p>
        </w:tc>
        <w:tc>
          <w:tcPr>
            <w:tcW w:w="779" w:type="pct"/>
            <w:shd w:val="clear" w:color="auto" w:fill="auto"/>
            <w:hideMark/>
          </w:tcPr>
          <w:p w:rsidR="0084505B" w:rsidRPr="0084505B" w:rsidRDefault="0084505B" w:rsidP="00575306">
            <w:pPr>
              <w:ind w:left="57" w:right="57"/>
              <w:jc w:val="center"/>
              <w:rPr>
                <w:b/>
                <w:bCs/>
                <w:sz w:val="28"/>
                <w:szCs w:val="28"/>
              </w:rPr>
            </w:pPr>
            <w:r w:rsidRPr="0084505B">
              <w:rPr>
                <w:b/>
                <w:bCs/>
                <w:sz w:val="28"/>
                <w:szCs w:val="28"/>
              </w:rPr>
              <w:t>Không đạt</w:t>
            </w:r>
          </w:p>
        </w:tc>
      </w:tr>
      <w:tr w:rsidR="0084505B" w:rsidRPr="0084505B" w:rsidTr="00575306">
        <w:tc>
          <w:tcPr>
            <w:tcW w:w="296" w:type="pct"/>
            <w:vMerge w:val="restart"/>
            <w:shd w:val="clear" w:color="auto" w:fill="auto"/>
            <w:hideMark/>
          </w:tcPr>
          <w:p w:rsidR="0084505B" w:rsidRPr="0084505B" w:rsidRDefault="0084505B" w:rsidP="00575306">
            <w:pPr>
              <w:ind w:left="57" w:right="57"/>
              <w:jc w:val="left"/>
              <w:rPr>
                <w:sz w:val="28"/>
                <w:szCs w:val="28"/>
              </w:rPr>
            </w:pPr>
            <w:r w:rsidRPr="0084505B">
              <w:rPr>
                <w:sz w:val="28"/>
                <w:szCs w:val="28"/>
              </w:rPr>
              <w:t>2.2</w:t>
            </w:r>
          </w:p>
        </w:tc>
        <w:tc>
          <w:tcPr>
            <w:tcW w:w="1498" w:type="pct"/>
            <w:vMerge w:val="restart"/>
            <w:shd w:val="clear" w:color="auto" w:fill="auto"/>
            <w:hideMark/>
          </w:tcPr>
          <w:p w:rsidR="0084505B" w:rsidRPr="0084505B" w:rsidRDefault="0084505B" w:rsidP="00575306">
            <w:pPr>
              <w:ind w:left="57" w:right="57"/>
              <w:jc w:val="left"/>
              <w:rPr>
                <w:sz w:val="28"/>
                <w:szCs w:val="28"/>
              </w:rPr>
            </w:pPr>
            <w:r w:rsidRPr="0084505B">
              <w:rPr>
                <w:sz w:val="28"/>
                <w:szCs w:val="28"/>
              </w:rPr>
              <w:t xml:space="preserve">Giải pháp kỹ thuật, biện pháp tổ chức sản </w:t>
            </w:r>
            <w:r w:rsidR="00E81FD8">
              <w:rPr>
                <w:sz w:val="28"/>
                <w:szCs w:val="28"/>
              </w:rPr>
              <w:t>xuất</w:t>
            </w:r>
            <w:r w:rsidR="00ED7284">
              <w:rPr>
                <w:sz w:val="28"/>
                <w:szCs w:val="28"/>
              </w:rPr>
              <w:t xml:space="preserve"> </w:t>
            </w:r>
            <w:bookmarkStart w:id="0" w:name="_GoBack"/>
            <w:bookmarkEnd w:id="0"/>
            <w:r w:rsidRPr="0084505B">
              <w:rPr>
                <w:sz w:val="28"/>
                <w:szCs w:val="28"/>
              </w:rPr>
              <w:t>(Nếu nhà thầu là nhà sản xuất, không áp dụng cho nhà thầu không phải nhà sản xuất), cung cấp, lắp đặt hàng hóa</w:t>
            </w:r>
          </w:p>
        </w:tc>
        <w:tc>
          <w:tcPr>
            <w:tcW w:w="2427" w:type="pct"/>
            <w:shd w:val="clear" w:color="auto" w:fill="auto"/>
            <w:hideMark/>
          </w:tcPr>
          <w:p w:rsidR="0084505B" w:rsidRPr="0084505B" w:rsidRDefault="0084505B" w:rsidP="00575306">
            <w:pPr>
              <w:ind w:left="57" w:right="57"/>
              <w:rPr>
                <w:sz w:val="28"/>
                <w:szCs w:val="28"/>
              </w:rPr>
            </w:pPr>
            <w:r w:rsidRPr="0084505B">
              <w:rPr>
                <w:sz w:val="28"/>
                <w:szCs w:val="28"/>
              </w:rPr>
              <w:t>Có giải pháp kỹ thuật, biện pháp tổ chức sản xuất, cung cấp, lắp đặt cụ thể thiết bị cho từng trường hợp lý và hiệu quả kinh tế, nêu đầy đủ các nội dung sau:</w:t>
            </w:r>
          </w:p>
          <w:p w:rsidR="0084505B" w:rsidRPr="0084505B" w:rsidRDefault="0084505B" w:rsidP="00575306">
            <w:pPr>
              <w:ind w:left="57" w:right="57"/>
              <w:rPr>
                <w:sz w:val="28"/>
                <w:szCs w:val="28"/>
              </w:rPr>
            </w:pPr>
            <w:r w:rsidRPr="0084505B">
              <w:rPr>
                <w:sz w:val="28"/>
                <w:szCs w:val="28"/>
              </w:rPr>
              <w:t>- Sơ đồ tổ chức, thuyết minh giải pháp kỹ thuật, quy trình sản xuất lắp ráp sản phẩm.</w:t>
            </w:r>
          </w:p>
          <w:p w:rsidR="0084505B" w:rsidRPr="0084505B" w:rsidRDefault="0084505B" w:rsidP="00575306">
            <w:pPr>
              <w:ind w:left="57" w:right="57"/>
              <w:rPr>
                <w:sz w:val="28"/>
                <w:szCs w:val="28"/>
              </w:rPr>
            </w:pPr>
            <w:r w:rsidRPr="0084505B">
              <w:rPr>
                <w:sz w:val="28"/>
                <w:szCs w:val="28"/>
              </w:rPr>
              <w:t>- Đầy đủ lưu đồ và quy trình kiểm tra chất lượng hàng hóa.</w:t>
            </w:r>
          </w:p>
          <w:p w:rsidR="0084505B" w:rsidRPr="0084505B" w:rsidRDefault="0084505B" w:rsidP="00575306">
            <w:pPr>
              <w:ind w:left="57" w:right="57"/>
              <w:rPr>
                <w:sz w:val="28"/>
                <w:szCs w:val="28"/>
              </w:rPr>
            </w:pPr>
            <w:r w:rsidRPr="0084505B">
              <w:rPr>
                <w:sz w:val="28"/>
                <w:szCs w:val="28"/>
              </w:rPr>
              <w:t>- Đầy đủ lưu đồ và quy trình xử lý sản phẩm không đạt chất lượng khi nhập hàng hóa.</w:t>
            </w:r>
          </w:p>
          <w:p w:rsidR="0084505B" w:rsidRPr="0084505B" w:rsidRDefault="0084505B" w:rsidP="00575306">
            <w:pPr>
              <w:ind w:left="57" w:right="57"/>
              <w:rPr>
                <w:sz w:val="28"/>
                <w:szCs w:val="28"/>
              </w:rPr>
            </w:pPr>
            <w:r w:rsidRPr="0084505B">
              <w:rPr>
                <w:sz w:val="28"/>
                <w:szCs w:val="28"/>
              </w:rPr>
              <w:t>- Đầy đủ lưu đồ và quy trình giám sát các thông số ảnh hưởng môi trường.</w:t>
            </w:r>
          </w:p>
          <w:p w:rsidR="0084505B" w:rsidRPr="0084505B" w:rsidRDefault="0084505B" w:rsidP="00575306">
            <w:pPr>
              <w:ind w:left="57" w:right="57"/>
              <w:rPr>
                <w:sz w:val="28"/>
                <w:szCs w:val="28"/>
              </w:rPr>
            </w:pPr>
            <w:r w:rsidRPr="0084505B">
              <w:rPr>
                <w:sz w:val="28"/>
                <w:szCs w:val="28"/>
              </w:rPr>
              <w:t>-Qui trình vận chuyển, bốc xếp, lưu kho, Lắp đặt, thử nghiệm.</w:t>
            </w:r>
          </w:p>
        </w:tc>
        <w:tc>
          <w:tcPr>
            <w:tcW w:w="779" w:type="pct"/>
            <w:shd w:val="clear" w:color="auto" w:fill="auto"/>
            <w:hideMark/>
          </w:tcPr>
          <w:p w:rsidR="0084505B" w:rsidRPr="0084505B" w:rsidRDefault="0084505B" w:rsidP="00575306">
            <w:pPr>
              <w:ind w:left="57" w:right="57"/>
              <w:jc w:val="center"/>
              <w:rPr>
                <w:b/>
                <w:bCs/>
                <w:sz w:val="28"/>
                <w:szCs w:val="28"/>
              </w:rPr>
            </w:pPr>
            <w:r w:rsidRPr="0084505B">
              <w:rPr>
                <w:b/>
                <w:bCs/>
                <w:sz w:val="28"/>
                <w:szCs w:val="28"/>
              </w:rPr>
              <w:t>Đạt</w:t>
            </w:r>
          </w:p>
        </w:tc>
      </w:tr>
      <w:tr w:rsidR="0084505B" w:rsidRPr="0084505B" w:rsidTr="00575306">
        <w:tc>
          <w:tcPr>
            <w:tcW w:w="296" w:type="pct"/>
            <w:vMerge/>
            <w:hideMark/>
          </w:tcPr>
          <w:p w:rsidR="0084505B" w:rsidRPr="0084505B" w:rsidRDefault="0084505B" w:rsidP="00575306">
            <w:pPr>
              <w:ind w:left="57" w:right="57"/>
              <w:jc w:val="left"/>
              <w:rPr>
                <w:sz w:val="28"/>
                <w:szCs w:val="28"/>
              </w:rPr>
            </w:pPr>
          </w:p>
        </w:tc>
        <w:tc>
          <w:tcPr>
            <w:tcW w:w="1498" w:type="pct"/>
            <w:vMerge/>
            <w:hideMark/>
          </w:tcPr>
          <w:p w:rsidR="0084505B" w:rsidRPr="0084505B" w:rsidRDefault="0084505B" w:rsidP="00575306">
            <w:pPr>
              <w:ind w:left="57" w:right="57"/>
              <w:jc w:val="left"/>
              <w:rPr>
                <w:sz w:val="28"/>
                <w:szCs w:val="28"/>
              </w:rPr>
            </w:pPr>
          </w:p>
        </w:tc>
        <w:tc>
          <w:tcPr>
            <w:tcW w:w="2427" w:type="pct"/>
            <w:shd w:val="clear" w:color="auto" w:fill="auto"/>
            <w:hideMark/>
          </w:tcPr>
          <w:p w:rsidR="0084505B" w:rsidRPr="0084505B" w:rsidRDefault="0084505B" w:rsidP="00575306">
            <w:pPr>
              <w:ind w:left="57" w:right="57"/>
              <w:rPr>
                <w:sz w:val="28"/>
                <w:szCs w:val="28"/>
              </w:rPr>
            </w:pPr>
            <w:r w:rsidRPr="0084505B">
              <w:rPr>
                <w:sz w:val="28"/>
                <w:szCs w:val="28"/>
              </w:rPr>
              <w:t>Không đáp ứng yêu cầu trên</w:t>
            </w:r>
          </w:p>
        </w:tc>
        <w:tc>
          <w:tcPr>
            <w:tcW w:w="779" w:type="pct"/>
            <w:shd w:val="clear" w:color="auto" w:fill="auto"/>
            <w:hideMark/>
          </w:tcPr>
          <w:p w:rsidR="0084505B" w:rsidRPr="0084505B" w:rsidRDefault="0084505B" w:rsidP="00575306">
            <w:pPr>
              <w:ind w:left="57" w:right="57"/>
              <w:jc w:val="center"/>
              <w:rPr>
                <w:b/>
                <w:bCs/>
                <w:sz w:val="28"/>
                <w:szCs w:val="28"/>
              </w:rPr>
            </w:pPr>
            <w:r w:rsidRPr="0084505B">
              <w:rPr>
                <w:b/>
                <w:bCs/>
                <w:sz w:val="28"/>
                <w:szCs w:val="28"/>
              </w:rPr>
              <w:t>Không đạt</w:t>
            </w:r>
          </w:p>
        </w:tc>
      </w:tr>
      <w:tr w:rsidR="0084505B" w:rsidRPr="0084505B" w:rsidTr="00575306">
        <w:tc>
          <w:tcPr>
            <w:tcW w:w="296" w:type="pct"/>
            <w:vMerge w:val="restart"/>
            <w:shd w:val="clear" w:color="auto" w:fill="auto"/>
            <w:hideMark/>
          </w:tcPr>
          <w:p w:rsidR="0084505B" w:rsidRPr="0084505B" w:rsidRDefault="0084505B" w:rsidP="00575306">
            <w:pPr>
              <w:ind w:left="57" w:right="57"/>
              <w:jc w:val="left"/>
              <w:rPr>
                <w:sz w:val="28"/>
                <w:szCs w:val="28"/>
              </w:rPr>
            </w:pPr>
            <w:r w:rsidRPr="0084505B">
              <w:rPr>
                <w:sz w:val="28"/>
                <w:szCs w:val="28"/>
              </w:rPr>
              <w:t>3</w:t>
            </w:r>
          </w:p>
        </w:tc>
        <w:tc>
          <w:tcPr>
            <w:tcW w:w="1498" w:type="pct"/>
            <w:vMerge w:val="restart"/>
            <w:shd w:val="clear" w:color="auto" w:fill="auto"/>
            <w:hideMark/>
          </w:tcPr>
          <w:p w:rsidR="0084505B" w:rsidRPr="0084505B" w:rsidRDefault="0084505B" w:rsidP="00575306">
            <w:pPr>
              <w:ind w:left="57" w:right="57"/>
              <w:rPr>
                <w:sz w:val="28"/>
                <w:szCs w:val="28"/>
              </w:rPr>
            </w:pPr>
            <w:r w:rsidRPr="0084505B">
              <w:rPr>
                <w:sz w:val="28"/>
                <w:szCs w:val="28"/>
              </w:rPr>
              <w:t>Mức độ đáp ứng các yêu cầu về dịch vụ bảo hành, bảo trì, chăm sóc khách hàng sau bán hàng</w:t>
            </w:r>
          </w:p>
        </w:tc>
        <w:tc>
          <w:tcPr>
            <w:tcW w:w="2427" w:type="pct"/>
            <w:shd w:val="clear" w:color="auto" w:fill="auto"/>
            <w:hideMark/>
          </w:tcPr>
          <w:p w:rsidR="0084505B" w:rsidRPr="0084505B" w:rsidRDefault="0084505B" w:rsidP="00575306">
            <w:pPr>
              <w:spacing w:before="120" w:after="120"/>
              <w:ind w:left="57" w:right="57"/>
              <w:rPr>
                <w:sz w:val="28"/>
                <w:szCs w:val="28"/>
              </w:rPr>
            </w:pPr>
            <w:r w:rsidRPr="0084505B">
              <w:rPr>
                <w:sz w:val="28"/>
                <w:szCs w:val="28"/>
              </w:rPr>
              <w:t>- Có trình bày được kế hoạch cung cấp dịch vụ bảo hành, bảo trì hợp lý, khả thi và phù hợp.</w:t>
            </w:r>
          </w:p>
          <w:p w:rsidR="0084505B" w:rsidRPr="0084505B" w:rsidRDefault="0084505B" w:rsidP="00575306">
            <w:pPr>
              <w:spacing w:before="120" w:after="120"/>
              <w:ind w:left="57" w:right="57"/>
              <w:rPr>
                <w:b/>
                <w:sz w:val="28"/>
                <w:szCs w:val="28"/>
              </w:rPr>
            </w:pPr>
            <w:r w:rsidRPr="0084505B">
              <w:rPr>
                <w:b/>
                <w:sz w:val="28"/>
                <w:szCs w:val="28"/>
              </w:rPr>
              <w:t xml:space="preserve">- Bản cam kết có nội dung: </w:t>
            </w:r>
          </w:p>
          <w:p w:rsidR="0084505B" w:rsidRPr="0084505B" w:rsidRDefault="0084505B" w:rsidP="00575306">
            <w:pPr>
              <w:spacing w:before="120" w:after="120"/>
              <w:ind w:left="57" w:right="57"/>
              <w:rPr>
                <w:sz w:val="28"/>
                <w:szCs w:val="28"/>
              </w:rPr>
            </w:pPr>
            <w:r w:rsidRPr="0084505B">
              <w:rPr>
                <w:sz w:val="28"/>
                <w:szCs w:val="28"/>
              </w:rPr>
              <w:t xml:space="preserve">+ Bảo hành ≥ 36 tháng hoặc ≥100.000 km kể từ ngày bàn giao xe đưa vào sử dụng. </w:t>
            </w:r>
          </w:p>
          <w:p w:rsidR="0084505B" w:rsidRPr="0084505B" w:rsidRDefault="0084505B" w:rsidP="00575306">
            <w:pPr>
              <w:spacing w:before="120" w:after="120"/>
              <w:ind w:left="57" w:right="57"/>
              <w:rPr>
                <w:sz w:val="28"/>
                <w:szCs w:val="28"/>
              </w:rPr>
            </w:pPr>
            <w:r w:rsidRPr="0084505B">
              <w:rPr>
                <w:sz w:val="28"/>
                <w:szCs w:val="28"/>
              </w:rPr>
              <w:t>+ Nhà thầu cam kết thu hồi hàng hóa và đổi hàng hóa mới 100% cho chủ đầu tư trong trường hợp đã giao nhưng không đảm bảo chất lượng hoặc có thông báo thu hồi của cơ quan có thẩm quyền hoặc nhà sản xuất.</w:t>
            </w:r>
          </w:p>
          <w:p w:rsidR="0084505B" w:rsidRPr="0084505B" w:rsidRDefault="0084505B" w:rsidP="00575306">
            <w:pPr>
              <w:spacing w:before="120" w:after="120"/>
              <w:ind w:left="57" w:right="57"/>
              <w:rPr>
                <w:sz w:val="28"/>
                <w:szCs w:val="28"/>
              </w:rPr>
            </w:pPr>
            <w:r w:rsidRPr="0084505B">
              <w:rPr>
                <w:sz w:val="28"/>
                <w:szCs w:val="28"/>
              </w:rPr>
              <w:lastRenderedPageBreak/>
              <w:t>+ Cam kết Kiểm tra xe miễn phí; Bảo dưỡng miễn phí tiền công theo quy định của Nhà sản xuất/Đại diện hợp pháp của Nhà sản xuất (nếu có).</w:t>
            </w:r>
          </w:p>
          <w:p w:rsidR="0084505B" w:rsidRPr="0084505B" w:rsidRDefault="0084505B" w:rsidP="00575306">
            <w:pPr>
              <w:spacing w:before="120" w:after="120"/>
              <w:ind w:left="57" w:right="57"/>
              <w:rPr>
                <w:sz w:val="28"/>
                <w:szCs w:val="28"/>
              </w:rPr>
            </w:pPr>
            <w:r w:rsidRPr="0084505B">
              <w:rPr>
                <w:sz w:val="28"/>
                <w:szCs w:val="28"/>
              </w:rPr>
              <w:t>+ Cam kết về chế độ bảo trì, bảo dưỡng, hướng dẫn cho Chủ đầu tư sử dụng vận hành, sửa chữa thiết bị theo quy định của Nhà sản xuất/Đại diện hợp pháp của nhà sản xuất (có sổ bảo hành và sách hướng dẫn sử dụng kèm theo khi giao xe).</w:t>
            </w:r>
          </w:p>
        </w:tc>
        <w:tc>
          <w:tcPr>
            <w:tcW w:w="779" w:type="pct"/>
            <w:shd w:val="clear" w:color="auto" w:fill="auto"/>
            <w:hideMark/>
          </w:tcPr>
          <w:p w:rsidR="0084505B" w:rsidRPr="0084505B" w:rsidRDefault="0084505B" w:rsidP="00575306">
            <w:pPr>
              <w:ind w:left="57" w:right="57"/>
              <w:jc w:val="center"/>
              <w:rPr>
                <w:b/>
                <w:bCs/>
                <w:sz w:val="28"/>
                <w:szCs w:val="28"/>
              </w:rPr>
            </w:pPr>
            <w:r w:rsidRPr="0084505B">
              <w:rPr>
                <w:b/>
                <w:bCs/>
                <w:sz w:val="28"/>
                <w:szCs w:val="28"/>
              </w:rPr>
              <w:lastRenderedPageBreak/>
              <w:t>Đạt</w:t>
            </w:r>
          </w:p>
        </w:tc>
      </w:tr>
      <w:tr w:rsidR="0084505B" w:rsidRPr="0084505B" w:rsidTr="00575306">
        <w:tc>
          <w:tcPr>
            <w:tcW w:w="296" w:type="pct"/>
            <w:vMerge/>
            <w:hideMark/>
          </w:tcPr>
          <w:p w:rsidR="0084505B" w:rsidRPr="0084505B" w:rsidRDefault="0084505B" w:rsidP="00575306">
            <w:pPr>
              <w:ind w:left="57" w:right="57"/>
              <w:jc w:val="left"/>
              <w:rPr>
                <w:sz w:val="28"/>
                <w:szCs w:val="28"/>
              </w:rPr>
            </w:pPr>
          </w:p>
        </w:tc>
        <w:tc>
          <w:tcPr>
            <w:tcW w:w="1498" w:type="pct"/>
            <w:vMerge/>
            <w:hideMark/>
          </w:tcPr>
          <w:p w:rsidR="0084505B" w:rsidRPr="0084505B" w:rsidRDefault="0084505B" w:rsidP="00575306">
            <w:pPr>
              <w:ind w:left="57" w:right="57"/>
              <w:jc w:val="left"/>
              <w:rPr>
                <w:sz w:val="28"/>
                <w:szCs w:val="28"/>
              </w:rPr>
            </w:pPr>
          </w:p>
        </w:tc>
        <w:tc>
          <w:tcPr>
            <w:tcW w:w="2427" w:type="pct"/>
            <w:shd w:val="clear" w:color="auto" w:fill="auto"/>
            <w:hideMark/>
          </w:tcPr>
          <w:p w:rsidR="0084505B" w:rsidRPr="0084505B" w:rsidRDefault="0084505B" w:rsidP="00575306">
            <w:pPr>
              <w:ind w:left="57" w:right="57"/>
              <w:rPr>
                <w:sz w:val="28"/>
                <w:szCs w:val="28"/>
              </w:rPr>
            </w:pPr>
            <w:r w:rsidRPr="0084505B">
              <w:rPr>
                <w:sz w:val="28"/>
                <w:szCs w:val="28"/>
              </w:rPr>
              <w:t>Không đáp ứng yêu cầu trên</w:t>
            </w:r>
          </w:p>
        </w:tc>
        <w:tc>
          <w:tcPr>
            <w:tcW w:w="779" w:type="pct"/>
            <w:shd w:val="clear" w:color="auto" w:fill="auto"/>
            <w:hideMark/>
          </w:tcPr>
          <w:p w:rsidR="0084505B" w:rsidRPr="0084505B" w:rsidRDefault="0084505B" w:rsidP="00575306">
            <w:pPr>
              <w:ind w:left="57" w:right="57"/>
              <w:jc w:val="center"/>
              <w:rPr>
                <w:b/>
                <w:bCs/>
                <w:sz w:val="28"/>
                <w:szCs w:val="28"/>
              </w:rPr>
            </w:pPr>
            <w:r w:rsidRPr="0084505B">
              <w:rPr>
                <w:b/>
                <w:bCs/>
                <w:sz w:val="28"/>
                <w:szCs w:val="28"/>
              </w:rPr>
              <w:t>Không đạt</w:t>
            </w:r>
          </w:p>
        </w:tc>
      </w:tr>
      <w:tr w:rsidR="0084505B" w:rsidRPr="0084505B" w:rsidTr="00575306">
        <w:tc>
          <w:tcPr>
            <w:tcW w:w="296" w:type="pct"/>
            <w:vMerge w:val="restart"/>
            <w:shd w:val="clear" w:color="auto" w:fill="auto"/>
            <w:hideMark/>
          </w:tcPr>
          <w:p w:rsidR="0084505B" w:rsidRPr="0084505B" w:rsidRDefault="0084505B" w:rsidP="00575306">
            <w:pPr>
              <w:ind w:left="57" w:right="57"/>
              <w:jc w:val="left"/>
              <w:rPr>
                <w:sz w:val="28"/>
                <w:szCs w:val="28"/>
              </w:rPr>
            </w:pPr>
            <w:r w:rsidRPr="0084505B">
              <w:rPr>
                <w:sz w:val="28"/>
                <w:szCs w:val="28"/>
              </w:rPr>
              <w:t>4</w:t>
            </w:r>
          </w:p>
        </w:tc>
        <w:tc>
          <w:tcPr>
            <w:tcW w:w="1498" w:type="pct"/>
            <w:vMerge w:val="restart"/>
            <w:shd w:val="clear" w:color="auto" w:fill="auto"/>
            <w:hideMark/>
          </w:tcPr>
          <w:p w:rsidR="0084505B" w:rsidRPr="0084505B" w:rsidRDefault="0084505B" w:rsidP="00575306">
            <w:pPr>
              <w:ind w:left="57" w:right="57"/>
              <w:rPr>
                <w:sz w:val="28"/>
                <w:szCs w:val="28"/>
              </w:rPr>
            </w:pPr>
            <w:r w:rsidRPr="0084505B">
              <w:rPr>
                <w:sz w:val="28"/>
                <w:szCs w:val="28"/>
              </w:rPr>
              <w:t>Mức độ đáp ứng các yêu cầu về cung cấp vật tư, thiết bị thay thế và các dịch vụ liên quan khác (nếu có) trong toàn bộ quá trình sử dụng của hàng hóa</w:t>
            </w:r>
          </w:p>
        </w:tc>
        <w:tc>
          <w:tcPr>
            <w:tcW w:w="2427" w:type="pct"/>
            <w:shd w:val="clear" w:color="auto" w:fill="auto"/>
            <w:hideMark/>
          </w:tcPr>
          <w:p w:rsidR="0084505B" w:rsidRPr="0084505B" w:rsidRDefault="0084505B" w:rsidP="00575306">
            <w:pPr>
              <w:ind w:left="57" w:right="57"/>
              <w:rPr>
                <w:b/>
                <w:sz w:val="28"/>
                <w:szCs w:val="28"/>
              </w:rPr>
            </w:pPr>
            <w:r w:rsidRPr="0084505B">
              <w:rPr>
                <w:b/>
                <w:sz w:val="28"/>
                <w:szCs w:val="28"/>
              </w:rPr>
              <w:t>* Bản cam kết có nội dung:</w:t>
            </w:r>
          </w:p>
          <w:p w:rsidR="0084505B" w:rsidRPr="0084505B" w:rsidRDefault="0084505B" w:rsidP="00575306">
            <w:pPr>
              <w:ind w:left="57" w:right="57"/>
              <w:rPr>
                <w:sz w:val="28"/>
                <w:szCs w:val="28"/>
              </w:rPr>
            </w:pPr>
            <w:r w:rsidRPr="0084505B">
              <w:rPr>
                <w:sz w:val="28"/>
                <w:szCs w:val="28"/>
              </w:rPr>
              <w:t xml:space="preserve">- </w:t>
            </w:r>
            <w:r w:rsidRPr="0084505B">
              <w:rPr>
                <w:rStyle w:val="fontstyle01"/>
                <w:rFonts w:ascii="Times New Roman" w:hAnsi="Times New Roman"/>
                <w:color w:val="auto"/>
              </w:rPr>
              <w:t>Cam kết về khả năng sẵn sàng cung cấp vật tư, linh kiện chính hãng phục vụ công tác bảo trì, bảo dưỡng khi chủ đầu tư có nhu cầu trong thời hạn tối thiểu 5 năm kể từ ngày nghiệm thu bàn giao hàng hóa.</w:t>
            </w:r>
          </w:p>
          <w:p w:rsidR="0084505B" w:rsidRPr="0084505B" w:rsidRDefault="0084505B" w:rsidP="00575306">
            <w:pPr>
              <w:spacing w:before="120" w:after="120"/>
              <w:ind w:left="57" w:right="57"/>
              <w:rPr>
                <w:sz w:val="28"/>
                <w:szCs w:val="28"/>
              </w:rPr>
            </w:pPr>
            <w:r w:rsidRPr="0084505B">
              <w:rPr>
                <w:rStyle w:val="fontstyle01"/>
                <w:rFonts w:ascii="Times New Roman" w:hAnsi="Times New Roman"/>
                <w:color w:val="auto"/>
              </w:rPr>
              <w:t>- Cam kết các phụ tùng chính hiệu của hãng với</w:t>
            </w:r>
            <w:r w:rsidRPr="0084505B">
              <w:t xml:space="preserve"> </w:t>
            </w:r>
            <w:r w:rsidRPr="0084505B">
              <w:rPr>
                <w:sz w:val="28"/>
                <w:szCs w:val="28"/>
              </w:rPr>
              <w:t>giá</w:t>
            </w:r>
            <w:r w:rsidRPr="0084505B">
              <w:rPr>
                <w:rStyle w:val="fontstyle01"/>
                <w:rFonts w:ascii="Times New Roman" w:hAnsi="Times New Roman"/>
                <w:color w:val="auto"/>
              </w:rPr>
              <w:t xml:space="preserve"> bán cạnh tranh và thống nhất trên toàn quốc, luôn luôn sẵn có tại bất kỳ đại lý uỷ quyền của Nhà sản xuất/Đại diện hợp pháp của nhà sản xuất hay các trung tâm bảo hành, bảo trì ủy quyền của Nhà sản xuất/Đại diện hợp pháp của nhà sản xuất, đảm bảo có vật tư, phụ kiện thay thế nếu hàng hóa bị hư hỏng trong thời gian sử dụng.</w:t>
            </w:r>
          </w:p>
        </w:tc>
        <w:tc>
          <w:tcPr>
            <w:tcW w:w="779" w:type="pct"/>
            <w:shd w:val="clear" w:color="auto" w:fill="auto"/>
            <w:hideMark/>
          </w:tcPr>
          <w:p w:rsidR="0084505B" w:rsidRPr="0084505B" w:rsidRDefault="0084505B" w:rsidP="00575306">
            <w:pPr>
              <w:ind w:left="57" w:right="57"/>
              <w:jc w:val="center"/>
              <w:rPr>
                <w:b/>
                <w:bCs/>
                <w:sz w:val="28"/>
                <w:szCs w:val="28"/>
              </w:rPr>
            </w:pPr>
            <w:r w:rsidRPr="0084505B">
              <w:rPr>
                <w:b/>
                <w:bCs/>
                <w:sz w:val="28"/>
                <w:szCs w:val="28"/>
              </w:rPr>
              <w:t>Đạt</w:t>
            </w:r>
          </w:p>
        </w:tc>
      </w:tr>
      <w:tr w:rsidR="0084505B" w:rsidRPr="0084505B" w:rsidTr="00575306">
        <w:trPr>
          <w:trHeight w:val="654"/>
        </w:trPr>
        <w:tc>
          <w:tcPr>
            <w:tcW w:w="296" w:type="pct"/>
            <w:vMerge/>
            <w:hideMark/>
          </w:tcPr>
          <w:p w:rsidR="0084505B" w:rsidRPr="0084505B" w:rsidRDefault="0084505B" w:rsidP="00575306">
            <w:pPr>
              <w:ind w:left="57" w:right="57"/>
              <w:jc w:val="left"/>
              <w:rPr>
                <w:sz w:val="28"/>
                <w:szCs w:val="28"/>
              </w:rPr>
            </w:pPr>
          </w:p>
        </w:tc>
        <w:tc>
          <w:tcPr>
            <w:tcW w:w="1498" w:type="pct"/>
            <w:vMerge/>
            <w:hideMark/>
          </w:tcPr>
          <w:p w:rsidR="0084505B" w:rsidRPr="0084505B" w:rsidRDefault="0084505B" w:rsidP="00575306">
            <w:pPr>
              <w:ind w:left="57" w:right="57"/>
              <w:jc w:val="left"/>
              <w:rPr>
                <w:sz w:val="28"/>
                <w:szCs w:val="28"/>
              </w:rPr>
            </w:pPr>
          </w:p>
        </w:tc>
        <w:tc>
          <w:tcPr>
            <w:tcW w:w="2427" w:type="pct"/>
            <w:shd w:val="clear" w:color="auto" w:fill="auto"/>
            <w:hideMark/>
          </w:tcPr>
          <w:p w:rsidR="0084505B" w:rsidRPr="0084505B" w:rsidRDefault="0084505B" w:rsidP="00575306">
            <w:pPr>
              <w:ind w:left="57" w:right="57"/>
              <w:jc w:val="left"/>
              <w:rPr>
                <w:sz w:val="28"/>
                <w:szCs w:val="28"/>
              </w:rPr>
            </w:pPr>
            <w:r w:rsidRPr="0084505B">
              <w:rPr>
                <w:sz w:val="28"/>
                <w:szCs w:val="28"/>
              </w:rPr>
              <w:t>Không đáp ứng yêu cầu trên</w:t>
            </w:r>
          </w:p>
        </w:tc>
        <w:tc>
          <w:tcPr>
            <w:tcW w:w="779" w:type="pct"/>
            <w:shd w:val="clear" w:color="auto" w:fill="auto"/>
            <w:hideMark/>
          </w:tcPr>
          <w:p w:rsidR="0084505B" w:rsidRPr="0084505B" w:rsidRDefault="0084505B" w:rsidP="00575306">
            <w:pPr>
              <w:ind w:left="57" w:right="57"/>
              <w:jc w:val="center"/>
              <w:rPr>
                <w:b/>
                <w:bCs/>
                <w:sz w:val="28"/>
                <w:szCs w:val="28"/>
              </w:rPr>
            </w:pPr>
            <w:r w:rsidRPr="0084505B">
              <w:rPr>
                <w:b/>
                <w:bCs/>
                <w:sz w:val="28"/>
                <w:szCs w:val="28"/>
              </w:rPr>
              <w:t>Không đạt</w:t>
            </w:r>
          </w:p>
        </w:tc>
      </w:tr>
      <w:tr w:rsidR="0084505B" w:rsidRPr="0084505B" w:rsidTr="00575306">
        <w:tc>
          <w:tcPr>
            <w:tcW w:w="296" w:type="pct"/>
            <w:vMerge w:val="restart"/>
            <w:shd w:val="clear" w:color="auto" w:fill="auto"/>
            <w:hideMark/>
          </w:tcPr>
          <w:p w:rsidR="0084505B" w:rsidRPr="0084505B" w:rsidRDefault="0084505B" w:rsidP="00575306">
            <w:pPr>
              <w:ind w:left="57" w:right="57"/>
              <w:rPr>
                <w:sz w:val="28"/>
                <w:szCs w:val="28"/>
              </w:rPr>
            </w:pPr>
            <w:r w:rsidRPr="0084505B">
              <w:rPr>
                <w:sz w:val="28"/>
                <w:szCs w:val="28"/>
              </w:rPr>
              <w:t>5</w:t>
            </w:r>
          </w:p>
        </w:tc>
        <w:tc>
          <w:tcPr>
            <w:tcW w:w="1498" w:type="pct"/>
            <w:vMerge w:val="restart"/>
            <w:shd w:val="clear" w:color="auto" w:fill="auto"/>
            <w:hideMark/>
          </w:tcPr>
          <w:p w:rsidR="0084505B" w:rsidRPr="0084505B" w:rsidRDefault="0084505B" w:rsidP="00575306">
            <w:pPr>
              <w:ind w:left="57" w:right="57"/>
              <w:rPr>
                <w:sz w:val="28"/>
                <w:szCs w:val="28"/>
              </w:rPr>
            </w:pPr>
            <w:r w:rsidRPr="0084505B">
              <w:rPr>
                <w:sz w:val="28"/>
                <w:szCs w:val="28"/>
              </w:rPr>
              <w:t>Uy tín của nhà thầu thông qua việc thực hiện các hợp đồng tương tự trước đó trong vòng 3 năm trở lại đây tính đến thời điểm đóng thầu.</w:t>
            </w:r>
          </w:p>
        </w:tc>
        <w:tc>
          <w:tcPr>
            <w:tcW w:w="2427" w:type="pct"/>
            <w:shd w:val="clear" w:color="auto" w:fill="auto"/>
            <w:hideMark/>
          </w:tcPr>
          <w:p w:rsidR="0084505B" w:rsidRPr="0084505B" w:rsidRDefault="0084505B" w:rsidP="00575306">
            <w:pPr>
              <w:ind w:left="57" w:right="57"/>
              <w:rPr>
                <w:sz w:val="28"/>
                <w:szCs w:val="28"/>
              </w:rPr>
            </w:pPr>
            <w:r w:rsidRPr="0084505B">
              <w:rPr>
                <w:sz w:val="28"/>
                <w:szCs w:val="28"/>
              </w:rPr>
              <w:t xml:space="preserve">Có bản cam kết không vi phạm các điều khoản sau đây: </w:t>
            </w:r>
          </w:p>
          <w:p w:rsidR="0084505B" w:rsidRPr="0084505B" w:rsidRDefault="0084505B" w:rsidP="00575306">
            <w:pPr>
              <w:ind w:left="57" w:right="57"/>
              <w:rPr>
                <w:sz w:val="28"/>
                <w:szCs w:val="28"/>
              </w:rPr>
            </w:pPr>
            <w:r w:rsidRPr="0084505B">
              <w:rPr>
                <w:sz w:val="28"/>
                <w:szCs w:val="28"/>
              </w:rPr>
              <w:t>- Nhà thầu không tiến hành hoặc từ chối đối chiếu tài liệu, thương thảo hợp đồng (nếu có) trong thời gian có hiệu lực của hồ sơ dự thầu, hồ sơ đề xuất khi được mời vào đối chiếu tài liệu, thương thảo hợp đồng (nếu có);</w:t>
            </w:r>
          </w:p>
          <w:p w:rsidR="0084505B" w:rsidRPr="0084505B" w:rsidRDefault="0084505B" w:rsidP="00575306">
            <w:pPr>
              <w:ind w:left="57" w:right="57"/>
              <w:rPr>
                <w:sz w:val="28"/>
                <w:szCs w:val="28"/>
              </w:rPr>
            </w:pPr>
            <w:r w:rsidRPr="0084505B">
              <w:rPr>
                <w:sz w:val="28"/>
                <w:szCs w:val="28"/>
              </w:rPr>
              <w:t xml:space="preserve">- Nhà thầu được lựa chọn trúng thầu nhưng không tiến hành hoặc từ chối tiến hành hoàn thiện hợp đồng, thỏa thuận </w:t>
            </w:r>
            <w:r w:rsidRPr="0084505B">
              <w:rPr>
                <w:sz w:val="28"/>
                <w:szCs w:val="28"/>
              </w:rPr>
              <w:lastRenderedPageBreak/>
              <w:t>khung hoặc không ký kết hợp đồng, thỏa thuận khung;</w:t>
            </w:r>
          </w:p>
          <w:p w:rsidR="0084505B" w:rsidRPr="0084505B" w:rsidRDefault="0084505B" w:rsidP="00575306">
            <w:pPr>
              <w:ind w:left="57" w:right="57"/>
              <w:rPr>
                <w:sz w:val="28"/>
                <w:szCs w:val="28"/>
              </w:rPr>
            </w:pPr>
            <w:r w:rsidRPr="0084505B">
              <w:rPr>
                <w:sz w:val="28"/>
                <w:szCs w:val="28"/>
              </w:rPr>
              <w:t>- Nhà thầu đã ký thỏa thuận khung nhưng không tiến hành hoặc từ chối hoàn thiện hợp đồng hoặc không ký kết hợp đồng.</w:t>
            </w:r>
          </w:p>
        </w:tc>
        <w:tc>
          <w:tcPr>
            <w:tcW w:w="779" w:type="pct"/>
            <w:shd w:val="clear" w:color="auto" w:fill="auto"/>
            <w:hideMark/>
          </w:tcPr>
          <w:p w:rsidR="0084505B" w:rsidRPr="0084505B" w:rsidRDefault="0084505B" w:rsidP="00575306">
            <w:pPr>
              <w:ind w:left="57" w:right="57"/>
              <w:jc w:val="center"/>
              <w:rPr>
                <w:b/>
                <w:bCs/>
                <w:sz w:val="28"/>
                <w:szCs w:val="28"/>
              </w:rPr>
            </w:pPr>
            <w:r w:rsidRPr="0084505B">
              <w:rPr>
                <w:b/>
                <w:bCs/>
                <w:sz w:val="28"/>
                <w:szCs w:val="28"/>
              </w:rPr>
              <w:lastRenderedPageBreak/>
              <w:t>Đạt</w:t>
            </w:r>
          </w:p>
        </w:tc>
      </w:tr>
      <w:tr w:rsidR="0084505B" w:rsidRPr="0084505B" w:rsidTr="00575306">
        <w:tc>
          <w:tcPr>
            <w:tcW w:w="296" w:type="pct"/>
            <w:vMerge/>
            <w:hideMark/>
          </w:tcPr>
          <w:p w:rsidR="0084505B" w:rsidRPr="0084505B" w:rsidRDefault="0084505B" w:rsidP="00575306">
            <w:pPr>
              <w:ind w:left="57" w:right="57"/>
              <w:jc w:val="left"/>
              <w:rPr>
                <w:sz w:val="28"/>
                <w:szCs w:val="28"/>
              </w:rPr>
            </w:pPr>
          </w:p>
        </w:tc>
        <w:tc>
          <w:tcPr>
            <w:tcW w:w="1498" w:type="pct"/>
            <w:vMerge/>
            <w:hideMark/>
          </w:tcPr>
          <w:p w:rsidR="0084505B" w:rsidRPr="0084505B" w:rsidRDefault="0084505B" w:rsidP="00575306">
            <w:pPr>
              <w:ind w:left="57" w:right="57"/>
              <w:jc w:val="left"/>
              <w:rPr>
                <w:sz w:val="28"/>
                <w:szCs w:val="28"/>
              </w:rPr>
            </w:pPr>
          </w:p>
        </w:tc>
        <w:tc>
          <w:tcPr>
            <w:tcW w:w="2427" w:type="pct"/>
            <w:shd w:val="clear" w:color="auto" w:fill="auto"/>
            <w:hideMark/>
          </w:tcPr>
          <w:p w:rsidR="0084505B" w:rsidRPr="0084505B" w:rsidRDefault="0084505B" w:rsidP="00575306">
            <w:pPr>
              <w:ind w:left="57" w:right="57"/>
              <w:rPr>
                <w:sz w:val="28"/>
                <w:szCs w:val="28"/>
              </w:rPr>
            </w:pPr>
            <w:r w:rsidRPr="0084505B">
              <w:rPr>
                <w:sz w:val="28"/>
                <w:szCs w:val="28"/>
              </w:rPr>
              <w:t>Không đáp ứng yêu cầu trên</w:t>
            </w:r>
          </w:p>
        </w:tc>
        <w:tc>
          <w:tcPr>
            <w:tcW w:w="779" w:type="pct"/>
            <w:shd w:val="clear" w:color="auto" w:fill="auto"/>
            <w:hideMark/>
          </w:tcPr>
          <w:p w:rsidR="0084505B" w:rsidRPr="0084505B" w:rsidRDefault="0084505B" w:rsidP="00575306">
            <w:pPr>
              <w:ind w:left="57" w:right="57"/>
              <w:jc w:val="center"/>
              <w:rPr>
                <w:b/>
                <w:bCs/>
                <w:sz w:val="28"/>
                <w:szCs w:val="28"/>
              </w:rPr>
            </w:pPr>
            <w:r w:rsidRPr="0084505B">
              <w:rPr>
                <w:b/>
                <w:bCs/>
                <w:sz w:val="28"/>
                <w:szCs w:val="28"/>
              </w:rPr>
              <w:t>Không đạt</w:t>
            </w:r>
          </w:p>
        </w:tc>
      </w:tr>
      <w:tr w:rsidR="0084505B" w:rsidRPr="0084505B" w:rsidTr="00575306">
        <w:tc>
          <w:tcPr>
            <w:tcW w:w="296" w:type="pct"/>
            <w:vMerge w:val="restart"/>
          </w:tcPr>
          <w:p w:rsidR="0084505B" w:rsidRPr="0084505B" w:rsidRDefault="0084505B" w:rsidP="00575306">
            <w:pPr>
              <w:ind w:left="57" w:right="57"/>
              <w:jc w:val="left"/>
              <w:rPr>
                <w:sz w:val="28"/>
                <w:szCs w:val="28"/>
              </w:rPr>
            </w:pPr>
          </w:p>
        </w:tc>
        <w:tc>
          <w:tcPr>
            <w:tcW w:w="1498" w:type="pct"/>
            <w:vMerge w:val="restart"/>
          </w:tcPr>
          <w:p w:rsidR="0084505B" w:rsidRPr="0084505B" w:rsidRDefault="0084505B" w:rsidP="00575306">
            <w:pPr>
              <w:ind w:left="57" w:right="57"/>
              <w:jc w:val="left"/>
              <w:rPr>
                <w:sz w:val="28"/>
                <w:szCs w:val="28"/>
              </w:rPr>
            </w:pPr>
            <w:r w:rsidRPr="0084505B">
              <w:rPr>
                <w:b/>
                <w:bCs/>
                <w:sz w:val="26"/>
                <w:szCs w:val="26"/>
              </w:rPr>
              <w:t xml:space="preserve">Kết </w:t>
            </w:r>
            <w:proofErr w:type="gramStart"/>
            <w:r w:rsidRPr="0084505B">
              <w:rPr>
                <w:b/>
                <w:bCs/>
                <w:sz w:val="26"/>
                <w:szCs w:val="26"/>
              </w:rPr>
              <w:t>luận</w:t>
            </w:r>
            <w:r w:rsidRPr="0084505B">
              <w:rPr>
                <w:b/>
                <w:bCs/>
                <w:sz w:val="26"/>
                <w:szCs w:val="26"/>
                <w:vertAlign w:val="superscript"/>
              </w:rPr>
              <w:t>(</w:t>
            </w:r>
            <w:proofErr w:type="gramEnd"/>
            <w:r w:rsidRPr="0084505B">
              <w:rPr>
                <w:b/>
                <w:bCs/>
                <w:sz w:val="26"/>
                <w:szCs w:val="26"/>
                <w:vertAlign w:val="superscript"/>
              </w:rPr>
              <w:t>1)</w:t>
            </w:r>
          </w:p>
        </w:tc>
        <w:tc>
          <w:tcPr>
            <w:tcW w:w="2427" w:type="pct"/>
            <w:shd w:val="clear" w:color="auto" w:fill="auto"/>
          </w:tcPr>
          <w:p w:rsidR="0084505B" w:rsidRPr="0084505B" w:rsidRDefault="0084505B" w:rsidP="00575306">
            <w:pPr>
              <w:ind w:left="57" w:right="57"/>
              <w:rPr>
                <w:sz w:val="28"/>
                <w:szCs w:val="28"/>
              </w:rPr>
            </w:pPr>
            <w:r w:rsidRPr="0084505B">
              <w:rPr>
                <w:b/>
                <w:bCs/>
                <w:i/>
                <w:sz w:val="26"/>
                <w:szCs w:val="26"/>
              </w:rPr>
              <w:t>Đáp ứng tất cả các nội dung trên</w:t>
            </w:r>
          </w:p>
        </w:tc>
        <w:tc>
          <w:tcPr>
            <w:tcW w:w="779" w:type="pct"/>
            <w:shd w:val="clear" w:color="auto" w:fill="auto"/>
          </w:tcPr>
          <w:p w:rsidR="0084505B" w:rsidRPr="0084505B" w:rsidRDefault="0084505B" w:rsidP="00575306">
            <w:pPr>
              <w:ind w:left="57" w:right="57"/>
              <w:jc w:val="center"/>
              <w:rPr>
                <w:b/>
                <w:bCs/>
                <w:sz w:val="28"/>
                <w:szCs w:val="28"/>
              </w:rPr>
            </w:pPr>
            <w:r w:rsidRPr="0084505B">
              <w:rPr>
                <w:b/>
                <w:bCs/>
                <w:sz w:val="26"/>
                <w:szCs w:val="26"/>
              </w:rPr>
              <w:t>Đạt</w:t>
            </w:r>
          </w:p>
        </w:tc>
      </w:tr>
      <w:tr w:rsidR="0084505B" w:rsidRPr="0084505B" w:rsidTr="00575306">
        <w:tc>
          <w:tcPr>
            <w:tcW w:w="296" w:type="pct"/>
            <w:vMerge/>
          </w:tcPr>
          <w:p w:rsidR="0084505B" w:rsidRPr="0084505B" w:rsidRDefault="0084505B" w:rsidP="00575306">
            <w:pPr>
              <w:ind w:left="57" w:right="57"/>
              <w:jc w:val="left"/>
              <w:rPr>
                <w:sz w:val="28"/>
                <w:szCs w:val="28"/>
              </w:rPr>
            </w:pPr>
          </w:p>
        </w:tc>
        <w:tc>
          <w:tcPr>
            <w:tcW w:w="1498" w:type="pct"/>
            <w:vMerge/>
            <w:vAlign w:val="center"/>
          </w:tcPr>
          <w:p w:rsidR="0084505B" w:rsidRPr="0084505B" w:rsidRDefault="0084505B" w:rsidP="00575306">
            <w:pPr>
              <w:ind w:left="57" w:right="57"/>
              <w:jc w:val="left"/>
              <w:rPr>
                <w:sz w:val="28"/>
                <w:szCs w:val="28"/>
              </w:rPr>
            </w:pPr>
          </w:p>
        </w:tc>
        <w:tc>
          <w:tcPr>
            <w:tcW w:w="2427" w:type="pct"/>
            <w:shd w:val="clear" w:color="auto" w:fill="auto"/>
          </w:tcPr>
          <w:p w:rsidR="0084505B" w:rsidRPr="0084505B" w:rsidRDefault="0084505B" w:rsidP="00575306">
            <w:pPr>
              <w:ind w:left="57" w:right="57"/>
              <w:rPr>
                <w:sz w:val="28"/>
                <w:szCs w:val="28"/>
              </w:rPr>
            </w:pPr>
            <w:r w:rsidRPr="0084505B">
              <w:rPr>
                <w:b/>
                <w:bCs/>
                <w:i/>
                <w:sz w:val="26"/>
                <w:szCs w:val="26"/>
              </w:rPr>
              <w:t>Không Đáp ứng một trong các nội dung trên</w:t>
            </w:r>
          </w:p>
        </w:tc>
        <w:tc>
          <w:tcPr>
            <w:tcW w:w="779" w:type="pct"/>
            <w:shd w:val="clear" w:color="auto" w:fill="auto"/>
          </w:tcPr>
          <w:p w:rsidR="0084505B" w:rsidRPr="0084505B" w:rsidRDefault="0084505B" w:rsidP="00575306">
            <w:pPr>
              <w:ind w:left="57" w:right="57"/>
              <w:jc w:val="center"/>
              <w:rPr>
                <w:b/>
                <w:bCs/>
                <w:sz w:val="28"/>
                <w:szCs w:val="28"/>
              </w:rPr>
            </w:pPr>
            <w:r w:rsidRPr="0084505B">
              <w:rPr>
                <w:b/>
                <w:bCs/>
                <w:sz w:val="26"/>
                <w:szCs w:val="26"/>
              </w:rPr>
              <w:t>Không đạt</w:t>
            </w:r>
          </w:p>
        </w:tc>
      </w:tr>
    </w:tbl>
    <w:p w:rsidR="003D042E" w:rsidRPr="0084505B" w:rsidRDefault="003D042E"/>
    <w:sectPr w:rsidR="003D042E" w:rsidRPr="0084505B" w:rsidSect="00BC1F98">
      <w:pgSz w:w="11905" w:h="16838" w:code="9"/>
      <w:pgMar w:top="862" w:right="862" w:bottom="1276" w:left="1622" w:header="720" w:footer="0" w:gutter="0"/>
      <w:paperSrc w:first="7"/>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441" w:rsidRDefault="00606441" w:rsidP="0084505B">
      <w:r>
        <w:separator/>
      </w:r>
    </w:p>
  </w:endnote>
  <w:endnote w:type="continuationSeparator" w:id="0">
    <w:p w:rsidR="00606441" w:rsidRDefault="00606441" w:rsidP="00845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441" w:rsidRDefault="00606441" w:rsidP="0084505B">
      <w:r>
        <w:separator/>
      </w:r>
    </w:p>
  </w:footnote>
  <w:footnote w:type="continuationSeparator" w:id="0">
    <w:p w:rsidR="00606441" w:rsidRDefault="00606441" w:rsidP="0084505B">
      <w:r>
        <w:continuationSeparator/>
      </w:r>
    </w:p>
  </w:footnote>
  <w:footnote w:id="1">
    <w:p w:rsidR="0084505B" w:rsidRPr="00E951D2" w:rsidRDefault="0084505B" w:rsidP="0084505B">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05B"/>
    <w:rsid w:val="003D042E"/>
    <w:rsid w:val="00511096"/>
    <w:rsid w:val="00606441"/>
    <w:rsid w:val="0084505B"/>
    <w:rsid w:val="00BC1F98"/>
    <w:rsid w:val="00DB6182"/>
    <w:rsid w:val="00E81FD8"/>
    <w:rsid w:val="00ED7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D65B1"/>
  <w15:chartTrackingRefBased/>
  <w15:docId w15:val="{89367FEE-D1D5-440F-8DB8-F0D9C226E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05B"/>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DB6182"/>
    <w:pPr>
      <w:keepNext/>
      <w:keepLines/>
      <w:spacing w:before="240" w:line="324" w:lineRule="auto"/>
      <w:contextualSpacing/>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line="324" w:lineRule="auto"/>
      <w:contextualSpacing/>
      <w:jc w:val="left"/>
      <w:outlineLvl w:val="1"/>
    </w:pPr>
    <w:rPr>
      <w:rFonts w:eastAsiaTheme="majorEastAsia" w:cstheme="majorBidi"/>
      <w:b/>
      <w:sz w:val="26"/>
      <w:szCs w:val="26"/>
    </w:rPr>
  </w:style>
  <w:style w:type="paragraph" w:styleId="Heading3">
    <w:name w:val="heading 3"/>
    <w:basedOn w:val="Normal"/>
    <w:next w:val="Normal"/>
    <w:link w:val="Heading3Char"/>
    <w:autoRedefine/>
    <w:uiPriority w:val="9"/>
    <w:unhideWhenUsed/>
    <w:qFormat/>
    <w:rsid w:val="00DB6182"/>
    <w:pPr>
      <w:keepNext/>
      <w:keepLines/>
      <w:spacing w:before="120" w:line="324" w:lineRule="auto"/>
      <w:contextualSpacing/>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unhideWhenUsed/>
    <w:qFormat/>
    <w:rsid w:val="00DB6182"/>
    <w:pPr>
      <w:keepNext/>
      <w:keepLines/>
      <w:spacing w:before="4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TOC1">
    <w:name w:val="toc 1"/>
    <w:basedOn w:val="Normal"/>
    <w:next w:val="Normal"/>
    <w:autoRedefine/>
    <w:uiPriority w:val="39"/>
    <w:qFormat/>
    <w:rsid w:val="0084505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84505B"/>
    <w:pPr>
      <w:tabs>
        <w:tab w:val="left" w:pos="360"/>
      </w:tabs>
      <w:ind w:left="360" w:hanging="360"/>
    </w:pPr>
    <w:rPr>
      <w:sz w:val="20"/>
    </w:rPr>
  </w:style>
  <w:style w:type="character" w:customStyle="1" w:styleId="FootnoteTextChar">
    <w:name w:val="Footnote Text Char"/>
    <w:basedOn w:val="DefaultParagraphFont"/>
    <w:link w:val="FootnoteText"/>
    <w:rsid w:val="0084505B"/>
    <w:rPr>
      <w:rFonts w:ascii="Times New Roman" w:eastAsia="Times New Roman" w:hAnsi="Times New Roman" w:cs="Times New Roman"/>
      <w:sz w:val="20"/>
      <w:szCs w:val="20"/>
    </w:rPr>
  </w:style>
  <w:style w:type="character" w:styleId="FootnoteReference">
    <w:name w:val="footnote reference"/>
    <w:aliases w:val="callout"/>
    <w:uiPriority w:val="99"/>
    <w:rsid w:val="0084505B"/>
    <w:rPr>
      <w:vertAlign w:val="superscript"/>
    </w:rPr>
  </w:style>
  <w:style w:type="character" w:customStyle="1" w:styleId="fontstyle01">
    <w:name w:val="fontstyle01"/>
    <w:rsid w:val="0084505B"/>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849</Words>
  <Characters>4842</Characters>
  <Application>Microsoft Office Word</Application>
  <DocSecurity>0</DocSecurity>
  <Lines>40</Lines>
  <Paragraphs>11</Paragraphs>
  <ScaleCrop>false</ScaleCrop>
  <Company/>
  <LinksUpToDate>false</LinksUpToDate>
  <CharactersWithSpaces>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2025-10-30T07:08:00Z</dcterms:created>
  <dcterms:modified xsi:type="dcterms:W3CDTF">2025-10-30T07:12:00Z</dcterms:modified>
</cp:coreProperties>
</file>