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AA91" w14:textId="47623AD3" w:rsidR="00637F58" w:rsidRPr="00D80196" w:rsidRDefault="00637F58" w:rsidP="00D80196">
      <w:pPr>
        <w:widowControl w:val="0"/>
        <w:spacing w:before="120" w:after="120" w:line="264" w:lineRule="auto"/>
        <w:jc w:val="center"/>
        <w:outlineLvl w:val="1"/>
        <w:rPr>
          <w:sz w:val="28"/>
          <w:szCs w:val="28"/>
          <w:lang w:val="nl-NL"/>
        </w:rPr>
      </w:pPr>
      <w:r w:rsidRPr="00417D01">
        <w:rPr>
          <w:b/>
          <w:sz w:val="28"/>
          <w:szCs w:val="28"/>
          <w:lang w:val="nl-NL"/>
        </w:rPr>
        <w:t>Chương V. YÊU CẦU VỀ KỸ THUẬT</w:t>
      </w:r>
    </w:p>
    <w:p w14:paraId="7A583A30" w14:textId="77777777" w:rsidR="00637F58" w:rsidRPr="00417D01" w:rsidRDefault="00637F58" w:rsidP="00637F58">
      <w:pPr>
        <w:pStyle w:val="SectionVIHeader"/>
        <w:widowControl w:val="0"/>
        <w:spacing w:after="120" w:line="264" w:lineRule="auto"/>
        <w:ind w:firstLine="709"/>
        <w:jc w:val="both"/>
        <w:rPr>
          <w:sz w:val="28"/>
          <w:szCs w:val="28"/>
          <w:lang w:val="nl-NL"/>
        </w:rPr>
      </w:pPr>
      <w:r w:rsidRPr="00417D01">
        <w:rPr>
          <w:sz w:val="28"/>
          <w:szCs w:val="28"/>
          <w:lang w:val="nl-NL"/>
        </w:rPr>
        <w:t>Mục 1. Yêu cầu về kỹ thuật</w:t>
      </w:r>
    </w:p>
    <w:p w14:paraId="25BD4883" w14:textId="77777777" w:rsidR="00637F58" w:rsidRPr="00417D01" w:rsidRDefault="00637F58" w:rsidP="00637F58">
      <w:pPr>
        <w:widowControl w:val="0"/>
        <w:spacing w:before="120" w:after="120" w:line="264" w:lineRule="auto"/>
        <w:ind w:firstLine="709"/>
        <w:rPr>
          <w:b/>
          <w:i/>
          <w:sz w:val="28"/>
          <w:szCs w:val="28"/>
          <w:lang w:val="nl-NL"/>
        </w:rPr>
      </w:pPr>
      <w:r w:rsidRPr="00417D01">
        <w:rPr>
          <w:b/>
          <w:i/>
          <w:sz w:val="28"/>
          <w:szCs w:val="28"/>
          <w:lang w:val="nl-NL"/>
        </w:rPr>
        <w:t>1.1. Giới thiệu chung về dự án/</w:t>
      </w:r>
      <w:r w:rsidRPr="00417D01">
        <w:rPr>
          <w:b/>
          <w:i/>
          <w:sz w:val="28"/>
          <w:szCs w:val="28"/>
        </w:rPr>
        <w:t>dự toán mua sắm</w:t>
      </w:r>
      <w:r w:rsidRPr="00417D01">
        <w:rPr>
          <w:b/>
          <w:i/>
          <w:sz w:val="28"/>
          <w:szCs w:val="28"/>
          <w:lang w:val="nl-NL"/>
        </w:rPr>
        <w:t>, gói thầu</w:t>
      </w:r>
    </w:p>
    <w:p w14:paraId="3DFEEF0F" w14:textId="77777777" w:rsidR="00EE46CF" w:rsidRPr="00EE46CF" w:rsidRDefault="00EE46CF" w:rsidP="000E50F0">
      <w:pPr>
        <w:widowControl w:val="0"/>
        <w:spacing w:line="264" w:lineRule="auto"/>
        <w:ind w:firstLine="709"/>
        <w:rPr>
          <w:sz w:val="28"/>
          <w:szCs w:val="28"/>
          <w:lang w:val="nl-NL"/>
        </w:rPr>
      </w:pPr>
      <w:bookmarkStart w:id="0" w:name="_Hlk154743134"/>
      <w:r w:rsidRPr="00EE46CF">
        <w:rPr>
          <w:sz w:val="28"/>
          <w:szCs w:val="28"/>
          <w:lang w:val="nl-NL"/>
        </w:rPr>
        <w:t>- Chủ đầu tư: Bệnh viện Phạm Ngọc Thạch Quảng Nam;</w:t>
      </w:r>
    </w:p>
    <w:p w14:paraId="7825F02E" w14:textId="70CA88F7" w:rsidR="00EE46CF" w:rsidRPr="00EE46CF" w:rsidRDefault="00EE46CF" w:rsidP="000E50F0">
      <w:pPr>
        <w:widowControl w:val="0"/>
        <w:spacing w:line="264" w:lineRule="auto"/>
        <w:ind w:firstLine="709"/>
        <w:rPr>
          <w:sz w:val="28"/>
          <w:szCs w:val="28"/>
          <w:lang w:val="nl-NL"/>
        </w:rPr>
      </w:pPr>
      <w:r w:rsidRPr="00EE46CF">
        <w:rPr>
          <w:sz w:val="28"/>
          <w:szCs w:val="28"/>
          <w:lang w:val="nl-NL"/>
        </w:rPr>
        <w:t xml:space="preserve">- Tên dự toán mua sắm: </w:t>
      </w:r>
      <w:r w:rsidR="0051241F" w:rsidRPr="0051241F">
        <w:rPr>
          <w:sz w:val="28"/>
          <w:szCs w:val="28"/>
          <w:lang w:val="nl-NL"/>
        </w:rPr>
        <w:t>Hoá chất cho máy xét nghiệm điện giải và máy huyết học 3 thành phần cho Bệnh viện Phạm Ngọc Thạch Quảng Nam năm 2025-2026</w:t>
      </w:r>
      <w:r w:rsidRPr="00EE46CF">
        <w:rPr>
          <w:sz w:val="28"/>
          <w:szCs w:val="28"/>
          <w:lang w:val="nl-NL"/>
        </w:rPr>
        <w:t>;</w:t>
      </w:r>
    </w:p>
    <w:p w14:paraId="627C1DD4" w14:textId="31EB98FF" w:rsidR="00EE46CF" w:rsidRPr="00EE46CF" w:rsidRDefault="00EE46CF" w:rsidP="000E50F0">
      <w:pPr>
        <w:widowControl w:val="0"/>
        <w:spacing w:line="264" w:lineRule="auto"/>
        <w:ind w:firstLine="709"/>
        <w:rPr>
          <w:sz w:val="28"/>
          <w:szCs w:val="28"/>
          <w:lang w:val="nl-NL"/>
        </w:rPr>
      </w:pPr>
      <w:r w:rsidRPr="00EE46CF">
        <w:rPr>
          <w:sz w:val="28"/>
          <w:szCs w:val="28"/>
          <w:lang w:val="nl-NL"/>
        </w:rPr>
        <w:t xml:space="preserve">- Tên gói thầu: </w:t>
      </w:r>
      <w:r w:rsidR="0051241F" w:rsidRPr="0051241F">
        <w:rPr>
          <w:sz w:val="28"/>
          <w:szCs w:val="28"/>
          <w:lang w:val="nl-NL"/>
        </w:rPr>
        <w:t>Hoá chất cho máy xét nghiệm điện giải và máy huyết học 3 thành phần cho Bệnh viện Phạm Ngọc Thạch Quảng Nam năm 2025-2026</w:t>
      </w:r>
      <w:r w:rsidRPr="00EE46CF">
        <w:rPr>
          <w:sz w:val="28"/>
          <w:szCs w:val="28"/>
          <w:lang w:val="nl-NL"/>
        </w:rPr>
        <w:t>;</w:t>
      </w:r>
    </w:p>
    <w:p w14:paraId="4E913770" w14:textId="77E9C71C" w:rsidR="00EE46CF" w:rsidRPr="00EE46CF" w:rsidRDefault="00EE46CF" w:rsidP="000E50F0">
      <w:pPr>
        <w:widowControl w:val="0"/>
        <w:spacing w:line="264" w:lineRule="auto"/>
        <w:ind w:firstLine="709"/>
        <w:rPr>
          <w:sz w:val="28"/>
          <w:szCs w:val="28"/>
          <w:lang w:val="nl-NL"/>
        </w:rPr>
      </w:pPr>
      <w:r w:rsidRPr="00EE46CF">
        <w:rPr>
          <w:sz w:val="28"/>
          <w:szCs w:val="28"/>
          <w:lang w:val="nl-NL"/>
        </w:rPr>
        <w:t xml:space="preserve">- Giá gói thầu: </w:t>
      </w:r>
      <w:r w:rsidR="00FE75F0" w:rsidRPr="00FE75F0">
        <w:rPr>
          <w:sz w:val="28"/>
          <w:szCs w:val="28"/>
          <w:lang w:val="nl-NL"/>
        </w:rPr>
        <w:t>271.542.495 VNĐ (Bằng chữ: Hai trăm bảy mươi mốt triệu, năm trăm bốn mươi hai nghìn, bốn trăm chín mươi lăm đồng)</w:t>
      </w:r>
      <w:r w:rsidRPr="00EE46CF">
        <w:rPr>
          <w:sz w:val="28"/>
          <w:szCs w:val="28"/>
          <w:lang w:val="nl-NL"/>
        </w:rPr>
        <w:t>;</w:t>
      </w:r>
    </w:p>
    <w:p w14:paraId="3408B355" w14:textId="77777777" w:rsidR="00EE46CF" w:rsidRPr="00EE46CF" w:rsidRDefault="00EE46CF" w:rsidP="000E50F0">
      <w:pPr>
        <w:widowControl w:val="0"/>
        <w:spacing w:line="264" w:lineRule="auto"/>
        <w:ind w:firstLine="709"/>
        <w:rPr>
          <w:sz w:val="28"/>
          <w:szCs w:val="28"/>
          <w:lang w:val="nl-NL"/>
        </w:rPr>
      </w:pPr>
      <w:r w:rsidRPr="00EE46CF">
        <w:rPr>
          <w:sz w:val="28"/>
          <w:szCs w:val="28"/>
          <w:lang w:val="nl-NL"/>
        </w:rPr>
        <w:t>- Nguồn vốn: Từ nguồn thu hoạt động sự nghiệp của đơn vị (bao gồm nguồn thu từ hoạt động khám chữa bệnh bảo hiểm y tế, viện phí và các nguồn thu hợp pháp khác);</w:t>
      </w:r>
    </w:p>
    <w:p w14:paraId="7F6DF23D" w14:textId="77777777" w:rsidR="00EE46CF" w:rsidRDefault="00EE46CF" w:rsidP="000E50F0">
      <w:pPr>
        <w:widowControl w:val="0"/>
        <w:spacing w:line="264" w:lineRule="auto"/>
        <w:ind w:firstLine="709"/>
        <w:rPr>
          <w:sz w:val="28"/>
          <w:szCs w:val="28"/>
          <w:lang w:val="nl-NL"/>
        </w:rPr>
      </w:pPr>
      <w:r w:rsidRPr="00EE46CF">
        <w:rPr>
          <w:sz w:val="28"/>
          <w:szCs w:val="28"/>
          <w:lang w:val="nl-NL"/>
        </w:rPr>
        <w:t>- Hình thức và phương thức lựa chọn nhà thầu: Đấu thầu rộng rãi, trong nước, qua mạng; Một giai đoạn một túi hồ sơ;</w:t>
      </w:r>
    </w:p>
    <w:p w14:paraId="1266DB0F" w14:textId="69B2EA23" w:rsidR="00197BD5" w:rsidRDefault="00197BD5" w:rsidP="000E50F0">
      <w:pPr>
        <w:widowControl w:val="0"/>
        <w:spacing w:line="264" w:lineRule="auto"/>
        <w:ind w:firstLine="709"/>
        <w:rPr>
          <w:sz w:val="28"/>
          <w:szCs w:val="28"/>
          <w:lang w:val="nl-NL"/>
        </w:rPr>
      </w:pPr>
      <w:r>
        <w:rPr>
          <w:sz w:val="28"/>
          <w:szCs w:val="28"/>
          <w:lang w:val="nl-NL"/>
        </w:rPr>
        <w:t xml:space="preserve">- </w:t>
      </w:r>
      <w:r>
        <w:rPr>
          <w:color w:val="000000"/>
          <w:sz w:val="28"/>
          <w:szCs w:val="28"/>
        </w:rPr>
        <w:t xml:space="preserve">Thời gian thực hiện gói thầu: </w:t>
      </w:r>
      <w:r w:rsidR="00D16B0A">
        <w:rPr>
          <w:color w:val="000000"/>
          <w:sz w:val="28"/>
          <w:szCs w:val="28"/>
        </w:rPr>
        <w:t>1</w:t>
      </w:r>
      <w:r w:rsidR="008748D2">
        <w:rPr>
          <w:color w:val="000000"/>
          <w:sz w:val="28"/>
          <w:szCs w:val="28"/>
        </w:rPr>
        <w:t>2 tháng</w:t>
      </w:r>
      <w:r w:rsidRPr="00CC44CA">
        <w:rPr>
          <w:iCs/>
          <w:sz w:val="28"/>
          <w:szCs w:val="28"/>
        </w:rPr>
        <w:t>,</w:t>
      </w:r>
      <w:r w:rsidRPr="00CC44CA">
        <w:rPr>
          <w:spacing w:val="-2"/>
          <w:sz w:val="28"/>
          <w:szCs w:val="28"/>
        </w:rPr>
        <w:t xml:space="preserve"> được tính từ ngày hợp đồng có hiệu lực đến ngày nghiệm thu hàng hóa (bao gồm cả dịch vụ liên quan (nếu có)), không bao gồm thời gian hoàn thành nghĩa vụ bảo hành</w:t>
      </w:r>
      <w:r>
        <w:rPr>
          <w:spacing w:val="-2"/>
          <w:sz w:val="28"/>
          <w:szCs w:val="28"/>
        </w:rPr>
        <w:t>.</w:t>
      </w:r>
    </w:p>
    <w:p w14:paraId="6CEB84B2" w14:textId="63013383" w:rsidR="005C097F" w:rsidRPr="00417D01" w:rsidRDefault="005C097F" w:rsidP="000E50F0">
      <w:pPr>
        <w:widowControl w:val="0"/>
        <w:spacing w:line="264" w:lineRule="auto"/>
        <w:ind w:firstLine="709"/>
        <w:rPr>
          <w:spacing w:val="2"/>
          <w:sz w:val="28"/>
          <w:szCs w:val="28"/>
          <w:lang w:val="nl-NL"/>
        </w:rPr>
      </w:pPr>
      <w:r>
        <w:rPr>
          <w:sz w:val="28"/>
          <w:szCs w:val="28"/>
          <w:lang w:val="nl-NL"/>
        </w:rPr>
        <w:t xml:space="preserve">- </w:t>
      </w:r>
      <w:r w:rsidRPr="0093225C">
        <w:rPr>
          <w:sz w:val="28"/>
          <w:szCs w:val="28"/>
          <w:lang w:val="de-DE"/>
        </w:rPr>
        <w:t>Địa chỉ thực hiện bàn giao hàng hóa</w:t>
      </w:r>
      <w:r>
        <w:rPr>
          <w:sz w:val="28"/>
          <w:szCs w:val="28"/>
          <w:lang w:val="de-DE"/>
        </w:rPr>
        <w:t xml:space="preserve">: Kho khoa Dược-VTYT – Bệnh viện Phạm Ngọc Thạch Quảng Nam – đường Nguyễn Văn Trỗi – phường </w:t>
      </w:r>
      <w:r w:rsidR="006A4C3E">
        <w:rPr>
          <w:sz w:val="28"/>
          <w:szCs w:val="28"/>
          <w:lang w:val="de-DE"/>
        </w:rPr>
        <w:t>Quảng</w:t>
      </w:r>
      <w:r>
        <w:rPr>
          <w:sz w:val="28"/>
          <w:szCs w:val="28"/>
          <w:lang w:val="de-DE"/>
        </w:rPr>
        <w:t xml:space="preserve"> Phú – thành phố </w:t>
      </w:r>
      <w:r w:rsidR="006A4C3E">
        <w:rPr>
          <w:sz w:val="28"/>
          <w:szCs w:val="28"/>
          <w:lang w:val="de-DE"/>
        </w:rPr>
        <w:t>Đà Nẵng</w:t>
      </w:r>
      <w:r w:rsidR="00AD26B5">
        <w:rPr>
          <w:sz w:val="28"/>
          <w:szCs w:val="28"/>
          <w:lang w:val="de-DE"/>
        </w:rPr>
        <w:t>.</w:t>
      </w:r>
    </w:p>
    <w:bookmarkEnd w:id="0"/>
    <w:p w14:paraId="40D8F6EF" w14:textId="77777777" w:rsidR="00637F58" w:rsidRPr="00417D01" w:rsidRDefault="00637F58" w:rsidP="00637F58">
      <w:pPr>
        <w:widowControl w:val="0"/>
        <w:spacing w:before="120" w:after="120" w:line="264" w:lineRule="auto"/>
        <w:ind w:firstLine="709"/>
        <w:rPr>
          <w:b/>
          <w:i/>
          <w:sz w:val="28"/>
          <w:szCs w:val="28"/>
          <w:lang w:val="nl-NL"/>
        </w:rPr>
      </w:pPr>
      <w:r w:rsidRPr="00417D01">
        <w:rPr>
          <w:b/>
          <w:i/>
          <w:sz w:val="28"/>
          <w:szCs w:val="28"/>
          <w:lang w:val="nl-NL"/>
        </w:rPr>
        <w:t>1.2. Yêu cầu về kỹ thuật</w:t>
      </w:r>
    </w:p>
    <w:p w14:paraId="6A733059" w14:textId="77777777" w:rsidR="001271E7" w:rsidRPr="001271E7" w:rsidRDefault="001271E7" w:rsidP="001271E7">
      <w:pPr>
        <w:widowControl w:val="0"/>
        <w:spacing w:before="120" w:after="120" w:line="264" w:lineRule="auto"/>
        <w:ind w:firstLine="709"/>
        <w:rPr>
          <w:bCs/>
          <w:iCs/>
          <w:sz w:val="28"/>
          <w:szCs w:val="28"/>
        </w:rPr>
      </w:pPr>
      <w:r w:rsidRPr="001271E7">
        <w:rPr>
          <w:bCs/>
          <w:iCs/>
          <w:sz w:val="28"/>
          <w:szCs w:val="28"/>
        </w:rPr>
        <w:t xml:space="preserve">Yêu cầu về kỹ thuật bao gồm yêu cầu về kỹ thuật chung và yêu cầu về kỹ thuật chi tiết đối với hàng hóa thuộc phạm vi cung cấp của gói thầu, cụ thể: </w:t>
      </w:r>
    </w:p>
    <w:p w14:paraId="6012A63D" w14:textId="7943ABB5" w:rsidR="001271E7" w:rsidRDefault="001271E7" w:rsidP="001271E7">
      <w:pPr>
        <w:widowControl w:val="0"/>
        <w:spacing w:before="120" w:after="120" w:line="264" w:lineRule="auto"/>
        <w:ind w:firstLine="709"/>
        <w:rPr>
          <w:bCs/>
          <w:iCs/>
          <w:sz w:val="28"/>
          <w:szCs w:val="28"/>
        </w:rPr>
      </w:pPr>
      <w:r w:rsidRPr="001271E7">
        <w:rPr>
          <w:bCs/>
          <w:iCs/>
          <w:sz w:val="28"/>
          <w:szCs w:val="28"/>
        </w:rPr>
        <w:t>-</w:t>
      </w:r>
      <w:r>
        <w:rPr>
          <w:bCs/>
          <w:iCs/>
          <w:sz w:val="28"/>
          <w:szCs w:val="28"/>
        </w:rPr>
        <w:t xml:space="preserve"> </w:t>
      </w:r>
      <w:r w:rsidRPr="001271E7">
        <w:rPr>
          <w:bCs/>
          <w:iCs/>
          <w:sz w:val="28"/>
          <w:szCs w:val="28"/>
        </w:rPr>
        <w:t>Nhà thầu phải cung cấp đầy đủ Catalogue và các tài liệu có liên quan như: Tài liệu kỹ thuật, hướng dẫn sử dụng</w:t>
      </w:r>
      <w:r>
        <w:rPr>
          <w:bCs/>
          <w:iCs/>
          <w:sz w:val="28"/>
          <w:szCs w:val="28"/>
        </w:rPr>
        <w:t>, tiêu chuẩn kỹ thuật</w:t>
      </w:r>
      <w:r w:rsidRPr="001271E7">
        <w:rPr>
          <w:bCs/>
          <w:iCs/>
          <w:sz w:val="28"/>
          <w:szCs w:val="28"/>
        </w:rPr>
        <w:t xml:space="preserve">… </w:t>
      </w:r>
      <w:r w:rsidR="003159DD" w:rsidRPr="008E3F89">
        <w:rPr>
          <w:sz w:val="28"/>
          <w:szCs w:val="28"/>
        </w:rPr>
        <w:t>hoặc các tài liệu khác có giá trị tương đương có đầy đủ nội dung chứng minh các đặc tính, thông số kỹ thuật đối với hàng hóa dự thầu</w:t>
      </w:r>
      <w:r w:rsidR="003159DD">
        <w:rPr>
          <w:sz w:val="28"/>
          <w:szCs w:val="28"/>
        </w:rPr>
        <w:t xml:space="preserve"> </w:t>
      </w:r>
      <w:r w:rsidRPr="001271E7">
        <w:rPr>
          <w:bCs/>
          <w:iCs/>
          <w:sz w:val="28"/>
          <w:szCs w:val="28"/>
        </w:rPr>
        <w:t xml:space="preserve">là đáp ứng các yêu cầu về kỹ thuật. </w:t>
      </w:r>
    </w:p>
    <w:p w14:paraId="34635288" w14:textId="77777777" w:rsidR="00F31CB5" w:rsidRPr="00F31CB5" w:rsidRDefault="00F31CB5" w:rsidP="00F31CB5">
      <w:pPr>
        <w:widowControl w:val="0"/>
        <w:spacing w:before="120" w:after="120" w:line="264" w:lineRule="auto"/>
        <w:ind w:firstLine="709"/>
        <w:rPr>
          <w:bCs/>
          <w:iCs/>
          <w:sz w:val="28"/>
          <w:szCs w:val="28"/>
        </w:rPr>
      </w:pPr>
      <w:r>
        <w:rPr>
          <w:bCs/>
          <w:iCs/>
          <w:sz w:val="28"/>
          <w:szCs w:val="28"/>
        </w:rPr>
        <w:t xml:space="preserve">- </w:t>
      </w:r>
      <w:r w:rsidRPr="00F31CB5">
        <w:rPr>
          <w:bCs/>
          <w:iCs/>
          <w:sz w:val="28"/>
          <w:szCs w:val="28"/>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6FD0F72F" w14:textId="089A4ED6" w:rsidR="005460A7" w:rsidRDefault="001271E7" w:rsidP="005460A7">
      <w:pPr>
        <w:widowControl w:val="0"/>
        <w:spacing w:before="120" w:after="120" w:line="264" w:lineRule="auto"/>
        <w:ind w:firstLine="709"/>
        <w:rPr>
          <w:bCs/>
          <w:iCs/>
          <w:sz w:val="28"/>
          <w:szCs w:val="28"/>
        </w:rPr>
      </w:pPr>
      <w:r>
        <w:rPr>
          <w:bCs/>
          <w:iCs/>
          <w:sz w:val="28"/>
          <w:szCs w:val="28"/>
        </w:rPr>
        <w:t xml:space="preserve">- </w:t>
      </w:r>
      <w:r w:rsidR="005460A7" w:rsidRPr="00825B05">
        <w:rPr>
          <w:bCs/>
          <w:iCs/>
          <w:sz w:val="28"/>
          <w:szCs w:val="28"/>
          <w:lang w:val="vi-VN"/>
        </w:rPr>
        <w:t xml:space="preserve">Yêu cầu nhà thầu kê khai đầy đủ thông tin tại các cột và ghi cụ thể trang và tài liệu tham chiếu. Các tài liệu tham chiếu phải được đặt tên file tương ứng để đối </w:t>
      </w:r>
      <w:r w:rsidR="005460A7" w:rsidRPr="00825B05">
        <w:rPr>
          <w:bCs/>
          <w:iCs/>
          <w:sz w:val="28"/>
          <w:szCs w:val="28"/>
          <w:lang w:val="vi-VN"/>
        </w:rPr>
        <w:lastRenderedPageBreak/>
        <w:t>chiếu. Nhà thầu phải nộp đồng thời file Excel của tài liệu và bản scan có ký đóng dấu hợp lệ (theo biểu danh mục hàng hoá dự thầu</w:t>
      </w:r>
      <w:r w:rsidR="005460A7" w:rsidRPr="00825B05">
        <w:rPr>
          <w:bCs/>
          <w:iCs/>
          <w:sz w:val="28"/>
          <w:szCs w:val="28"/>
        </w:rPr>
        <w:t xml:space="preserve"> tại Phụ lục </w:t>
      </w:r>
      <w:r w:rsidR="005460A7">
        <w:rPr>
          <w:bCs/>
          <w:iCs/>
          <w:sz w:val="28"/>
          <w:szCs w:val="28"/>
        </w:rPr>
        <w:t>4</w:t>
      </w:r>
      <w:r w:rsidR="005460A7" w:rsidRPr="00825B05">
        <w:rPr>
          <w:bCs/>
          <w:iCs/>
          <w:sz w:val="28"/>
          <w:szCs w:val="28"/>
        </w:rPr>
        <w:t xml:space="preserve"> Chương III</w:t>
      </w:r>
      <w:r w:rsidR="005460A7" w:rsidRPr="00825B05">
        <w:rPr>
          <w:bCs/>
          <w:iCs/>
          <w:sz w:val="28"/>
          <w:szCs w:val="28"/>
          <w:lang w:val="vi-VN"/>
        </w:rPr>
        <w:t>)</w:t>
      </w:r>
      <w:r w:rsidR="002E0071">
        <w:rPr>
          <w:bCs/>
          <w:iCs/>
          <w:sz w:val="28"/>
          <w:szCs w:val="28"/>
        </w:rPr>
        <w:t>.</w:t>
      </w:r>
    </w:p>
    <w:p w14:paraId="043710A8" w14:textId="1794BF94" w:rsidR="002E0071" w:rsidRDefault="002E0071" w:rsidP="005460A7">
      <w:pPr>
        <w:widowControl w:val="0"/>
        <w:spacing w:before="120" w:after="120" w:line="264" w:lineRule="auto"/>
        <w:ind w:firstLine="709"/>
        <w:rPr>
          <w:bCs/>
          <w:iCs/>
          <w:sz w:val="28"/>
          <w:szCs w:val="28"/>
        </w:rPr>
      </w:pPr>
      <w:r>
        <w:rPr>
          <w:bCs/>
          <w:iCs/>
          <w:sz w:val="28"/>
          <w:szCs w:val="28"/>
        </w:rPr>
        <w:t xml:space="preserve">- </w:t>
      </w:r>
      <w:r w:rsidRPr="002E0071">
        <w:rPr>
          <w:bCs/>
          <w:iCs/>
          <w:sz w:val="28"/>
          <w:szCs w:val="28"/>
        </w:rPr>
        <w:t>Hàng hóa đáp ứng các yêu cầu chi tiết tại Phụ lục cấu hình thông số kỹ thuật. Mức yêu cầu dưới đây là tối thiểu, nhà thầu có thể chào hàng hóa có cấu hình tính năng kỹ thuật tương đương hoặc cao hơn</w:t>
      </w:r>
      <w:r w:rsidR="00FC7CE6">
        <w:rPr>
          <w:bCs/>
          <w:iCs/>
          <w:sz w:val="28"/>
          <w:szCs w:val="28"/>
        </w:rPr>
        <w:t xml:space="preserve">, cụ thể: </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876"/>
        <w:gridCol w:w="1134"/>
        <w:gridCol w:w="1134"/>
        <w:gridCol w:w="3260"/>
        <w:gridCol w:w="851"/>
        <w:gridCol w:w="850"/>
        <w:gridCol w:w="1100"/>
      </w:tblGrid>
      <w:tr w:rsidR="00863B07" w:rsidRPr="00CD3456" w14:paraId="1E03D5B8" w14:textId="77777777" w:rsidTr="00061FA7">
        <w:trPr>
          <w:trHeight w:val="798"/>
          <w:tblHeader/>
          <w:jc w:val="center"/>
        </w:trPr>
        <w:tc>
          <w:tcPr>
            <w:tcW w:w="651" w:type="dxa"/>
            <w:vAlign w:val="center"/>
            <w:hideMark/>
          </w:tcPr>
          <w:p w14:paraId="461C6A54" w14:textId="77777777" w:rsidR="00863B07" w:rsidRPr="0081470B" w:rsidRDefault="00863B07" w:rsidP="00061FA7">
            <w:pPr>
              <w:jc w:val="center"/>
              <w:rPr>
                <w:b/>
                <w:bCs/>
                <w:sz w:val="20"/>
                <w:lang w:eastAsia="vi-VN"/>
              </w:rPr>
            </w:pPr>
            <w:r w:rsidRPr="0081470B">
              <w:rPr>
                <w:b/>
                <w:bCs/>
                <w:sz w:val="20"/>
                <w:lang w:eastAsia="vi-VN"/>
              </w:rPr>
              <w:t>STT</w:t>
            </w:r>
          </w:p>
        </w:tc>
        <w:tc>
          <w:tcPr>
            <w:tcW w:w="876" w:type="dxa"/>
            <w:vAlign w:val="center"/>
            <w:hideMark/>
          </w:tcPr>
          <w:p w14:paraId="4B27F56D" w14:textId="77777777" w:rsidR="00863B07" w:rsidRPr="0081470B" w:rsidRDefault="00863B07" w:rsidP="00061FA7">
            <w:pPr>
              <w:jc w:val="center"/>
              <w:rPr>
                <w:b/>
                <w:bCs/>
                <w:sz w:val="20"/>
                <w:lang w:eastAsia="vi-VN"/>
              </w:rPr>
            </w:pPr>
            <w:r w:rsidRPr="0081470B">
              <w:rPr>
                <w:b/>
                <w:bCs/>
                <w:sz w:val="20"/>
                <w:lang w:eastAsia="vi-VN"/>
              </w:rPr>
              <w:t xml:space="preserve">Mã </w:t>
            </w:r>
            <w:r>
              <w:rPr>
                <w:b/>
                <w:bCs/>
                <w:sz w:val="20"/>
                <w:lang w:eastAsia="vi-VN"/>
              </w:rPr>
              <w:t>phần lô</w:t>
            </w:r>
          </w:p>
        </w:tc>
        <w:tc>
          <w:tcPr>
            <w:tcW w:w="1134" w:type="dxa"/>
            <w:vAlign w:val="center"/>
            <w:hideMark/>
          </w:tcPr>
          <w:p w14:paraId="56FF396D" w14:textId="77777777" w:rsidR="00863B07" w:rsidRPr="005E0D16" w:rsidRDefault="00863B07" w:rsidP="00061FA7">
            <w:pPr>
              <w:jc w:val="center"/>
              <w:rPr>
                <w:b/>
                <w:bCs/>
                <w:sz w:val="20"/>
                <w:lang w:eastAsia="vi-VN"/>
              </w:rPr>
            </w:pPr>
            <w:r w:rsidRPr="005E0D16">
              <w:rPr>
                <w:b/>
                <w:bCs/>
                <w:sz w:val="20"/>
                <w:lang w:eastAsia="vi-VN"/>
              </w:rPr>
              <w:t xml:space="preserve">Tên </w:t>
            </w:r>
            <w:r>
              <w:rPr>
                <w:b/>
                <w:bCs/>
                <w:sz w:val="20"/>
                <w:lang w:eastAsia="vi-VN"/>
              </w:rPr>
              <w:t>phần lô</w:t>
            </w:r>
          </w:p>
        </w:tc>
        <w:tc>
          <w:tcPr>
            <w:tcW w:w="1134" w:type="dxa"/>
            <w:vAlign w:val="center"/>
          </w:tcPr>
          <w:p w14:paraId="184AFAD8" w14:textId="77777777" w:rsidR="00863B07" w:rsidRDefault="00863B07" w:rsidP="00061FA7">
            <w:pPr>
              <w:jc w:val="center"/>
              <w:rPr>
                <w:b/>
                <w:bCs/>
                <w:sz w:val="20"/>
                <w:lang w:eastAsia="vi-VN"/>
              </w:rPr>
            </w:pPr>
            <w:r>
              <w:rPr>
                <w:b/>
                <w:bCs/>
                <w:sz w:val="20"/>
                <w:lang w:eastAsia="vi-VN"/>
              </w:rPr>
              <w:t>Tên hàng hoá mời thầu</w:t>
            </w:r>
          </w:p>
        </w:tc>
        <w:tc>
          <w:tcPr>
            <w:tcW w:w="3260" w:type="dxa"/>
            <w:vAlign w:val="center"/>
            <w:hideMark/>
          </w:tcPr>
          <w:p w14:paraId="0F85E7B2" w14:textId="77777777" w:rsidR="00863B07" w:rsidRPr="00CD3456" w:rsidRDefault="00863B07" w:rsidP="00061FA7">
            <w:pPr>
              <w:jc w:val="center"/>
              <w:rPr>
                <w:b/>
                <w:bCs/>
                <w:sz w:val="20"/>
                <w:lang w:eastAsia="vi-VN"/>
              </w:rPr>
            </w:pPr>
            <w:r>
              <w:rPr>
                <w:b/>
                <w:bCs/>
                <w:sz w:val="20"/>
                <w:lang w:eastAsia="vi-VN"/>
              </w:rPr>
              <w:t>Danh mục hàng hoá/ Mô tả kỹ thuật/Tiêu chuẩn</w:t>
            </w:r>
          </w:p>
        </w:tc>
        <w:tc>
          <w:tcPr>
            <w:tcW w:w="851" w:type="dxa"/>
            <w:vAlign w:val="center"/>
          </w:tcPr>
          <w:p w14:paraId="1F16461F" w14:textId="77777777" w:rsidR="00863B07" w:rsidRPr="0038154B" w:rsidRDefault="00863B07" w:rsidP="00061FA7">
            <w:pPr>
              <w:jc w:val="center"/>
              <w:rPr>
                <w:b/>
                <w:bCs/>
                <w:sz w:val="20"/>
                <w:lang w:eastAsia="vi-VN"/>
              </w:rPr>
            </w:pPr>
            <w:r w:rsidRPr="0038154B">
              <w:rPr>
                <w:b/>
                <w:bCs/>
                <w:sz w:val="20"/>
                <w:lang w:eastAsia="vi-VN"/>
              </w:rPr>
              <w:t>Đơn vị tính</w:t>
            </w:r>
          </w:p>
        </w:tc>
        <w:tc>
          <w:tcPr>
            <w:tcW w:w="850" w:type="dxa"/>
            <w:vAlign w:val="center"/>
          </w:tcPr>
          <w:p w14:paraId="348CDE6A" w14:textId="77777777" w:rsidR="00863B07" w:rsidRPr="0038154B" w:rsidRDefault="00863B07" w:rsidP="00061FA7">
            <w:pPr>
              <w:jc w:val="center"/>
              <w:rPr>
                <w:b/>
                <w:bCs/>
                <w:sz w:val="20"/>
                <w:lang w:eastAsia="vi-VN"/>
              </w:rPr>
            </w:pPr>
            <w:r w:rsidRPr="0038154B">
              <w:rPr>
                <w:b/>
                <w:bCs/>
                <w:sz w:val="20"/>
                <w:lang w:eastAsia="vi-VN"/>
              </w:rPr>
              <w:t>Số lượng</w:t>
            </w:r>
          </w:p>
        </w:tc>
        <w:tc>
          <w:tcPr>
            <w:tcW w:w="1100" w:type="dxa"/>
            <w:vAlign w:val="center"/>
          </w:tcPr>
          <w:p w14:paraId="1B3D6978" w14:textId="77777777" w:rsidR="00863B07" w:rsidRPr="0038154B" w:rsidRDefault="00863B07" w:rsidP="00061FA7">
            <w:pPr>
              <w:jc w:val="center"/>
              <w:rPr>
                <w:b/>
                <w:bCs/>
                <w:sz w:val="20"/>
                <w:lang w:eastAsia="vi-VN"/>
              </w:rPr>
            </w:pPr>
            <w:r>
              <w:rPr>
                <w:b/>
                <w:bCs/>
                <w:sz w:val="20"/>
                <w:lang w:eastAsia="vi-VN"/>
              </w:rPr>
              <w:t>Tương thích hệ thống máy</w:t>
            </w:r>
          </w:p>
        </w:tc>
      </w:tr>
      <w:tr w:rsidR="00863B07" w:rsidRPr="00CD3456" w14:paraId="5D1123EC" w14:textId="77777777" w:rsidTr="00061FA7">
        <w:trPr>
          <w:trHeight w:val="211"/>
          <w:tblHeader/>
          <w:jc w:val="center"/>
        </w:trPr>
        <w:tc>
          <w:tcPr>
            <w:tcW w:w="651" w:type="dxa"/>
            <w:noWrap/>
            <w:vAlign w:val="center"/>
            <w:hideMark/>
          </w:tcPr>
          <w:p w14:paraId="142AC55E" w14:textId="77777777" w:rsidR="00863B07" w:rsidRPr="0081470B" w:rsidRDefault="00863B07" w:rsidP="00061FA7">
            <w:pPr>
              <w:jc w:val="center"/>
              <w:rPr>
                <w:b/>
                <w:bCs/>
                <w:sz w:val="20"/>
                <w:lang w:eastAsia="vi-VN"/>
              </w:rPr>
            </w:pPr>
            <w:r w:rsidRPr="0081470B">
              <w:rPr>
                <w:b/>
                <w:bCs/>
                <w:sz w:val="20"/>
                <w:lang w:eastAsia="vi-VN"/>
              </w:rPr>
              <w:t>(1)</w:t>
            </w:r>
          </w:p>
        </w:tc>
        <w:tc>
          <w:tcPr>
            <w:tcW w:w="876" w:type="dxa"/>
            <w:vAlign w:val="center"/>
            <w:hideMark/>
          </w:tcPr>
          <w:p w14:paraId="47E2729A" w14:textId="77777777" w:rsidR="00863B07" w:rsidRPr="0081470B" w:rsidRDefault="00863B07" w:rsidP="00061FA7">
            <w:pPr>
              <w:jc w:val="center"/>
              <w:rPr>
                <w:b/>
                <w:bCs/>
                <w:sz w:val="20"/>
                <w:lang w:eastAsia="vi-VN"/>
              </w:rPr>
            </w:pPr>
            <w:r w:rsidRPr="0081470B">
              <w:rPr>
                <w:b/>
                <w:bCs/>
                <w:sz w:val="20"/>
                <w:lang w:eastAsia="vi-VN"/>
              </w:rPr>
              <w:t>(2)</w:t>
            </w:r>
          </w:p>
        </w:tc>
        <w:tc>
          <w:tcPr>
            <w:tcW w:w="1134" w:type="dxa"/>
            <w:vAlign w:val="center"/>
            <w:hideMark/>
          </w:tcPr>
          <w:p w14:paraId="55535469" w14:textId="77777777" w:rsidR="00863B07" w:rsidRPr="005E0D16" w:rsidRDefault="00863B07" w:rsidP="00061FA7">
            <w:pPr>
              <w:jc w:val="center"/>
              <w:rPr>
                <w:b/>
                <w:bCs/>
                <w:sz w:val="20"/>
                <w:lang w:eastAsia="vi-VN"/>
              </w:rPr>
            </w:pPr>
            <w:r w:rsidRPr="005E0D16">
              <w:rPr>
                <w:b/>
                <w:bCs/>
                <w:sz w:val="20"/>
                <w:lang w:eastAsia="vi-VN"/>
              </w:rPr>
              <w:t>(3)</w:t>
            </w:r>
          </w:p>
        </w:tc>
        <w:tc>
          <w:tcPr>
            <w:tcW w:w="1134" w:type="dxa"/>
            <w:vAlign w:val="center"/>
          </w:tcPr>
          <w:p w14:paraId="78DA3182" w14:textId="77777777" w:rsidR="00863B07" w:rsidRPr="005E0D16" w:rsidRDefault="00863B07" w:rsidP="00061FA7">
            <w:pPr>
              <w:jc w:val="center"/>
              <w:rPr>
                <w:b/>
                <w:bCs/>
                <w:sz w:val="20"/>
                <w:lang w:eastAsia="vi-VN"/>
              </w:rPr>
            </w:pPr>
            <w:r w:rsidRPr="005E0D16">
              <w:rPr>
                <w:b/>
                <w:bCs/>
                <w:sz w:val="20"/>
                <w:lang w:eastAsia="vi-VN"/>
              </w:rPr>
              <w:t>(4)</w:t>
            </w:r>
          </w:p>
        </w:tc>
        <w:tc>
          <w:tcPr>
            <w:tcW w:w="3260" w:type="dxa"/>
            <w:vAlign w:val="center"/>
          </w:tcPr>
          <w:p w14:paraId="65AA419C" w14:textId="77777777" w:rsidR="00863B07" w:rsidRPr="00CD3456" w:rsidRDefault="00863B07" w:rsidP="00061FA7">
            <w:pPr>
              <w:jc w:val="center"/>
              <w:rPr>
                <w:b/>
                <w:bCs/>
                <w:sz w:val="20"/>
                <w:lang w:eastAsia="vi-VN"/>
              </w:rPr>
            </w:pPr>
            <w:r w:rsidRPr="00CD3456">
              <w:rPr>
                <w:b/>
                <w:bCs/>
                <w:sz w:val="20"/>
                <w:lang w:eastAsia="vi-VN"/>
              </w:rPr>
              <w:t>(5)</w:t>
            </w:r>
          </w:p>
        </w:tc>
        <w:tc>
          <w:tcPr>
            <w:tcW w:w="851" w:type="dxa"/>
            <w:vAlign w:val="center"/>
          </w:tcPr>
          <w:p w14:paraId="4FA3E167" w14:textId="77777777" w:rsidR="00863B07" w:rsidRPr="0038154B" w:rsidRDefault="00863B07" w:rsidP="00061FA7">
            <w:pPr>
              <w:jc w:val="center"/>
              <w:rPr>
                <w:b/>
                <w:bCs/>
                <w:sz w:val="20"/>
                <w:lang w:eastAsia="vi-VN"/>
              </w:rPr>
            </w:pPr>
            <w:r w:rsidRPr="0038154B">
              <w:rPr>
                <w:b/>
                <w:bCs/>
                <w:sz w:val="20"/>
                <w:lang w:eastAsia="vi-VN"/>
              </w:rPr>
              <w:t>(6)</w:t>
            </w:r>
          </w:p>
        </w:tc>
        <w:tc>
          <w:tcPr>
            <w:tcW w:w="850" w:type="dxa"/>
            <w:noWrap/>
            <w:vAlign w:val="center"/>
          </w:tcPr>
          <w:p w14:paraId="5D0AFD30" w14:textId="77777777" w:rsidR="00863B07" w:rsidRPr="0038154B" w:rsidRDefault="00863B07" w:rsidP="00061FA7">
            <w:pPr>
              <w:jc w:val="center"/>
              <w:rPr>
                <w:b/>
                <w:bCs/>
                <w:sz w:val="20"/>
                <w:lang w:eastAsia="vi-VN"/>
              </w:rPr>
            </w:pPr>
            <w:r>
              <w:rPr>
                <w:b/>
                <w:bCs/>
                <w:sz w:val="20"/>
                <w:lang w:eastAsia="vi-VN"/>
              </w:rPr>
              <w:t>(7)</w:t>
            </w:r>
          </w:p>
        </w:tc>
        <w:tc>
          <w:tcPr>
            <w:tcW w:w="1100" w:type="dxa"/>
            <w:vAlign w:val="center"/>
          </w:tcPr>
          <w:p w14:paraId="09A0134D" w14:textId="77777777" w:rsidR="00863B07" w:rsidRDefault="00863B07" w:rsidP="00061FA7">
            <w:pPr>
              <w:jc w:val="center"/>
              <w:rPr>
                <w:b/>
                <w:bCs/>
                <w:sz w:val="20"/>
                <w:lang w:eastAsia="vi-VN"/>
              </w:rPr>
            </w:pPr>
            <w:r>
              <w:rPr>
                <w:b/>
                <w:bCs/>
                <w:sz w:val="20"/>
                <w:lang w:eastAsia="vi-VN"/>
              </w:rPr>
              <w:t>(8)</w:t>
            </w:r>
          </w:p>
        </w:tc>
      </w:tr>
      <w:tr w:rsidR="00863B07" w:rsidRPr="00CD3456" w14:paraId="0125FE9C" w14:textId="77777777" w:rsidTr="00061FA7">
        <w:trPr>
          <w:trHeight w:val="599"/>
          <w:jc w:val="center"/>
        </w:trPr>
        <w:tc>
          <w:tcPr>
            <w:tcW w:w="651" w:type="dxa"/>
            <w:noWrap/>
            <w:vAlign w:val="center"/>
          </w:tcPr>
          <w:p w14:paraId="759C025A" w14:textId="77777777" w:rsidR="00863B07" w:rsidRPr="0081470B" w:rsidRDefault="00863B07" w:rsidP="00061FA7">
            <w:pPr>
              <w:jc w:val="center"/>
              <w:rPr>
                <w:sz w:val="20"/>
                <w:lang w:eastAsia="vi-VN"/>
              </w:rPr>
            </w:pPr>
            <w:r w:rsidRPr="0081470B">
              <w:rPr>
                <w:sz w:val="20"/>
                <w:lang w:eastAsia="vi-VN"/>
              </w:rPr>
              <w:t>1</w:t>
            </w:r>
          </w:p>
        </w:tc>
        <w:tc>
          <w:tcPr>
            <w:tcW w:w="876" w:type="dxa"/>
            <w:noWrap/>
            <w:vAlign w:val="center"/>
          </w:tcPr>
          <w:p w14:paraId="7D132CEE" w14:textId="77777777" w:rsidR="00863B07" w:rsidRPr="003504ED" w:rsidRDefault="00863B07" w:rsidP="00061FA7">
            <w:pPr>
              <w:jc w:val="center"/>
              <w:rPr>
                <w:sz w:val="20"/>
                <w:lang w:eastAsia="vi-VN"/>
              </w:rPr>
            </w:pPr>
            <w:r w:rsidRPr="003504ED">
              <w:rPr>
                <w:sz w:val="20"/>
                <w:lang w:eastAsia="vi-VN"/>
              </w:rPr>
              <w:t>PP2500489718</w:t>
            </w:r>
          </w:p>
        </w:tc>
        <w:tc>
          <w:tcPr>
            <w:tcW w:w="1134" w:type="dxa"/>
            <w:vAlign w:val="center"/>
          </w:tcPr>
          <w:p w14:paraId="63AF9893" w14:textId="77777777" w:rsidR="00863B07" w:rsidRPr="00C92F39" w:rsidRDefault="00863B07" w:rsidP="00061FA7">
            <w:pPr>
              <w:rPr>
                <w:b/>
                <w:bCs/>
                <w:color w:val="000000"/>
                <w:sz w:val="20"/>
              </w:rPr>
            </w:pPr>
            <w:r w:rsidRPr="00C92F39">
              <w:rPr>
                <w:b/>
                <w:bCs/>
                <w:color w:val="000000"/>
                <w:sz w:val="20"/>
              </w:rPr>
              <w:t>Hóa chất cho máy xét nghiệm ISE3000 gồm 1 mặt hàng</w:t>
            </w:r>
          </w:p>
        </w:tc>
        <w:tc>
          <w:tcPr>
            <w:tcW w:w="1134" w:type="dxa"/>
            <w:vAlign w:val="center"/>
          </w:tcPr>
          <w:p w14:paraId="627D31D1" w14:textId="77777777" w:rsidR="00863B07" w:rsidRPr="00CD3456" w:rsidRDefault="00863B07" w:rsidP="00061FA7">
            <w:pPr>
              <w:rPr>
                <w:sz w:val="20"/>
                <w:lang w:eastAsia="vi-VN"/>
              </w:rPr>
            </w:pPr>
          </w:p>
        </w:tc>
        <w:tc>
          <w:tcPr>
            <w:tcW w:w="3260" w:type="dxa"/>
            <w:vAlign w:val="center"/>
          </w:tcPr>
          <w:p w14:paraId="77ED06C6" w14:textId="77777777" w:rsidR="00863B07" w:rsidRPr="00CD3456" w:rsidRDefault="00863B07" w:rsidP="00061FA7">
            <w:pPr>
              <w:rPr>
                <w:sz w:val="20"/>
                <w:lang w:eastAsia="vi-VN"/>
              </w:rPr>
            </w:pPr>
          </w:p>
        </w:tc>
        <w:tc>
          <w:tcPr>
            <w:tcW w:w="851" w:type="dxa"/>
            <w:vAlign w:val="center"/>
          </w:tcPr>
          <w:p w14:paraId="5B29D0B1" w14:textId="77777777" w:rsidR="00863B07" w:rsidRPr="00652635" w:rsidRDefault="00863B07" w:rsidP="00061FA7">
            <w:pPr>
              <w:jc w:val="center"/>
              <w:rPr>
                <w:sz w:val="20"/>
                <w:lang w:eastAsia="vi-VN"/>
              </w:rPr>
            </w:pPr>
          </w:p>
        </w:tc>
        <w:tc>
          <w:tcPr>
            <w:tcW w:w="850" w:type="dxa"/>
            <w:vAlign w:val="center"/>
          </w:tcPr>
          <w:p w14:paraId="6E37EC64" w14:textId="77777777" w:rsidR="00863B07" w:rsidRPr="00652635" w:rsidRDefault="00863B07" w:rsidP="00061FA7">
            <w:pPr>
              <w:jc w:val="center"/>
              <w:rPr>
                <w:b/>
                <w:bCs/>
                <w:sz w:val="20"/>
                <w:lang w:eastAsia="vi-VN"/>
              </w:rPr>
            </w:pPr>
          </w:p>
        </w:tc>
        <w:tc>
          <w:tcPr>
            <w:tcW w:w="1100" w:type="dxa"/>
            <w:vAlign w:val="center"/>
          </w:tcPr>
          <w:p w14:paraId="7274AD37" w14:textId="77777777" w:rsidR="00863B07" w:rsidRPr="00652635" w:rsidRDefault="00863B07" w:rsidP="00061FA7">
            <w:pPr>
              <w:jc w:val="center"/>
              <w:rPr>
                <w:b/>
                <w:bCs/>
                <w:sz w:val="20"/>
                <w:lang w:eastAsia="vi-VN"/>
              </w:rPr>
            </w:pPr>
          </w:p>
        </w:tc>
      </w:tr>
      <w:tr w:rsidR="00863B07" w:rsidRPr="00CD3456" w14:paraId="2EBE3241" w14:textId="77777777" w:rsidTr="00061FA7">
        <w:trPr>
          <w:trHeight w:val="599"/>
          <w:jc w:val="center"/>
        </w:trPr>
        <w:tc>
          <w:tcPr>
            <w:tcW w:w="651" w:type="dxa"/>
            <w:noWrap/>
            <w:vAlign w:val="center"/>
          </w:tcPr>
          <w:p w14:paraId="29A5623E" w14:textId="77777777" w:rsidR="00863B07" w:rsidRPr="0081470B" w:rsidRDefault="00863B07" w:rsidP="00061FA7">
            <w:pPr>
              <w:jc w:val="center"/>
              <w:rPr>
                <w:sz w:val="20"/>
                <w:lang w:eastAsia="vi-VN"/>
              </w:rPr>
            </w:pPr>
            <w:r>
              <w:rPr>
                <w:sz w:val="20"/>
                <w:lang w:eastAsia="vi-VN"/>
              </w:rPr>
              <w:t>1.1</w:t>
            </w:r>
          </w:p>
        </w:tc>
        <w:tc>
          <w:tcPr>
            <w:tcW w:w="876" w:type="dxa"/>
            <w:noWrap/>
            <w:vAlign w:val="center"/>
          </w:tcPr>
          <w:p w14:paraId="48B6A783" w14:textId="77777777" w:rsidR="00863B07" w:rsidRPr="003504ED" w:rsidRDefault="00863B07" w:rsidP="00061FA7">
            <w:pPr>
              <w:jc w:val="center"/>
              <w:rPr>
                <w:sz w:val="20"/>
                <w:lang w:eastAsia="vi-VN"/>
              </w:rPr>
            </w:pPr>
          </w:p>
        </w:tc>
        <w:tc>
          <w:tcPr>
            <w:tcW w:w="1134" w:type="dxa"/>
            <w:vAlign w:val="center"/>
          </w:tcPr>
          <w:p w14:paraId="22451A68" w14:textId="77777777" w:rsidR="00863B07" w:rsidRPr="00C92F39" w:rsidRDefault="00863B07" w:rsidP="00061FA7">
            <w:pPr>
              <w:rPr>
                <w:b/>
                <w:bCs/>
                <w:color w:val="000000"/>
                <w:sz w:val="20"/>
              </w:rPr>
            </w:pPr>
          </w:p>
        </w:tc>
        <w:tc>
          <w:tcPr>
            <w:tcW w:w="1134" w:type="dxa"/>
            <w:vAlign w:val="center"/>
          </w:tcPr>
          <w:p w14:paraId="5012C06D" w14:textId="77777777" w:rsidR="00863B07" w:rsidRPr="00CD3456" w:rsidRDefault="00863B07" w:rsidP="00061FA7">
            <w:pPr>
              <w:rPr>
                <w:sz w:val="20"/>
                <w:lang w:eastAsia="vi-VN"/>
              </w:rPr>
            </w:pPr>
            <w:r w:rsidRPr="009976DB">
              <w:rPr>
                <w:sz w:val="20"/>
                <w:lang w:eastAsia="vi-VN"/>
              </w:rPr>
              <w:t>Thuốc thử xét nghiệm định lượng Na, K, Cl.</w:t>
            </w:r>
          </w:p>
        </w:tc>
        <w:tc>
          <w:tcPr>
            <w:tcW w:w="3260" w:type="dxa"/>
            <w:vAlign w:val="center"/>
          </w:tcPr>
          <w:p w14:paraId="7A6CFBB9" w14:textId="77777777" w:rsidR="00863B07" w:rsidRPr="009976DB" w:rsidRDefault="00863B07" w:rsidP="00061FA7">
            <w:pPr>
              <w:rPr>
                <w:sz w:val="20"/>
                <w:lang w:eastAsia="vi-VN"/>
              </w:rPr>
            </w:pPr>
            <w:r w:rsidRPr="009976DB">
              <w:rPr>
                <w:sz w:val="20"/>
                <w:lang w:eastAsia="vi-VN"/>
              </w:rPr>
              <w:t>- Dùng trong xét nghiệm xác định nồng độ Na, K, Cl trong mẫu huyết thanh trên máy điện giải ISE 3000</w:t>
            </w:r>
          </w:p>
          <w:p w14:paraId="4201D826" w14:textId="77777777" w:rsidR="00863B07" w:rsidRPr="009976DB" w:rsidRDefault="00863B07" w:rsidP="00061FA7">
            <w:pPr>
              <w:rPr>
                <w:sz w:val="20"/>
                <w:lang w:eastAsia="vi-VN"/>
              </w:rPr>
            </w:pPr>
            <w:r w:rsidRPr="009976DB">
              <w:rPr>
                <w:sz w:val="20"/>
                <w:lang w:eastAsia="vi-VN"/>
              </w:rPr>
              <w:t>- Thành phần: Buffer , Inorganic salts , Preservative</w:t>
            </w:r>
          </w:p>
          <w:p w14:paraId="5BCE1207" w14:textId="77777777" w:rsidR="00863B07" w:rsidRPr="00CD3456" w:rsidRDefault="00863B07" w:rsidP="00061FA7">
            <w:pPr>
              <w:rPr>
                <w:sz w:val="20"/>
                <w:lang w:eastAsia="vi-VN"/>
              </w:rPr>
            </w:pPr>
            <w:r w:rsidRPr="009976DB">
              <w:rPr>
                <w:sz w:val="20"/>
                <w:lang w:eastAsia="vi-VN"/>
              </w:rPr>
              <w:t>- Bình tối thiểu: Std A: ≥650mL; Std B: ≥350mL</w:t>
            </w:r>
          </w:p>
        </w:tc>
        <w:tc>
          <w:tcPr>
            <w:tcW w:w="851" w:type="dxa"/>
            <w:vAlign w:val="center"/>
          </w:tcPr>
          <w:p w14:paraId="0B9689C9" w14:textId="77777777" w:rsidR="00863B07" w:rsidRPr="00652635" w:rsidRDefault="00863B07" w:rsidP="00061FA7">
            <w:pPr>
              <w:jc w:val="center"/>
              <w:rPr>
                <w:sz w:val="20"/>
                <w:lang w:eastAsia="vi-VN"/>
              </w:rPr>
            </w:pPr>
            <w:r w:rsidRPr="009976DB">
              <w:rPr>
                <w:sz w:val="20"/>
                <w:lang w:eastAsia="vi-VN"/>
              </w:rPr>
              <w:t>Hộp</w:t>
            </w:r>
          </w:p>
        </w:tc>
        <w:tc>
          <w:tcPr>
            <w:tcW w:w="850" w:type="dxa"/>
            <w:vAlign w:val="center"/>
          </w:tcPr>
          <w:p w14:paraId="2930A56F" w14:textId="77777777" w:rsidR="00863B07" w:rsidRPr="00652635" w:rsidRDefault="00863B07" w:rsidP="00061FA7">
            <w:pPr>
              <w:jc w:val="center"/>
              <w:rPr>
                <w:b/>
                <w:bCs/>
                <w:sz w:val="20"/>
                <w:lang w:eastAsia="vi-VN"/>
              </w:rPr>
            </w:pPr>
            <w:r w:rsidRPr="009976DB">
              <w:rPr>
                <w:b/>
                <w:bCs/>
                <w:sz w:val="20"/>
                <w:lang w:eastAsia="vi-VN"/>
              </w:rPr>
              <w:t>15</w:t>
            </w:r>
          </w:p>
        </w:tc>
        <w:tc>
          <w:tcPr>
            <w:tcW w:w="1100" w:type="dxa"/>
            <w:vAlign w:val="center"/>
          </w:tcPr>
          <w:p w14:paraId="4A475CC1" w14:textId="77777777" w:rsidR="00863B07" w:rsidRPr="009976DB" w:rsidRDefault="00863B07" w:rsidP="00061FA7">
            <w:pPr>
              <w:jc w:val="center"/>
              <w:rPr>
                <w:b/>
                <w:bCs/>
                <w:sz w:val="20"/>
                <w:lang w:eastAsia="vi-VN"/>
              </w:rPr>
            </w:pPr>
            <w:r>
              <w:rPr>
                <w:b/>
                <w:bCs/>
                <w:sz w:val="20"/>
                <w:lang w:eastAsia="vi-VN"/>
              </w:rPr>
              <w:t>ISE-3000 (SFRI)</w:t>
            </w:r>
          </w:p>
        </w:tc>
      </w:tr>
      <w:tr w:rsidR="00863B07" w:rsidRPr="00CD3456" w14:paraId="2F98037C" w14:textId="77777777" w:rsidTr="00061FA7">
        <w:trPr>
          <w:trHeight w:val="599"/>
          <w:jc w:val="center"/>
        </w:trPr>
        <w:tc>
          <w:tcPr>
            <w:tcW w:w="651" w:type="dxa"/>
            <w:noWrap/>
            <w:vAlign w:val="center"/>
          </w:tcPr>
          <w:p w14:paraId="519AAECB" w14:textId="77777777" w:rsidR="00863B07" w:rsidRPr="0081470B" w:rsidRDefault="00863B07" w:rsidP="00061FA7">
            <w:pPr>
              <w:jc w:val="center"/>
              <w:rPr>
                <w:sz w:val="20"/>
                <w:lang w:eastAsia="vi-VN"/>
              </w:rPr>
            </w:pPr>
            <w:r>
              <w:rPr>
                <w:sz w:val="20"/>
                <w:lang w:eastAsia="vi-VN"/>
              </w:rPr>
              <w:t>2</w:t>
            </w:r>
          </w:p>
        </w:tc>
        <w:tc>
          <w:tcPr>
            <w:tcW w:w="876" w:type="dxa"/>
            <w:noWrap/>
            <w:vAlign w:val="center"/>
          </w:tcPr>
          <w:p w14:paraId="36309104" w14:textId="77777777" w:rsidR="00863B07" w:rsidRPr="003504ED" w:rsidRDefault="00863B07" w:rsidP="00061FA7">
            <w:pPr>
              <w:jc w:val="center"/>
              <w:rPr>
                <w:sz w:val="20"/>
                <w:lang w:eastAsia="vi-VN"/>
              </w:rPr>
            </w:pPr>
            <w:r w:rsidRPr="003504ED">
              <w:rPr>
                <w:sz w:val="20"/>
                <w:lang w:eastAsia="vi-VN"/>
              </w:rPr>
              <w:t>PP2500489719</w:t>
            </w:r>
          </w:p>
        </w:tc>
        <w:tc>
          <w:tcPr>
            <w:tcW w:w="1134" w:type="dxa"/>
            <w:vAlign w:val="center"/>
          </w:tcPr>
          <w:p w14:paraId="0038162E" w14:textId="77777777" w:rsidR="00863B07" w:rsidRPr="009976DB" w:rsidRDefault="00863B07" w:rsidP="00061FA7">
            <w:pPr>
              <w:rPr>
                <w:b/>
                <w:bCs/>
                <w:sz w:val="20"/>
                <w:lang w:eastAsia="vi-VN"/>
              </w:rPr>
            </w:pPr>
            <w:r w:rsidRPr="009976DB">
              <w:rPr>
                <w:b/>
                <w:bCs/>
                <w:sz w:val="20"/>
                <w:lang w:eastAsia="vi-VN"/>
              </w:rPr>
              <w:t>Hóa chất cho máy xét nghiệm MEK-6510K Celltacα gồm 08 mặt hàng</w:t>
            </w:r>
          </w:p>
        </w:tc>
        <w:tc>
          <w:tcPr>
            <w:tcW w:w="1134" w:type="dxa"/>
            <w:vAlign w:val="center"/>
          </w:tcPr>
          <w:p w14:paraId="02B7A062" w14:textId="77777777" w:rsidR="00863B07" w:rsidRPr="00CD3456" w:rsidRDefault="00863B07" w:rsidP="00061FA7">
            <w:pPr>
              <w:jc w:val="center"/>
              <w:rPr>
                <w:sz w:val="20"/>
                <w:lang w:eastAsia="vi-VN"/>
              </w:rPr>
            </w:pPr>
          </w:p>
        </w:tc>
        <w:tc>
          <w:tcPr>
            <w:tcW w:w="3260" w:type="dxa"/>
            <w:vAlign w:val="center"/>
          </w:tcPr>
          <w:p w14:paraId="59906F85" w14:textId="77777777" w:rsidR="00863B07" w:rsidRPr="00CD3456" w:rsidRDefault="00863B07" w:rsidP="00061FA7">
            <w:pPr>
              <w:jc w:val="center"/>
              <w:rPr>
                <w:sz w:val="20"/>
                <w:lang w:eastAsia="vi-VN"/>
              </w:rPr>
            </w:pPr>
          </w:p>
        </w:tc>
        <w:tc>
          <w:tcPr>
            <w:tcW w:w="851" w:type="dxa"/>
            <w:vAlign w:val="center"/>
          </w:tcPr>
          <w:p w14:paraId="15133812" w14:textId="77777777" w:rsidR="00863B07" w:rsidRPr="0038154B" w:rsidRDefault="00863B07" w:rsidP="00061FA7">
            <w:pPr>
              <w:jc w:val="center"/>
              <w:rPr>
                <w:sz w:val="20"/>
                <w:lang w:eastAsia="vi-VN"/>
              </w:rPr>
            </w:pPr>
          </w:p>
        </w:tc>
        <w:tc>
          <w:tcPr>
            <w:tcW w:w="850" w:type="dxa"/>
            <w:vAlign w:val="center"/>
          </w:tcPr>
          <w:p w14:paraId="1D5ABA45" w14:textId="77777777" w:rsidR="00863B07" w:rsidRPr="0038154B" w:rsidRDefault="00863B07" w:rsidP="00061FA7">
            <w:pPr>
              <w:jc w:val="center"/>
              <w:rPr>
                <w:b/>
                <w:bCs/>
                <w:sz w:val="20"/>
                <w:lang w:eastAsia="vi-VN"/>
              </w:rPr>
            </w:pPr>
          </w:p>
        </w:tc>
        <w:tc>
          <w:tcPr>
            <w:tcW w:w="1100" w:type="dxa"/>
            <w:vAlign w:val="center"/>
          </w:tcPr>
          <w:p w14:paraId="3CA8B797" w14:textId="77777777" w:rsidR="00863B07" w:rsidRPr="0038154B" w:rsidRDefault="00863B07" w:rsidP="00061FA7">
            <w:pPr>
              <w:jc w:val="center"/>
              <w:rPr>
                <w:b/>
                <w:bCs/>
                <w:sz w:val="20"/>
                <w:lang w:eastAsia="vi-VN"/>
              </w:rPr>
            </w:pPr>
          </w:p>
        </w:tc>
      </w:tr>
      <w:tr w:rsidR="00863B07" w:rsidRPr="00CD3456" w14:paraId="7AA7497C" w14:textId="77777777" w:rsidTr="00061FA7">
        <w:trPr>
          <w:trHeight w:val="599"/>
          <w:jc w:val="center"/>
        </w:trPr>
        <w:tc>
          <w:tcPr>
            <w:tcW w:w="651" w:type="dxa"/>
            <w:noWrap/>
            <w:vAlign w:val="center"/>
          </w:tcPr>
          <w:p w14:paraId="75CA6789" w14:textId="77777777" w:rsidR="00863B07" w:rsidRPr="0081470B" w:rsidRDefault="00863B07" w:rsidP="00061FA7">
            <w:pPr>
              <w:jc w:val="center"/>
              <w:rPr>
                <w:sz w:val="20"/>
                <w:lang w:eastAsia="vi-VN"/>
              </w:rPr>
            </w:pPr>
            <w:r>
              <w:rPr>
                <w:sz w:val="20"/>
                <w:lang w:eastAsia="vi-VN"/>
              </w:rPr>
              <w:t>2.1</w:t>
            </w:r>
          </w:p>
        </w:tc>
        <w:tc>
          <w:tcPr>
            <w:tcW w:w="876" w:type="dxa"/>
            <w:noWrap/>
            <w:vAlign w:val="center"/>
          </w:tcPr>
          <w:p w14:paraId="70F2FB83" w14:textId="77777777" w:rsidR="00863B07" w:rsidRDefault="00863B07" w:rsidP="00061FA7">
            <w:pPr>
              <w:jc w:val="center"/>
              <w:rPr>
                <w:b/>
                <w:bCs/>
                <w:sz w:val="20"/>
                <w:lang w:eastAsia="vi-VN"/>
              </w:rPr>
            </w:pPr>
          </w:p>
        </w:tc>
        <w:tc>
          <w:tcPr>
            <w:tcW w:w="1134" w:type="dxa"/>
            <w:vAlign w:val="center"/>
          </w:tcPr>
          <w:p w14:paraId="34A7BD76" w14:textId="77777777" w:rsidR="00863B07" w:rsidRDefault="00863B07" w:rsidP="00061FA7">
            <w:pPr>
              <w:rPr>
                <w:sz w:val="20"/>
                <w:lang w:eastAsia="vi-VN"/>
              </w:rPr>
            </w:pPr>
          </w:p>
        </w:tc>
        <w:tc>
          <w:tcPr>
            <w:tcW w:w="1134" w:type="dxa"/>
            <w:vAlign w:val="center"/>
          </w:tcPr>
          <w:p w14:paraId="221C2EDC" w14:textId="77777777" w:rsidR="00863B07" w:rsidRPr="009976DB" w:rsidRDefault="00863B07" w:rsidP="00061FA7">
            <w:pPr>
              <w:rPr>
                <w:sz w:val="20"/>
                <w:lang w:eastAsia="vi-VN"/>
              </w:rPr>
            </w:pPr>
            <w:r w:rsidRPr="009976DB">
              <w:rPr>
                <w:bCs/>
                <w:color w:val="222222"/>
                <w:sz w:val="20"/>
              </w:rPr>
              <w:t>Hóa chất pha loãng dùng cho máy phân tích huyết học</w:t>
            </w:r>
          </w:p>
        </w:tc>
        <w:tc>
          <w:tcPr>
            <w:tcW w:w="3260" w:type="dxa"/>
            <w:vAlign w:val="center"/>
          </w:tcPr>
          <w:p w14:paraId="2E3E8357"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xml:space="preserve">Dùng làm chất pha loãng cho máy phân tích huyết học: </w:t>
            </w:r>
          </w:p>
          <w:p w14:paraId="2F417D25"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Chất lỏng, không màu, không mùi, tan trong nước</w:t>
            </w:r>
          </w:p>
          <w:p w14:paraId="7E6AB46D"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Độ pH: 7.35 đến 7.55</w:t>
            </w:r>
          </w:p>
          <w:p w14:paraId="5E98BE72"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Thành phần: Sodium chloride 0.44%, Sodium sulphate anhydrous 0.97%</w:t>
            </w:r>
          </w:p>
          <w:p w14:paraId="24CEF734"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Độ ổn định sau khi mở nắp: 60 ngày</w:t>
            </w:r>
          </w:p>
          <w:p w14:paraId="32EE4CEC" w14:textId="77777777" w:rsidR="00863B07" w:rsidRPr="0069322E" w:rsidRDefault="00863B07" w:rsidP="00863B07">
            <w:pPr>
              <w:jc w:val="left"/>
              <w:rPr>
                <w:sz w:val="20"/>
                <w:lang w:eastAsia="vi-VN"/>
              </w:rPr>
            </w:pPr>
            <w:r w:rsidRPr="0069322E">
              <w:rPr>
                <w:bCs/>
                <w:color w:val="222222"/>
                <w:sz w:val="20"/>
              </w:rPr>
              <w:t>- Tiêu chuẩn chất lượng: CE hoặc FDA và có 01 CFS</w:t>
            </w:r>
          </w:p>
        </w:tc>
        <w:tc>
          <w:tcPr>
            <w:tcW w:w="851" w:type="dxa"/>
            <w:vAlign w:val="center"/>
          </w:tcPr>
          <w:p w14:paraId="7B09DB10" w14:textId="77777777" w:rsidR="00863B07" w:rsidRPr="0069322E" w:rsidRDefault="00863B07" w:rsidP="00061FA7">
            <w:pPr>
              <w:jc w:val="center"/>
              <w:rPr>
                <w:sz w:val="20"/>
                <w:lang w:eastAsia="vi-VN"/>
              </w:rPr>
            </w:pPr>
            <w:r w:rsidRPr="0069322E">
              <w:rPr>
                <w:sz w:val="20"/>
              </w:rPr>
              <w:t>Can 18L</w:t>
            </w:r>
          </w:p>
        </w:tc>
        <w:tc>
          <w:tcPr>
            <w:tcW w:w="850" w:type="dxa"/>
            <w:vAlign w:val="center"/>
          </w:tcPr>
          <w:p w14:paraId="4425F324" w14:textId="77777777" w:rsidR="00863B07" w:rsidRPr="0069322E" w:rsidRDefault="00863B07" w:rsidP="00061FA7">
            <w:pPr>
              <w:jc w:val="center"/>
              <w:rPr>
                <w:b/>
                <w:bCs/>
                <w:sz w:val="20"/>
                <w:lang w:eastAsia="vi-VN"/>
              </w:rPr>
            </w:pPr>
            <w:r w:rsidRPr="0069322E">
              <w:rPr>
                <w:sz w:val="20"/>
              </w:rPr>
              <w:t>20</w:t>
            </w:r>
          </w:p>
        </w:tc>
        <w:tc>
          <w:tcPr>
            <w:tcW w:w="1100" w:type="dxa"/>
            <w:vAlign w:val="center"/>
          </w:tcPr>
          <w:p w14:paraId="7EED8F81" w14:textId="77777777" w:rsidR="00863B07" w:rsidRPr="0069322E" w:rsidRDefault="00863B07" w:rsidP="00061FA7">
            <w:pPr>
              <w:jc w:val="center"/>
              <w:rPr>
                <w:sz w:val="20"/>
              </w:rPr>
            </w:pPr>
            <w:r w:rsidRPr="009976DB">
              <w:rPr>
                <w:b/>
                <w:bCs/>
                <w:sz w:val="20"/>
                <w:lang w:eastAsia="vi-VN"/>
              </w:rPr>
              <w:t>MEK-6510K Celltacα</w:t>
            </w:r>
            <w:r>
              <w:rPr>
                <w:b/>
                <w:bCs/>
                <w:sz w:val="20"/>
                <w:lang w:eastAsia="vi-VN"/>
              </w:rPr>
              <w:t xml:space="preserve"> (Nihon KOhden)</w:t>
            </w:r>
            <w:r w:rsidRPr="009976DB">
              <w:rPr>
                <w:b/>
                <w:bCs/>
                <w:sz w:val="20"/>
                <w:lang w:eastAsia="vi-VN"/>
              </w:rPr>
              <w:t xml:space="preserve"> </w:t>
            </w:r>
          </w:p>
        </w:tc>
      </w:tr>
      <w:tr w:rsidR="00863B07" w:rsidRPr="00CD3456" w14:paraId="287DA73B" w14:textId="77777777" w:rsidTr="00061FA7">
        <w:trPr>
          <w:trHeight w:val="599"/>
          <w:jc w:val="center"/>
        </w:trPr>
        <w:tc>
          <w:tcPr>
            <w:tcW w:w="651" w:type="dxa"/>
            <w:noWrap/>
            <w:vAlign w:val="center"/>
          </w:tcPr>
          <w:p w14:paraId="7EBB2389" w14:textId="77777777" w:rsidR="00863B07" w:rsidRPr="0081470B" w:rsidRDefault="00863B07" w:rsidP="00061FA7">
            <w:pPr>
              <w:jc w:val="center"/>
              <w:rPr>
                <w:sz w:val="20"/>
                <w:lang w:eastAsia="vi-VN"/>
              </w:rPr>
            </w:pPr>
            <w:r>
              <w:rPr>
                <w:sz w:val="20"/>
                <w:lang w:eastAsia="vi-VN"/>
              </w:rPr>
              <w:t>2.2</w:t>
            </w:r>
          </w:p>
        </w:tc>
        <w:tc>
          <w:tcPr>
            <w:tcW w:w="876" w:type="dxa"/>
            <w:noWrap/>
            <w:vAlign w:val="center"/>
          </w:tcPr>
          <w:p w14:paraId="6C4F4AF5" w14:textId="77777777" w:rsidR="00863B07" w:rsidRDefault="00863B07" w:rsidP="00061FA7">
            <w:pPr>
              <w:jc w:val="center"/>
              <w:rPr>
                <w:b/>
                <w:bCs/>
                <w:sz w:val="20"/>
                <w:lang w:eastAsia="vi-VN"/>
              </w:rPr>
            </w:pPr>
          </w:p>
        </w:tc>
        <w:tc>
          <w:tcPr>
            <w:tcW w:w="1134" w:type="dxa"/>
            <w:vAlign w:val="center"/>
          </w:tcPr>
          <w:p w14:paraId="38FB9383" w14:textId="77777777" w:rsidR="00863B07" w:rsidRDefault="00863B07" w:rsidP="00061FA7">
            <w:pPr>
              <w:rPr>
                <w:sz w:val="20"/>
                <w:lang w:eastAsia="vi-VN"/>
              </w:rPr>
            </w:pPr>
          </w:p>
        </w:tc>
        <w:tc>
          <w:tcPr>
            <w:tcW w:w="1134" w:type="dxa"/>
            <w:vAlign w:val="center"/>
          </w:tcPr>
          <w:p w14:paraId="2656E1D5" w14:textId="77777777" w:rsidR="00863B07" w:rsidRPr="009976DB" w:rsidRDefault="00863B07" w:rsidP="00061FA7">
            <w:pPr>
              <w:rPr>
                <w:sz w:val="20"/>
                <w:lang w:eastAsia="vi-VN"/>
              </w:rPr>
            </w:pPr>
            <w:r w:rsidRPr="009976DB">
              <w:rPr>
                <w:bCs/>
                <w:color w:val="222222"/>
                <w:sz w:val="20"/>
              </w:rPr>
              <w:t>Hóa chất ly giải hồng cầu dùng cho máy phân tích huyết học</w:t>
            </w:r>
          </w:p>
        </w:tc>
        <w:tc>
          <w:tcPr>
            <w:tcW w:w="3260" w:type="dxa"/>
            <w:vAlign w:val="center"/>
          </w:tcPr>
          <w:p w14:paraId="6E2268AA"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xml:space="preserve">Dùng làm chất ly giải cho máy phân tích huyết học: </w:t>
            </w:r>
          </w:p>
          <w:p w14:paraId="39163C1E"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xml:space="preserve">- Chất lỏng, không màu, mùi nhẹ, tan trong nước </w:t>
            </w:r>
          </w:p>
          <w:p w14:paraId="250D1634"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xml:space="preserve">- Độ pH: 4 đến 7 </w:t>
            </w:r>
          </w:p>
          <w:p w14:paraId="0219916D"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Thành phần: Muối amoni bậc 4 3.7%</w:t>
            </w:r>
          </w:p>
          <w:p w14:paraId="29ECAF7B"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xml:space="preserve">- Độ ổn định sau khi mở nắp: 90 ngày </w:t>
            </w:r>
          </w:p>
          <w:p w14:paraId="7814D3F4" w14:textId="77777777" w:rsidR="00863B07" w:rsidRPr="0069322E" w:rsidRDefault="00863B07" w:rsidP="00863B07">
            <w:pPr>
              <w:jc w:val="left"/>
              <w:rPr>
                <w:sz w:val="20"/>
                <w:lang w:eastAsia="vi-VN"/>
              </w:rPr>
            </w:pPr>
            <w:r w:rsidRPr="0069322E">
              <w:rPr>
                <w:bCs/>
                <w:color w:val="222222"/>
                <w:sz w:val="20"/>
              </w:rPr>
              <w:t xml:space="preserve">- Đạt tiêu chuẩn: CE hoặc FDA và có 01 CFS </w:t>
            </w:r>
          </w:p>
        </w:tc>
        <w:tc>
          <w:tcPr>
            <w:tcW w:w="851" w:type="dxa"/>
            <w:vAlign w:val="center"/>
          </w:tcPr>
          <w:p w14:paraId="5214396A" w14:textId="77777777" w:rsidR="00863B07" w:rsidRPr="0069322E" w:rsidRDefault="00863B07" w:rsidP="00061FA7">
            <w:pPr>
              <w:jc w:val="center"/>
              <w:rPr>
                <w:sz w:val="20"/>
                <w:lang w:eastAsia="vi-VN"/>
              </w:rPr>
            </w:pPr>
            <w:r w:rsidRPr="0069322E">
              <w:rPr>
                <w:sz w:val="20"/>
              </w:rPr>
              <w:t>Can 500 ml</w:t>
            </w:r>
          </w:p>
        </w:tc>
        <w:tc>
          <w:tcPr>
            <w:tcW w:w="850" w:type="dxa"/>
            <w:vAlign w:val="center"/>
          </w:tcPr>
          <w:p w14:paraId="6CEB886C" w14:textId="77777777" w:rsidR="00863B07" w:rsidRPr="0069322E" w:rsidRDefault="00863B07" w:rsidP="00061FA7">
            <w:pPr>
              <w:jc w:val="center"/>
              <w:rPr>
                <w:b/>
                <w:bCs/>
                <w:sz w:val="20"/>
                <w:lang w:eastAsia="vi-VN"/>
              </w:rPr>
            </w:pPr>
            <w:r w:rsidRPr="0069322E">
              <w:rPr>
                <w:sz w:val="20"/>
              </w:rPr>
              <w:t>08</w:t>
            </w:r>
          </w:p>
        </w:tc>
        <w:tc>
          <w:tcPr>
            <w:tcW w:w="1100" w:type="dxa"/>
            <w:vAlign w:val="center"/>
          </w:tcPr>
          <w:p w14:paraId="22DD8D2C" w14:textId="77777777" w:rsidR="00863B07" w:rsidRPr="0069322E" w:rsidRDefault="00863B07" w:rsidP="00061FA7">
            <w:pPr>
              <w:jc w:val="center"/>
              <w:rPr>
                <w:sz w:val="20"/>
              </w:rPr>
            </w:pPr>
            <w:r w:rsidRPr="009976DB">
              <w:rPr>
                <w:b/>
                <w:bCs/>
                <w:sz w:val="20"/>
                <w:lang w:eastAsia="vi-VN"/>
              </w:rPr>
              <w:t>MEK-6510K Celltacα</w:t>
            </w:r>
            <w:r>
              <w:rPr>
                <w:b/>
                <w:bCs/>
                <w:sz w:val="20"/>
                <w:lang w:eastAsia="vi-VN"/>
              </w:rPr>
              <w:t xml:space="preserve"> (Nihon KOhden)</w:t>
            </w:r>
            <w:r w:rsidRPr="009976DB">
              <w:rPr>
                <w:b/>
                <w:bCs/>
                <w:sz w:val="20"/>
                <w:lang w:eastAsia="vi-VN"/>
              </w:rPr>
              <w:t xml:space="preserve"> </w:t>
            </w:r>
          </w:p>
        </w:tc>
      </w:tr>
      <w:tr w:rsidR="00863B07" w:rsidRPr="00CD3456" w14:paraId="7D067EEA" w14:textId="77777777" w:rsidTr="00061FA7">
        <w:trPr>
          <w:trHeight w:val="599"/>
          <w:jc w:val="center"/>
        </w:trPr>
        <w:tc>
          <w:tcPr>
            <w:tcW w:w="651" w:type="dxa"/>
            <w:noWrap/>
            <w:vAlign w:val="center"/>
          </w:tcPr>
          <w:p w14:paraId="77853887" w14:textId="77777777" w:rsidR="00863B07" w:rsidRDefault="00863B07" w:rsidP="00061FA7">
            <w:pPr>
              <w:jc w:val="center"/>
              <w:rPr>
                <w:sz w:val="20"/>
                <w:lang w:eastAsia="vi-VN"/>
              </w:rPr>
            </w:pPr>
            <w:r>
              <w:rPr>
                <w:sz w:val="20"/>
                <w:lang w:eastAsia="vi-VN"/>
              </w:rPr>
              <w:t>2.3</w:t>
            </w:r>
          </w:p>
        </w:tc>
        <w:tc>
          <w:tcPr>
            <w:tcW w:w="876" w:type="dxa"/>
            <w:noWrap/>
            <w:vAlign w:val="center"/>
          </w:tcPr>
          <w:p w14:paraId="4CD698CA" w14:textId="77777777" w:rsidR="00863B07" w:rsidRDefault="00863B07" w:rsidP="00061FA7">
            <w:pPr>
              <w:jc w:val="center"/>
              <w:rPr>
                <w:b/>
                <w:bCs/>
                <w:sz w:val="20"/>
                <w:lang w:eastAsia="vi-VN"/>
              </w:rPr>
            </w:pPr>
          </w:p>
        </w:tc>
        <w:tc>
          <w:tcPr>
            <w:tcW w:w="1134" w:type="dxa"/>
            <w:vAlign w:val="center"/>
          </w:tcPr>
          <w:p w14:paraId="5FB06010" w14:textId="77777777" w:rsidR="00863B07" w:rsidRDefault="00863B07" w:rsidP="00061FA7">
            <w:pPr>
              <w:rPr>
                <w:sz w:val="20"/>
                <w:lang w:eastAsia="vi-VN"/>
              </w:rPr>
            </w:pPr>
          </w:p>
        </w:tc>
        <w:tc>
          <w:tcPr>
            <w:tcW w:w="1134" w:type="dxa"/>
            <w:vAlign w:val="center"/>
          </w:tcPr>
          <w:p w14:paraId="0C62281F" w14:textId="77777777" w:rsidR="00863B07" w:rsidRPr="009976DB" w:rsidRDefault="00863B07" w:rsidP="00061FA7">
            <w:pPr>
              <w:rPr>
                <w:sz w:val="20"/>
                <w:lang w:eastAsia="vi-VN"/>
              </w:rPr>
            </w:pPr>
            <w:r w:rsidRPr="009976DB">
              <w:rPr>
                <w:bCs/>
                <w:color w:val="222222"/>
                <w:sz w:val="20"/>
              </w:rPr>
              <w:t>Hóa chất rửa dùng cho máy phân tích huyết học</w:t>
            </w:r>
          </w:p>
        </w:tc>
        <w:tc>
          <w:tcPr>
            <w:tcW w:w="3260" w:type="dxa"/>
            <w:vAlign w:val="center"/>
          </w:tcPr>
          <w:p w14:paraId="2CA9ECBA"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xml:space="preserve">Dùng làm chất rửa cho máy phân tích huyết học: </w:t>
            </w:r>
          </w:p>
          <w:p w14:paraId="0DEB6FA5"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Chất lỏng, màu xanh lá, mùi nhẹ, tan trong nước</w:t>
            </w:r>
          </w:p>
          <w:p w14:paraId="1C26B8C7"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Độ pH: 7,7 đến 8,3</w:t>
            </w:r>
          </w:p>
          <w:p w14:paraId="148B67BD"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lastRenderedPageBreak/>
              <w:t>- Thành phần: Polyoxyethylene tridecylether: 0.049%</w:t>
            </w:r>
          </w:p>
          <w:p w14:paraId="43176F0A"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xml:space="preserve">- Độ ổn định sau khi mở nắp: 180 ngày </w:t>
            </w:r>
          </w:p>
          <w:p w14:paraId="750BA101" w14:textId="77777777" w:rsidR="00863B07" w:rsidRPr="0069322E" w:rsidRDefault="00863B07" w:rsidP="00863B07">
            <w:pPr>
              <w:jc w:val="left"/>
              <w:rPr>
                <w:sz w:val="20"/>
                <w:lang w:eastAsia="vi-VN"/>
              </w:rPr>
            </w:pPr>
            <w:r w:rsidRPr="0069322E">
              <w:rPr>
                <w:bCs/>
                <w:color w:val="222222"/>
                <w:sz w:val="20"/>
              </w:rPr>
              <w:t xml:space="preserve">- Đạt tiêu chuẩn: CE hoặc FDA và có 01 CFS </w:t>
            </w:r>
          </w:p>
        </w:tc>
        <w:tc>
          <w:tcPr>
            <w:tcW w:w="851" w:type="dxa"/>
            <w:vAlign w:val="center"/>
          </w:tcPr>
          <w:p w14:paraId="5A2CA36A" w14:textId="77777777" w:rsidR="00863B07" w:rsidRPr="0069322E" w:rsidRDefault="00863B07" w:rsidP="00061FA7">
            <w:pPr>
              <w:jc w:val="center"/>
              <w:rPr>
                <w:sz w:val="20"/>
                <w:lang w:eastAsia="vi-VN"/>
              </w:rPr>
            </w:pPr>
            <w:r w:rsidRPr="0069322E">
              <w:rPr>
                <w:sz w:val="20"/>
              </w:rPr>
              <w:lastRenderedPageBreak/>
              <w:t>Can 5L</w:t>
            </w:r>
          </w:p>
        </w:tc>
        <w:tc>
          <w:tcPr>
            <w:tcW w:w="850" w:type="dxa"/>
            <w:vAlign w:val="center"/>
          </w:tcPr>
          <w:p w14:paraId="7D8603AE" w14:textId="77777777" w:rsidR="00863B07" w:rsidRPr="0069322E" w:rsidRDefault="00863B07" w:rsidP="00061FA7">
            <w:pPr>
              <w:jc w:val="center"/>
              <w:rPr>
                <w:b/>
                <w:bCs/>
                <w:sz w:val="20"/>
                <w:lang w:eastAsia="vi-VN"/>
              </w:rPr>
            </w:pPr>
            <w:r w:rsidRPr="0069322E">
              <w:rPr>
                <w:sz w:val="20"/>
              </w:rPr>
              <w:t>14</w:t>
            </w:r>
          </w:p>
        </w:tc>
        <w:tc>
          <w:tcPr>
            <w:tcW w:w="1100" w:type="dxa"/>
            <w:vAlign w:val="center"/>
          </w:tcPr>
          <w:p w14:paraId="194812D0" w14:textId="77777777" w:rsidR="00863B07" w:rsidRPr="0069322E" w:rsidRDefault="00863B07" w:rsidP="00061FA7">
            <w:pPr>
              <w:jc w:val="center"/>
              <w:rPr>
                <w:sz w:val="20"/>
              </w:rPr>
            </w:pPr>
            <w:r w:rsidRPr="009976DB">
              <w:rPr>
                <w:b/>
                <w:bCs/>
                <w:sz w:val="20"/>
                <w:lang w:eastAsia="vi-VN"/>
              </w:rPr>
              <w:t>MEK-6510K Celltacα</w:t>
            </w:r>
            <w:r>
              <w:rPr>
                <w:b/>
                <w:bCs/>
                <w:sz w:val="20"/>
                <w:lang w:eastAsia="vi-VN"/>
              </w:rPr>
              <w:t xml:space="preserve"> (Nihon KOhden)</w:t>
            </w:r>
            <w:r w:rsidRPr="009976DB">
              <w:rPr>
                <w:b/>
                <w:bCs/>
                <w:sz w:val="20"/>
                <w:lang w:eastAsia="vi-VN"/>
              </w:rPr>
              <w:t xml:space="preserve"> </w:t>
            </w:r>
          </w:p>
        </w:tc>
      </w:tr>
      <w:tr w:rsidR="00863B07" w:rsidRPr="00CD3456" w14:paraId="6F79147C" w14:textId="77777777" w:rsidTr="00061FA7">
        <w:trPr>
          <w:trHeight w:val="599"/>
          <w:jc w:val="center"/>
        </w:trPr>
        <w:tc>
          <w:tcPr>
            <w:tcW w:w="651" w:type="dxa"/>
            <w:noWrap/>
            <w:vAlign w:val="center"/>
          </w:tcPr>
          <w:p w14:paraId="7D3FD08A" w14:textId="77777777" w:rsidR="00863B07" w:rsidRDefault="00863B07" w:rsidP="00061FA7">
            <w:pPr>
              <w:jc w:val="center"/>
              <w:rPr>
                <w:sz w:val="20"/>
                <w:lang w:eastAsia="vi-VN"/>
              </w:rPr>
            </w:pPr>
            <w:r>
              <w:rPr>
                <w:sz w:val="20"/>
                <w:lang w:eastAsia="vi-VN"/>
              </w:rPr>
              <w:t>2.4</w:t>
            </w:r>
          </w:p>
        </w:tc>
        <w:tc>
          <w:tcPr>
            <w:tcW w:w="876" w:type="dxa"/>
            <w:noWrap/>
            <w:vAlign w:val="center"/>
          </w:tcPr>
          <w:p w14:paraId="14302FF4" w14:textId="77777777" w:rsidR="00863B07" w:rsidRDefault="00863B07" w:rsidP="00061FA7">
            <w:pPr>
              <w:jc w:val="center"/>
              <w:rPr>
                <w:b/>
                <w:bCs/>
                <w:sz w:val="20"/>
                <w:lang w:eastAsia="vi-VN"/>
              </w:rPr>
            </w:pPr>
          </w:p>
        </w:tc>
        <w:tc>
          <w:tcPr>
            <w:tcW w:w="1134" w:type="dxa"/>
            <w:vAlign w:val="center"/>
          </w:tcPr>
          <w:p w14:paraId="17AC53D3" w14:textId="77777777" w:rsidR="00863B07" w:rsidRDefault="00863B07" w:rsidP="00061FA7">
            <w:pPr>
              <w:rPr>
                <w:sz w:val="20"/>
                <w:lang w:eastAsia="vi-VN"/>
              </w:rPr>
            </w:pPr>
          </w:p>
        </w:tc>
        <w:tc>
          <w:tcPr>
            <w:tcW w:w="1134" w:type="dxa"/>
            <w:vAlign w:val="center"/>
          </w:tcPr>
          <w:p w14:paraId="49187143" w14:textId="77777777" w:rsidR="00863B07" w:rsidRPr="009976DB" w:rsidRDefault="00863B07" w:rsidP="00061FA7">
            <w:pPr>
              <w:rPr>
                <w:sz w:val="20"/>
                <w:lang w:eastAsia="vi-VN"/>
              </w:rPr>
            </w:pPr>
            <w:r w:rsidRPr="009976DB">
              <w:rPr>
                <w:bCs/>
                <w:color w:val="222222"/>
                <w:sz w:val="20"/>
              </w:rPr>
              <w:t>Hóa chất rửa dùng cho máy phân tích huyết học loại đậm đặc</w:t>
            </w:r>
          </w:p>
        </w:tc>
        <w:tc>
          <w:tcPr>
            <w:tcW w:w="3260" w:type="dxa"/>
            <w:vAlign w:val="center"/>
          </w:tcPr>
          <w:p w14:paraId="49BDE63D"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Dùng làm chất rửa cho máy phân tích huyết học:</w:t>
            </w:r>
          </w:p>
          <w:p w14:paraId="15369644"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Chất lỏng, màu vàng hoặc vàng-xanh lá, mùi: khó chịu (clo), tan trong nước</w:t>
            </w:r>
          </w:p>
          <w:p w14:paraId="6A2F7BF4"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Độ pH: 10 đến 13</w:t>
            </w:r>
          </w:p>
          <w:p w14:paraId="3AB323E5"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xml:space="preserve"> - Thành phần: Sodium hypoclorit</w:t>
            </w:r>
          </w:p>
          <w:p w14:paraId="0574E362" w14:textId="77777777" w:rsidR="00863B07" w:rsidRPr="0069322E" w:rsidRDefault="00863B07" w:rsidP="00863B07">
            <w:pPr>
              <w:pStyle w:val="TableParagraph"/>
              <w:tabs>
                <w:tab w:val="left" w:pos="348"/>
              </w:tabs>
              <w:jc w:val="left"/>
              <w:rPr>
                <w:bCs/>
                <w:color w:val="222222"/>
                <w:sz w:val="20"/>
                <w:szCs w:val="20"/>
              </w:rPr>
            </w:pPr>
            <w:r w:rsidRPr="0069322E">
              <w:rPr>
                <w:bCs/>
                <w:color w:val="222222"/>
                <w:sz w:val="20"/>
                <w:szCs w:val="20"/>
              </w:rPr>
              <w:t>- Độ ổn định sau khi mở nắp: 90 ngày</w:t>
            </w:r>
          </w:p>
          <w:p w14:paraId="7043DC3F" w14:textId="77777777" w:rsidR="00863B07" w:rsidRPr="0069322E" w:rsidRDefault="00863B07" w:rsidP="00863B07">
            <w:pPr>
              <w:jc w:val="left"/>
              <w:rPr>
                <w:sz w:val="20"/>
                <w:lang w:eastAsia="vi-VN"/>
              </w:rPr>
            </w:pPr>
            <w:r w:rsidRPr="0069322E">
              <w:rPr>
                <w:bCs/>
                <w:color w:val="222222"/>
                <w:sz w:val="20"/>
              </w:rPr>
              <w:t xml:space="preserve">- Đạt tiêu chuẩn: CE hoặc FDA và có 01 CFS </w:t>
            </w:r>
          </w:p>
        </w:tc>
        <w:tc>
          <w:tcPr>
            <w:tcW w:w="851" w:type="dxa"/>
            <w:vAlign w:val="center"/>
          </w:tcPr>
          <w:p w14:paraId="76655F2F" w14:textId="77777777" w:rsidR="00863B07" w:rsidRPr="0069322E" w:rsidRDefault="00863B07" w:rsidP="00061FA7">
            <w:pPr>
              <w:jc w:val="center"/>
              <w:rPr>
                <w:sz w:val="20"/>
                <w:lang w:eastAsia="vi-VN"/>
              </w:rPr>
            </w:pPr>
            <w:r w:rsidRPr="0069322E">
              <w:rPr>
                <w:sz w:val="20"/>
              </w:rPr>
              <w:t>Can 5L</w:t>
            </w:r>
          </w:p>
        </w:tc>
        <w:tc>
          <w:tcPr>
            <w:tcW w:w="850" w:type="dxa"/>
            <w:vAlign w:val="center"/>
          </w:tcPr>
          <w:p w14:paraId="2A01897C" w14:textId="77777777" w:rsidR="00863B07" w:rsidRPr="0069322E" w:rsidRDefault="00863B07" w:rsidP="00061FA7">
            <w:pPr>
              <w:jc w:val="center"/>
              <w:rPr>
                <w:b/>
                <w:bCs/>
                <w:sz w:val="20"/>
                <w:lang w:eastAsia="vi-VN"/>
              </w:rPr>
            </w:pPr>
            <w:r w:rsidRPr="0069322E">
              <w:rPr>
                <w:sz w:val="20"/>
              </w:rPr>
              <w:t>01</w:t>
            </w:r>
          </w:p>
        </w:tc>
        <w:tc>
          <w:tcPr>
            <w:tcW w:w="1100" w:type="dxa"/>
            <w:vAlign w:val="center"/>
          </w:tcPr>
          <w:p w14:paraId="180413D2" w14:textId="77777777" w:rsidR="00863B07" w:rsidRPr="0069322E" w:rsidRDefault="00863B07" w:rsidP="00061FA7">
            <w:pPr>
              <w:jc w:val="center"/>
              <w:rPr>
                <w:sz w:val="20"/>
              </w:rPr>
            </w:pPr>
            <w:r w:rsidRPr="009976DB">
              <w:rPr>
                <w:b/>
                <w:bCs/>
                <w:sz w:val="20"/>
                <w:lang w:eastAsia="vi-VN"/>
              </w:rPr>
              <w:t>MEK-6510K Celltacα</w:t>
            </w:r>
            <w:r>
              <w:rPr>
                <w:b/>
                <w:bCs/>
                <w:sz w:val="20"/>
                <w:lang w:eastAsia="vi-VN"/>
              </w:rPr>
              <w:t xml:space="preserve"> (Nihon KOhden)</w:t>
            </w:r>
            <w:r w:rsidRPr="009976DB">
              <w:rPr>
                <w:b/>
                <w:bCs/>
                <w:sz w:val="20"/>
                <w:lang w:eastAsia="vi-VN"/>
              </w:rPr>
              <w:t xml:space="preserve"> </w:t>
            </w:r>
          </w:p>
        </w:tc>
      </w:tr>
      <w:tr w:rsidR="00863B07" w:rsidRPr="00CD3456" w14:paraId="0F3A4A63" w14:textId="77777777" w:rsidTr="00061FA7">
        <w:trPr>
          <w:trHeight w:val="599"/>
          <w:jc w:val="center"/>
        </w:trPr>
        <w:tc>
          <w:tcPr>
            <w:tcW w:w="651" w:type="dxa"/>
            <w:noWrap/>
            <w:vAlign w:val="center"/>
          </w:tcPr>
          <w:p w14:paraId="1313D7E7" w14:textId="77777777" w:rsidR="00863B07" w:rsidRDefault="00863B07" w:rsidP="00061FA7">
            <w:pPr>
              <w:jc w:val="center"/>
              <w:rPr>
                <w:sz w:val="20"/>
                <w:lang w:eastAsia="vi-VN"/>
              </w:rPr>
            </w:pPr>
            <w:r>
              <w:rPr>
                <w:sz w:val="20"/>
                <w:lang w:eastAsia="vi-VN"/>
              </w:rPr>
              <w:t>2,5</w:t>
            </w:r>
          </w:p>
        </w:tc>
        <w:tc>
          <w:tcPr>
            <w:tcW w:w="876" w:type="dxa"/>
            <w:noWrap/>
            <w:vAlign w:val="center"/>
          </w:tcPr>
          <w:p w14:paraId="7B4E8052" w14:textId="77777777" w:rsidR="00863B07" w:rsidRDefault="00863B07" w:rsidP="00061FA7">
            <w:pPr>
              <w:jc w:val="center"/>
              <w:rPr>
                <w:b/>
                <w:bCs/>
                <w:sz w:val="20"/>
                <w:lang w:eastAsia="vi-VN"/>
              </w:rPr>
            </w:pPr>
          </w:p>
        </w:tc>
        <w:tc>
          <w:tcPr>
            <w:tcW w:w="1134" w:type="dxa"/>
            <w:vAlign w:val="center"/>
          </w:tcPr>
          <w:p w14:paraId="0D9DCDF7" w14:textId="77777777" w:rsidR="00863B07" w:rsidRDefault="00863B07" w:rsidP="00061FA7">
            <w:pPr>
              <w:rPr>
                <w:sz w:val="20"/>
                <w:lang w:eastAsia="vi-VN"/>
              </w:rPr>
            </w:pPr>
          </w:p>
        </w:tc>
        <w:tc>
          <w:tcPr>
            <w:tcW w:w="1134" w:type="dxa"/>
            <w:vAlign w:val="center"/>
          </w:tcPr>
          <w:p w14:paraId="79F34016" w14:textId="77777777" w:rsidR="00863B07" w:rsidRPr="009976DB" w:rsidRDefault="00863B07" w:rsidP="00061FA7">
            <w:pPr>
              <w:rPr>
                <w:sz w:val="20"/>
                <w:lang w:eastAsia="vi-VN"/>
              </w:rPr>
            </w:pPr>
            <w:r w:rsidRPr="009976DB">
              <w:rPr>
                <w:color w:val="000000"/>
                <w:sz w:val="20"/>
              </w:rPr>
              <w:t>Hóa chất dùng cho máy phân tích huyết học để nội kiểm mức trung bình</w:t>
            </w:r>
          </w:p>
        </w:tc>
        <w:tc>
          <w:tcPr>
            <w:tcW w:w="3260" w:type="dxa"/>
            <w:vAlign w:val="bottom"/>
          </w:tcPr>
          <w:p w14:paraId="03EE9783" w14:textId="77777777" w:rsidR="00863B07" w:rsidRPr="0069322E" w:rsidRDefault="00863B07" w:rsidP="00863B07">
            <w:pPr>
              <w:jc w:val="left"/>
              <w:rPr>
                <w:sz w:val="20"/>
                <w:lang w:eastAsia="vi-VN"/>
              </w:rPr>
            </w:pPr>
            <w:r w:rsidRPr="0069322E">
              <w:rPr>
                <w:color w:val="000000"/>
                <w:sz w:val="20"/>
              </w:rPr>
              <w:t>Dùng để kiểm chuẩn máy phân tích huyết học:</w:t>
            </w:r>
            <w:r w:rsidRPr="0069322E">
              <w:rPr>
                <w:color w:val="000000"/>
                <w:sz w:val="20"/>
              </w:rPr>
              <w:br/>
              <w:t>- Chất lỏng, màu đỏ sẫm, tan trong nước</w:t>
            </w:r>
            <w:r w:rsidRPr="0069322E">
              <w:rPr>
                <w:color w:val="000000"/>
                <w:sz w:val="20"/>
              </w:rPr>
              <w:br/>
              <w:t>- Độ pH: 7.0 tới 9.0</w:t>
            </w:r>
            <w:r w:rsidRPr="0069322E">
              <w:rPr>
                <w:color w:val="000000"/>
                <w:sz w:val="20"/>
              </w:rPr>
              <w:br/>
              <w:t>- Thành phần: Hồng cầu người, bạch cầu mô phỏng và tiểu cầu của động vật có vú</w:t>
            </w:r>
            <w:r w:rsidRPr="0069322E">
              <w:rPr>
                <w:color w:val="000000"/>
                <w:sz w:val="20"/>
              </w:rPr>
              <w:br/>
              <w:t>- Độ ổn định sau khi mở nắp: 14 ngày</w:t>
            </w:r>
            <w:r w:rsidRPr="0069322E">
              <w:rPr>
                <w:color w:val="000000"/>
                <w:sz w:val="20"/>
              </w:rPr>
              <w:br/>
            </w:r>
            <w:r w:rsidRPr="0069322E">
              <w:rPr>
                <w:bCs/>
                <w:color w:val="222222"/>
                <w:sz w:val="20"/>
              </w:rPr>
              <w:t xml:space="preserve">- Đạt tiêu chuẩn: CE hoặc FDA và có 01 CFS </w:t>
            </w:r>
          </w:p>
        </w:tc>
        <w:tc>
          <w:tcPr>
            <w:tcW w:w="851" w:type="dxa"/>
            <w:vAlign w:val="center"/>
          </w:tcPr>
          <w:p w14:paraId="73373874" w14:textId="77777777" w:rsidR="00863B07" w:rsidRPr="0069322E" w:rsidRDefault="00863B07" w:rsidP="00061FA7">
            <w:pPr>
              <w:jc w:val="center"/>
              <w:rPr>
                <w:sz w:val="20"/>
                <w:lang w:eastAsia="vi-VN"/>
              </w:rPr>
            </w:pPr>
            <w:r w:rsidRPr="0069322E">
              <w:rPr>
                <w:color w:val="000000"/>
                <w:sz w:val="20"/>
              </w:rPr>
              <w:t>Lọ 2ml</w:t>
            </w:r>
          </w:p>
        </w:tc>
        <w:tc>
          <w:tcPr>
            <w:tcW w:w="850" w:type="dxa"/>
            <w:vAlign w:val="center"/>
          </w:tcPr>
          <w:p w14:paraId="287DBF5D" w14:textId="77777777" w:rsidR="00863B07" w:rsidRPr="0069322E" w:rsidRDefault="00863B07" w:rsidP="00061FA7">
            <w:pPr>
              <w:jc w:val="center"/>
              <w:rPr>
                <w:b/>
                <w:bCs/>
                <w:sz w:val="20"/>
                <w:lang w:eastAsia="vi-VN"/>
              </w:rPr>
            </w:pPr>
            <w:r w:rsidRPr="0069322E">
              <w:rPr>
                <w:sz w:val="20"/>
              </w:rPr>
              <w:t>02</w:t>
            </w:r>
          </w:p>
        </w:tc>
        <w:tc>
          <w:tcPr>
            <w:tcW w:w="1100" w:type="dxa"/>
            <w:vAlign w:val="center"/>
          </w:tcPr>
          <w:p w14:paraId="7B232B1F" w14:textId="77777777" w:rsidR="00863B07" w:rsidRPr="0069322E" w:rsidRDefault="00863B07" w:rsidP="00061FA7">
            <w:pPr>
              <w:jc w:val="center"/>
              <w:rPr>
                <w:sz w:val="20"/>
              </w:rPr>
            </w:pPr>
            <w:r w:rsidRPr="009976DB">
              <w:rPr>
                <w:b/>
                <w:bCs/>
                <w:sz w:val="20"/>
                <w:lang w:eastAsia="vi-VN"/>
              </w:rPr>
              <w:t>MEK-6510K Celltacα</w:t>
            </w:r>
            <w:r>
              <w:rPr>
                <w:b/>
                <w:bCs/>
                <w:sz w:val="20"/>
                <w:lang w:eastAsia="vi-VN"/>
              </w:rPr>
              <w:t xml:space="preserve"> (Nihon KOhden)</w:t>
            </w:r>
            <w:r w:rsidRPr="009976DB">
              <w:rPr>
                <w:b/>
                <w:bCs/>
                <w:sz w:val="20"/>
                <w:lang w:eastAsia="vi-VN"/>
              </w:rPr>
              <w:t xml:space="preserve"> </w:t>
            </w:r>
          </w:p>
        </w:tc>
      </w:tr>
      <w:tr w:rsidR="00863B07" w:rsidRPr="00CD3456" w14:paraId="41262FE1" w14:textId="77777777" w:rsidTr="00061FA7">
        <w:trPr>
          <w:trHeight w:val="599"/>
          <w:jc w:val="center"/>
        </w:trPr>
        <w:tc>
          <w:tcPr>
            <w:tcW w:w="651" w:type="dxa"/>
            <w:noWrap/>
            <w:vAlign w:val="center"/>
          </w:tcPr>
          <w:p w14:paraId="4A4470D6" w14:textId="77777777" w:rsidR="00863B07" w:rsidRDefault="00863B07" w:rsidP="00061FA7">
            <w:pPr>
              <w:jc w:val="center"/>
              <w:rPr>
                <w:sz w:val="20"/>
                <w:lang w:eastAsia="vi-VN"/>
              </w:rPr>
            </w:pPr>
            <w:r>
              <w:rPr>
                <w:sz w:val="20"/>
                <w:lang w:eastAsia="vi-VN"/>
              </w:rPr>
              <w:t>2.6</w:t>
            </w:r>
          </w:p>
        </w:tc>
        <w:tc>
          <w:tcPr>
            <w:tcW w:w="876" w:type="dxa"/>
            <w:noWrap/>
            <w:vAlign w:val="center"/>
          </w:tcPr>
          <w:p w14:paraId="3EA99669" w14:textId="77777777" w:rsidR="00863B07" w:rsidRDefault="00863B07" w:rsidP="00061FA7">
            <w:pPr>
              <w:jc w:val="center"/>
              <w:rPr>
                <w:b/>
                <w:bCs/>
                <w:sz w:val="20"/>
                <w:lang w:eastAsia="vi-VN"/>
              </w:rPr>
            </w:pPr>
          </w:p>
        </w:tc>
        <w:tc>
          <w:tcPr>
            <w:tcW w:w="1134" w:type="dxa"/>
            <w:vAlign w:val="center"/>
          </w:tcPr>
          <w:p w14:paraId="0AFC1DBA" w14:textId="77777777" w:rsidR="00863B07" w:rsidRDefault="00863B07" w:rsidP="00061FA7">
            <w:pPr>
              <w:rPr>
                <w:sz w:val="20"/>
                <w:lang w:eastAsia="vi-VN"/>
              </w:rPr>
            </w:pPr>
          </w:p>
        </w:tc>
        <w:tc>
          <w:tcPr>
            <w:tcW w:w="1134" w:type="dxa"/>
            <w:vAlign w:val="center"/>
          </w:tcPr>
          <w:p w14:paraId="050D2B69" w14:textId="77777777" w:rsidR="00863B07" w:rsidRPr="009976DB" w:rsidRDefault="00863B07" w:rsidP="00061FA7">
            <w:pPr>
              <w:rPr>
                <w:sz w:val="20"/>
                <w:lang w:eastAsia="vi-VN"/>
              </w:rPr>
            </w:pPr>
            <w:r w:rsidRPr="009976DB">
              <w:rPr>
                <w:color w:val="000000"/>
                <w:sz w:val="20"/>
              </w:rPr>
              <w:t>Hóa chất dùng cho máy phân tích huyết học để nội kiểm mức thấp</w:t>
            </w:r>
          </w:p>
        </w:tc>
        <w:tc>
          <w:tcPr>
            <w:tcW w:w="3260" w:type="dxa"/>
            <w:vAlign w:val="bottom"/>
          </w:tcPr>
          <w:p w14:paraId="65470F84" w14:textId="77777777" w:rsidR="00863B07" w:rsidRPr="0069322E" w:rsidRDefault="00863B07" w:rsidP="00863B07">
            <w:pPr>
              <w:jc w:val="left"/>
              <w:rPr>
                <w:sz w:val="20"/>
                <w:lang w:eastAsia="vi-VN"/>
              </w:rPr>
            </w:pPr>
            <w:r w:rsidRPr="0069322E">
              <w:rPr>
                <w:color w:val="000000"/>
                <w:sz w:val="20"/>
              </w:rPr>
              <w:t>Dùng để kiểm chuẩn máy phân tích huyết học:</w:t>
            </w:r>
            <w:r w:rsidRPr="0069322E">
              <w:rPr>
                <w:color w:val="000000"/>
                <w:sz w:val="20"/>
              </w:rPr>
              <w:br/>
              <w:t>- Chất lỏng, màu đỏ sẫm, tan trong nước</w:t>
            </w:r>
            <w:r w:rsidRPr="0069322E">
              <w:rPr>
                <w:color w:val="000000"/>
                <w:sz w:val="20"/>
              </w:rPr>
              <w:br/>
              <w:t>- Độ pH: 7.0 tới 9.0</w:t>
            </w:r>
            <w:r w:rsidRPr="0069322E">
              <w:rPr>
                <w:color w:val="000000"/>
                <w:sz w:val="20"/>
              </w:rPr>
              <w:br/>
              <w:t>- Thành phần: Hồng cầu người, bạch cầu mô phỏng và tiểu cầu của động vật có vú</w:t>
            </w:r>
            <w:r w:rsidRPr="0069322E">
              <w:rPr>
                <w:color w:val="000000"/>
                <w:sz w:val="20"/>
              </w:rPr>
              <w:br/>
              <w:t>- Độ ổn định sau khi mở nắp: 14 ngày</w:t>
            </w:r>
            <w:r w:rsidRPr="0069322E">
              <w:rPr>
                <w:color w:val="000000"/>
                <w:sz w:val="20"/>
              </w:rPr>
              <w:br/>
            </w:r>
            <w:r w:rsidRPr="0069322E">
              <w:rPr>
                <w:bCs/>
                <w:color w:val="222222"/>
                <w:sz w:val="20"/>
              </w:rPr>
              <w:t xml:space="preserve">- Đạt tiêu chuẩn: CE hoặc FDA và có 01 CFS </w:t>
            </w:r>
          </w:p>
        </w:tc>
        <w:tc>
          <w:tcPr>
            <w:tcW w:w="851" w:type="dxa"/>
            <w:vAlign w:val="center"/>
          </w:tcPr>
          <w:p w14:paraId="722B39E1" w14:textId="77777777" w:rsidR="00863B07" w:rsidRPr="0069322E" w:rsidRDefault="00863B07" w:rsidP="00061FA7">
            <w:pPr>
              <w:jc w:val="center"/>
              <w:rPr>
                <w:sz w:val="20"/>
                <w:lang w:eastAsia="vi-VN"/>
              </w:rPr>
            </w:pPr>
            <w:r w:rsidRPr="0069322E">
              <w:rPr>
                <w:color w:val="000000"/>
                <w:sz w:val="20"/>
              </w:rPr>
              <w:t>Lọ 2ml</w:t>
            </w:r>
          </w:p>
        </w:tc>
        <w:tc>
          <w:tcPr>
            <w:tcW w:w="850" w:type="dxa"/>
            <w:vAlign w:val="center"/>
          </w:tcPr>
          <w:p w14:paraId="7F586166" w14:textId="77777777" w:rsidR="00863B07" w:rsidRPr="0069322E" w:rsidRDefault="00863B07" w:rsidP="00061FA7">
            <w:pPr>
              <w:jc w:val="center"/>
              <w:rPr>
                <w:b/>
                <w:bCs/>
                <w:sz w:val="20"/>
                <w:lang w:eastAsia="vi-VN"/>
              </w:rPr>
            </w:pPr>
            <w:r w:rsidRPr="0069322E">
              <w:rPr>
                <w:sz w:val="20"/>
              </w:rPr>
              <w:t>02</w:t>
            </w:r>
          </w:p>
        </w:tc>
        <w:tc>
          <w:tcPr>
            <w:tcW w:w="1100" w:type="dxa"/>
            <w:vAlign w:val="center"/>
          </w:tcPr>
          <w:p w14:paraId="7C9D7F36" w14:textId="77777777" w:rsidR="00863B07" w:rsidRPr="0069322E" w:rsidRDefault="00863B07" w:rsidP="00061FA7">
            <w:pPr>
              <w:jc w:val="center"/>
              <w:rPr>
                <w:sz w:val="20"/>
              </w:rPr>
            </w:pPr>
            <w:r w:rsidRPr="009976DB">
              <w:rPr>
                <w:b/>
                <w:bCs/>
                <w:sz w:val="20"/>
                <w:lang w:eastAsia="vi-VN"/>
              </w:rPr>
              <w:t>MEK-6510K Celltacα</w:t>
            </w:r>
            <w:r>
              <w:rPr>
                <w:b/>
                <w:bCs/>
                <w:sz w:val="20"/>
                <w:lang w:eastAsia="vi-VN"/>
              </w:rPr>
              <w:t xml:space="preserve"> (Nihon KOhden)</w:t>
            </w:r>
            <w:r w:rsidRPr="009976DB">
              <w:rPr>
                <w:b/>
                <w:bCs/>
                <w:sz w:val="20"/>
                <w:lang w:eastAsia="vi-VN"/>
              </w:rPr>
              <w:t xml:space="preserve"> </w:t>
            </w:r>
          </w:p>
        </w:tc>
      </w:tr>
      <w:tr w:rsidR="00863B07" w:rsidRPr="00CD3456" w14:paraId="3C3E059A" w14:textId="77777777" w:rsidTr="00061FA7">
        <w:trPr>
          <w:trHeight w:val="599"/>
          <w:jc w:val="center"/>
        </w:trPr>
        <w:tc>
          <w:tcPr>
            <w:tcW w:w="651" w:type="dxa"/>
            <w:noWrap/>
            <w:vAlign w:val="center"/>
          </w:tcPr>
          <w:p w14:paraId="7107AEEA" w14:textId="77777777" w:rsidR="00863B07" w:rsidRDefault="00863B07" w:rsidP="00061FA7">
            <w:pPr>
              <w:jc w:val="center"/>
              <w:rPr>
                <w:sz w:val="20"/>
                <w:lang w:eastAsia="vi-VN"/>
              </w:rPr>
            </w:pPr>
            <w:r>
              <w:rPr>
                <w:sz w:val="20"/>
                <w:lang w:eastAsia="vi-VN"/>
              </w:rPr>
              <w:t>2.7</w:t>
            </w:r>
          </w:p>
        </w:tc>
        <w:tc>
          <w:tcPr>
            <w:tcW w:w="876" w:type="dxa"/>
            <w:noWrap/>
            <w:vAlign w:val="center"/>
          </w:tcPr>
          <w:p w14:paraId="4ECE4197" w14:textId="77777777" w:rsidR="00863B07" w:rsidRDefault="00863B07" w:rsidP="00061FA7">
            <w:pPr>
              <w:jc w:val="center"/>
              <w:rPr>
                <w:b/>
                <w:bCs/>
                <w:sz w:val="20"/>
                <w:lang w:eastAsia="vi-VN"/>
              </w:rPr>
            </w:pPr>
          </w:p>
        </w:tc>
        <w:tc>
          <w:tcPr>
            <w:tcW w:w="1134" w:type="dxa"/>
            <w:vAlign w:val="center"/>
          </w:tcPr>
          <w:p w14:paraId="59B71DFD" w14:textId="77777777" w:rsidR="00863B07" w:rsidRDefault="00863B07" w:rsidP="00061FA7">
            <w:pPr>
              <w:rPr>
                <w:sz w:val="20"/>
                <w:lang w:eastAsia="vi-VN"/>
              </w:rPr>
            </w:pPr>
          </w:p>
        </w:tc>
        <w:tc>
          <w:tcPr>
            <w:tcW w:w="1134" w:type="dxa"/>
            <w:vAlign w:val="center"/>
          </w:tcPr>
          <w:p w14:paraId="61064E79" w14:textId="77777777" w:rsidR="00863B07" w:rsidRPr="009976DB" w:rsidRDefault="00863B07" w:rsidP="00061FA7">
            <w:pPr>
              <w:rPr>
                <w:sz w:val="20"/>
                <w:lang w:eastAsia="vi-VN"/>
              </w:rPr>
            </w:pPr>
            <w:r w:rsidRPr="009976DB">
              <w:rPr>
                <w:color w:val="000000"/>
                <w:sz w:val="20"/>
              </w:rPr>
              <w:t>Hóa chất dùng cho máy phân tích huyết học để nội kiểm mức cao</w:t>
            </w:r>
          </w:p>
        </w:tc>
        <w:tc>
          <w:tcPr>
            <w:tcW w:w="3260" w:type="dxa"/>
            <w:vAlign w:val="bottom"/>
          </w:tcPr>
          <w:p w14:paraId="49FD5072" w14:textId="77777777" w:rsidR="00863B07" w:rsidRPr="0069322E" w:rsidRDefault="00863B07" w:rsidP="00863B07">
            <w:pPr>
              <w:jc w:val="left"/>
              <w:rPr>
                <w:sz w:val="20"/>
                <w:lang w:eastAsia="vi-VN"/>
              </w:rPr>
            </w:pPr>
            <w:r w:rsidRPr="0069322E">
              <w:rPr>
                <w:color w:val="000000"/>
                <w:sz w:val="20"/>
              </w:rPr>
              <w:t xml:space="preserve">Dùng để kiểm chuẩn máy phân tích huyết học: </w:t>
            </w:r>
            <w:r w:rsidRPr="0069322E">
              <w:rPr>
                <w:color w:val="000000"/>
                <w:sz w:val="20"/>
              </w:rPr>
              <w:br/>
              <w:t>- Chất lỏng, màu đỏ sẫm, tan trong nước</w:t>
            </w:r>
            <w:r w:rsidRPr="0069322E">
              <w:rPr>
                <w:color w:val="000000"/>
                <w:sz w:val="20"/>
              </w:rPr>
              <w:br/>
              <w:t>- Độ pH: 7.0 tới 9.0</w:t>
            </w:r>
            <w:r w:rsidRPr="0069322E">
              <w:rPr>
                <w:color w:val="000000"/>
                <w:sz w:val="20"/>
              </w:rPr>
              <w:br/>
              <w:t>- Thành phần: Hồng cầu người, bạch cầu mô phỏng và tiểu cầu của động vật có vú</w:t>
            </w:r>
            <w:r w:rsidRPr="0069322E">
              <w:rPr>
                <w:color w:val="000000"/>
                <w:sz w:val="20"/>
              </w:rPr>
              <w:br/>
              <w:t>- Độ ổn định sau khi mở nắp: 14 ngày</w:t>
            </w:r>
            <w:r w:rsidRPr="0069322E">
              <w:rPr>
                <w:color w:val="000000"/>
                <w:sz w:val="20"/>
              </w:rPr>
              <w:br/>
            </w:r>
            <w:r w:rsidRPr="0069322E">
              <w:rPr>
                <w:bCs/>
                <w:color w:val="222222"/>
                <w:sz w:val="20"/>
              </w:rPr>
              <w:t xml:space="preserve">- Đạt tiêu chuẩn: CE hoặc FDA và có 01 CFS </w:t>
            </w:r>
          </w:p>
        </w:tc>
        <w:tc>
          <w:tcPr>
            <w:tcW w:w="851" w:type="dxa"/>
            <w:vAlign w:val="center"/>
          </w:tcPr>
          <w:p w14:paraId="1604131D" w14:textId="77777777" w:rsidR="00863B07" w:rsidRPr="0069322E" w:rsidRDefault="00863B07" w:rsidP="00061FA7">
            <w:pPr>
              <w:jc w:val="center"/>
              <w:rPr>
                <w:sz w:val="20"/>
                <w:lang w:eastAsia="vi-VN"/>
              </w:rPr>
            </w:pPr>
            <w:r w:rsidRPr="0069322E">
              <w:rPr>
                <w:color w:val="000000"/>
                <w:sz w:val="20"/>
              </w:rPr>
              <w:t>Lọ 2ml</w:t>
            </w:r>
          </w:p>
        </w:tc>
        <w:tc>
          <w:tcPr>
            <w:tcW w:w="850" w:type="dxa"/>
            <w:vAlign w:val="center"/>
          </w:tcPr>
          <w:p w14:paraId="355DF004" w14:textId="77777777" w:rsidR="00863B07" w:rsidRPr="0069322E" w:rsidRDefault="00863B07" w:rsidP="00061FA7">
            <w:pPr>
              <w:jc w:val="center"/>
              <w:rPr>
                <w:b/>
                <w:bCs/>
                <w:sz w:val="20"/>
                <w:lang w:eastAsia="vi-VN"/>
              </w:rPr>
            </w:pPr>
            <w:r w:rsidRPr="0069322E">
              <w:rPr>
                <w:sz w:val="20"/>
              </w:rPr>
              <w:t>02</w:t>
            </w:r>
          </w:p>
        </w:tc>
        <w:tc>
          <w:tcPr>
            <w:tcW w:w="1100" w:type="dxa"/>
            <w:vAlign w:val="center"/>
          </w:tcPr>
          <w:p w14:paraId="6FCD90EF" w14:textId="77777777" w:rsidR="00863B07" w:rsidRPr="0069322E" w:rsidRDefault="00863B07" w:rsidP="00061FA7">
            <w:pPr>
              <w:jc w:val="center"/>
              <w:rPr>
                <w:sz w:val="20"/>
              </w:rPr>
            </w:pPr>
            <w:r w:rsidRPr="009976DB">
              <w:rPr>
                <w:b/>
                <w:bCs/>
                <w:sz w:val="20"/>
                <w:lang w:eastAsia="vi-VN"/>
              </w:rPr>
              <w:t>MEK-6510K Celltacα</w:t>
            </w:r>
            <w:r>
              <w:rPr>
                <w:b/>
                <w:bCs/>
                <w:sz w:val="20"/>
                <w:lang w:eastAsia="vi-VN"/>
              </w:rPr>
              <w:t xml:space="preserve"> (Nihon KOhden)</w:t>
            </w:r>
            <w:r w:rsidRPr="009976DB">
              <w:rPr>
                <w:b/>
                <w:bCs/>
                <w:sz w:val="20"/>
                <w:lang w:eastAsia="vi-VN"/>
              </w:rPr>
              <w:t xml:space="preserve"> </w:t>
            </w:r>
          </w:p>
        </w:tc>
      </w:tr>
      <w:tr w:rsidR="00863B07" w:rsidRPr="00CD3456" w14:paraId="11756901" w14:textId="77777777" w:rsidTr="00061FA7">
        <w:trPr>
          <w:trHeight w:val="311"/>
          <w:jc w:val="center"/>
        </w:trPr>
        <w:tc>
          <w:tcPr>
            <w:tcW w:w="651" w:type="dxa"/>
            <w:noWrap/>
            <w:vAlign w:val="center"/>
          </w:tcPr>
          <w:p w14:paraId="3269CAA0" w14:textId="77777777" w:rsidR="00863B07" w:rsidRDefault="00863B07" w:rsidP="00061FA7">
            <w:pPr>
              <w:jc w:val="center"/>
              <w:rPr>
                <w:sz w:val="20"/>
                <w:lang w:eastAsia="vi-VN"/>
              </w:rPr>
            </w:pPr>
            <w:r>
              <w:rPr>
                <w:sz w:val="20"/>
                <w:lang w:eastAsia="vi-VN"/>
              </w:rPr>
              <w:t>2.8</w:t>
            </w:r>
          </w:p>
        </w:tc>
        <w:tc>
          <w:tcPr>
            <w:tcW w:w="876" w:type="dxa"/>
            <w:noWrap/>
            <w:vAlign w:val="center"/>
          </w:tcPr>
          <w:p w14:paraId="1F8F2243" w14:textId="77777777" w:rsidR="00863B07" w:rsidRDefault="00863B07" w:rsidP="00061FA7">
            <w:pPr>
              <w:jc w:val="center"/>
              <w:rPr>
                <w:b/>
                <w:bCs/>
                <w:sz w:val="20"/>
                <w:lang w:eastAsia="vi-VN"/>
              </w:rPr>
            </w:pPr>
          </w:p>
        </w:tc>
        <w:tc>
          <w:tcPr>
            <w:tcW w:w="1134" w:type="dxa"/>
            <w:vAlign w:val="center"/>
          </w:tcPr>
          <w:p w14:paraId="5122186A" w14:textId="77777777" w:rsidR="00863B07" w:rsidRDefault="00863B07" w:rsidP="00061FA7">
            <w:pPr>
              <w:rPr>
                <w:sz w:val="20"/>
                <w:lang w:eastAsia="vi-VN"/>
              </w:rPr>
            </w:pPr>
          </w:p>
        </w:tc>
        <w:tc>
          <w:tcPr>
            <w:tcW w:w="1134" w:type="dxa"/>
            <w:vAlign w:val="center"/>
          </w:tcPr>
          <w:p w14:paraId="240F7D91" w14:textId="77777777" w:rsidR="00863B07" w:rsidRPr="009976DB" w:rsidRDefault="00863B07" w:rsidP="00061FA7">
            <w:pPr>
              <w:rPr>
                <w:sz w:val="20"/>
                <w:lang w:eastAsia="vi-VN"/>
              </w:rPr>
            </w:pPr>
            <w:r w:rsidRPr="009976DB">
              <w:rPr>
                <w:color w:val="000000"/>
                <w:sz w:val="20"/>
              </w:rPr>
              <w:t>Hóa chất dùng cho máy phân tích huyết học để hiệu chuẩn máy</w:t>
            </w:r>
          </w:p>
        </w:tc>
        <w:tc>
          <w:tcPr>
            <w:tcW w:w="3260" w:type="dxa"/>
            <w:vAlign w:val="center"/>
          </w:tcPr>
          <w:p w14:paraId="0150DC1A" w14:textId="77777777" w:rsidR="00863B07" w:rsidRPr="0069322E" w:rsidRDefault="00863B07" w:rsidP="00863B07">
            <w:pPr>
              <w:jc w:val="left"/>
              <w:rPr>
                <w:sz w:val="20"/>
                <w:lang w:eastAsia="vi-VN"/>
              </w:rPr>
            </w:pPr>
            <w:r w:rsidRPr="0069322E">
              <w:rPr>
                <w:color w:val="000000"/>
                <w:sz w:val="20"/>
              </w:rPr>
              <w:t>Dùng để hiệu chuẩn máy phân tích huyết học</w:t>
            </w:r>
            <w:r w:rsidRPr="0069322E">
              <w:rPr>
                <w:color w:val="000000"/>
                <w:sz w:val="20"/>
              </w:rPr>
              <w:br/>
              <w:t>- Thành phần: Hồng cầu người, bạch cầu mô phỏng và tiểu cầu của động vật có vú</w:t>
            </w:r>
            <w:r w:rsidRPr="0069322E">
              <w:rPr>
                <w:color w:val="000000"/>
                <w:sz w:val="20"/>
              </w:rPr>
              <w:br/>
              <w:t>- Độ ổn định sau khi mở nắp: 7 ngày</w:t>
            </w:r>
            <w:r w:rsidRPr="0069322E">
              <w:rPr>
                <w:color w:val="000000"/>
                <w:sz w:val="20"/>
              </w:rPr>
              <w:br/>
            </w:r>
            <w:r w:rsidRPr="0069322E">
              <w:rPr>
                <w:bCs/>
                <w:color w:val="222222"/>
                <w:sz w:val="20"/>
              </w:rPr>
              <w:t xml:space="preserve">- Đạt tiêu chuẩn: CE hoặc FDA và có 01 CFS </w:t>
            </w:r>
          </w:p>
        </w:tc>
        <w:tc>
          <w:tcPr>
            <w:tcW w:w="851" w:type="dxa"/>
            <w:vAlign w:val="center"/>
          </w:tcPr>
          <w:p w14:paraId="16187C4F" w14:textId="77777777" w:rsidR="00863B07" w:rsidRPr="0069322E" w:rsidRDefault="00863B07" w:rsidP="00061FA7">
            <w:pPr>
              <w:jc w:val="center"/>
              <w:rPr>
                <w:sz w:val="20"/>
                <w:lang w:eastAsia="vi-VN"/>
              </w:rPr>
            </w:pPr>
            <w:r w:rsidRPr="0069322E">
              <w:rPr>
                <w:color w:val="000000"/>
                <w:sz w:val="20"/>
              </w:rPr>
              <w:t>Lọ 2ml</w:t>
            </w:r>
          </w:p>
        </w:tc>
        <w:tc>
          <w:tcPr>
            <w:tcW w:w="850" w:type="dxa"/>
            <w:vAlign w:val="center"/>
          </w:tcPr>
          <w:p w14:paraId="44659248" w14:textId="77777777" w:rsidR="00863B07" w:rsidRPr="0069322E" w:rsidRDefault="00863B07" w:rsidP="00061FA7">
            <w:pPr>
              <w:jc w:val="center"/>
              <w:rPr>
                <w:b/>
                <w:bCs/>
                <w:sz w:val="20"/>
                <w:lang w:eastAsia="vi-VN"/>
              </w:rPr>
            </w:pPr>
            <w:r w:rsidRPr="0069322E">
              <w:rPr>
                <w:sz w:val="20"/>
              </w:rPr>
              <w:t>02</w:t>
            </w:r>
          </w:p>
        </w:tc>
        <w:tc>
          <w:tcPr>
            <w:tcW w:w="1100" w:type="dxa"/>
            <w:vAlign w:val="center"/>
          </w:tcPr>
          <w:p w14:paraId="07A9A040" w14:textId="77777777" w:rsidR="00863B07" w:rsidRPr="0069322E" w:rsidRDefault="00863B07" w:rsidP="00061FA7">
            <w:pPr>
              <w:jc w:val="center"/>
              <w:rPr>
                <w:sz w:val="20"/>
              </w:rPr>
            </w:pPr>
            <w:r w:rsidRPr="009976DB">
              <w:rPr>
                <w:b/>
                <w:bCs/>
                <w:sz w:val="20"/>
                <w:lang w:eastAsia="vi-VN"/>
              </w:rPr>
              <w:t>MEK-6510K Celltacα</w:t>
            </w:r>
            <w:r>
              <w:rPr>
                <w:b/>
                <w:bCs/>
                <w:sz w:val="20"/>
                <w:lang w:eastAsia="vi-VN"/>
              </w:rPr>
              <w:t xml:space="preserve"> (Nihon KOhden)</w:t>
            </w:r>
            <w:r w:rsidRPr="009976DB">
              <w:rPr>
                <w:b/>
                <w:bCs/>
                <w:sz w:val="20"/>
                <w:lang w:eastAsia="vi-VN"/>
              </w:rPr>
              <w:t xml:space="preserve"> </w:t>
            </w:r>
          </w:p>
        </w:tc>
      </w:tr>
    </w:tbl>
    <w:p w14:paraId="2B792388" w14:textId="77777777" w:rsidR="004F700B" w:rsidRDefault="00931940" w:rsidP="005A7349">
      <w:pPr>
        <w:widowControl w:val="0"/>
        <w:spacing w:line="264" w:lineRule="auto"/>
        <w:ind w:firstLine="709"/>
        <w:rPr>
          <w:sz w:val="28"/>
          <w:szCs w:val="28"/>
        </w:rPr>
      </w:pPr>
      <w:r w:rsidRPr="00060A04">
        <w:rPr>
          <w:sz w:val="28"/>
          <w:szCs w:val="28"/>
        </w:rPr>
        <w:lastRenderedPageBreak/>
        <w:t>- Toàn bộ các hàng hóa phải mới 100%, có nguồn gốc rõ ràng và hợp pháp;</w:t>
      </w:r>
    </w:p>
    <w:p w14:paraId="4BB02211" w14:textId="4322E16C" w:rsidR="00B22B71" w:rsidRPr="00B22B71" w:rsidRDefault="00B22B71" w:rsidP="00EF6482">
      <w:pPr>
        <w:widowControl w:val="0"/>
        <w:spacing w:line="264" w:lineRule="auto"/>
        <w:ind w:firstLine="709"/>
        <w:rPr>
          <w:sz w:val="28"/>
          <w:szCs w:val="28"/>
        </w:rPr>
      </w:pPr>
      <w:r>
        <w:rPr>
          <w:sz w:val="28"/>
          <w:szCs w:val="28"/>
        </w:rPr>
        <w:t xml:space="preserve">- </w:t>
      </w:r>
      <w:r w:rsidRPr="00B22B71">
        <w:rPr>
          <w:sz w:val="28"/>
          <w:szCs w:val="28"/>
        </w:rPr>
        <w:t xml:space="preserve">Hạn sử dụng còn lại của hàng hóa trúng thầu tính từ thời điểm cung ứng cho cơ sở y tế phải bảo đảm tối thiểu còn: </w:t>
      </w:r>
    </w:p>
    <w:p w14:paraId="3F17B96B" w14:textId="77777777" w:rsidR="00B22B71" w:rsidRPr="00B22B71" w:rsidRDefault="00B22B71" w:rsidP="005A7349">
      <w:pPr>
        <w:widowControl w:val="0"/>
        <w:spacing w:line="276" w:lineRule="auto"/>
        <w:ind w:firstLine="709"/>
        <w:rPr>
          <w:sz w:val="28"/>
          <w:szCs w:val="28"/>
        </w:rPr>
      </w:pPr>
      <w:r w:rsidRPr="00B22B71">
        <w:rPr>
          <w:sz w:val="28"/>
          <w:szCs w:val="28"/>
        </w:rPr>
        <w:t>+ ≥ 18 tháng đối với các mặt hàng có hạn dùng từ 36 tháng trở lên.</w:t>
      </w:r>
    </w:p>
    <w:p w14:paraId="0C310881" w14:textId="77777777" w:rsidR="00B22B71" w:rsidRPr="00B22B71" w:rsidRDefault="00B22B71" w:rsidP="005A7349">
      <w:pPr>
        <w:widowControl w:val="0"/>
        <w:spacing w:line="276" w:lineRule="auto"/>
        <w:ind w:firstLine="709"/>
        <w:rPr>
          <w:sz w:val="28"/>
          <w:szCs w:val="28"/>
        </w:rPr>
      </w:pPr>
      <w:r w:rsidRPr="00B22B71">
        <w:rPr>
          <w:sz w:val="28"/>
          <w:szCs w:val="28"/>
        </w:rPr>
        <w:t>+ ≥ 10 tháng đối với các mặt hàng có hạn dùng từ ≥ 18 tháng đến &lt; 36 tháng.</w:t>
      </w:r>
    </w:p>
    <w:p w14:paraId="501FED0B" w14:textId="77777777" w:rsidR="00B22B71" w:rsidRPr="00B22B71" w:rsidRDefault="00B22B71" w:rsidP="005A7349">
      <w:pPr>
        <w:widowControl w:val="0"/>
        <w:spacing w:line="276" w:lineRule="auto"/>
        <w:ind w:firstLine="709"/>
        <w:rPr>
          <w:sz w:val="28"/>
          <w:szCs w:val="28"/>
        </w:rPr>
      </w:pPr>
      <w:r w:rsidRPr="00B22B71">
        <w:rPr>
          <w:sz w:val="28"/>
          <w:szCs w:val="28"/>
        </w:rPr>
        <w:t>+ ≥ 6 tháng đối với các mặt hàng có hạn dùng từ ≥ 12 tháng đến &lt; 18 tháng.</w:t>
      </w:r>
    </w:p>
    <w:p w14:paraId="73D590F7" w14:textId="77777777" w:rsidR="00B22B71" w:rsidRPr="00B22B71" w:rsidRDefault="00B22B71" w:rsidP="005A7349">
      <w:pPr>
        <w:widowControl w:val="0"/>
        <w:spacing w:line="276" w:lineRule="auto"/>
        <w:ind w:firstLine="709"/>
        <w:rPr>
          <w:sz w:val="28"/>
          <w:szCs w:val="28"/>
        </w:rPr>
      </w:pPr>
      <w:r w:rsidRPr="00B22B71">
        <w:rPr>
          <w:sz w:val="28"/>
          <w:szCs w:val="28"/>
        </w:rPr>
        <w:t>+ ≥ 4 tháng đối với các mặt hàng có hạn dùng từ ≥ 7 tháng đến &lt; 12 tháng.</w:t>
      </w:r>
    </w:p>
    <w:p w14:paraId="632748FE" w14:textId="77777777" w:rsidR="00B22B71" w:rsidRPr="00B22B71" w:rsidRDefault="00B22B71" w:rsidP="005A7349">
      <w:pPr>
        <w:widowControl w:val="0"/>
        <w:spacing w:line="276" w:lineRule="auto"/>
        <w:ind w:firstLine="709"/>
        <w:rPr>
          <w:sz w:val="28"/>
          <w:szCs w:val="28"/>
        </w:rPr>
      </w:pPr>
      <w:r w:rsidRPr="00B22B71">
        <w:rPr>
          <w:sz w:val="28"/>
          <w:szCs w:val="28"/>
        </w:rPr>
        <w:t>+ ≥ 2 tháng đối với các mặt hàng có hạn dùng từ ≥ 4 tháng đến &lt; 7 tháng.</w:t>
      </w:r>
    </w:p>
    <w:p w14:paraId="75281C73" w14:textId="77777777" w:rsidR="00B22B71" w:rsidRPr="00B22B71" w:rsidRDefault="00B22B71" w:rsidP="005A7349">
      <w:pPr>
        <w:widowControl w:val="0"/>
        <w:spacing w:line="276" w:lineRule="auto"/>
        <w:ind w:firstLine="709"/>
        <w:rPr>
          <w:sz w:val="28"/>
          <w:szCs w:val="28"/>
        </w:rPr>
      </w:pPr>
      <w:r w:rsidRPr="00B22B71">
        <w:rPr>
          <w:sz w:val="28"/>
          <w:szCs w:val="28"/>
        </w:rPr>
        <w:t>+ ≥ 1 tháng đối với các mặt hàng có hạn sử dụng từ ≥ 2 tháng đến &lt; 4 tháng.</w:t>
      </w:r>
    </w:p>
    <w:p w14:paraId="1ED8625D" w14:textId="77777777" w:rsidR="00B22B71" w:rsidRPr="00B22B71" w:rsidRDefault="00B22B71" w:rsidP="005A7349">
      <w:pPr>
        <w:widowControl w:val="0"/>
        <w:spacing w:line="276" w:lineRule="auto"/>
        <w:ind w:firstLine="709"/>
        <w:rPr>
          <w:sz w:val="28"/>
          <w:szCs w:val="28"/>
        </w:rPr>
      </w:pPr>
      <w:r w:rsidRPr="00B22B71">
        <w:rPr>
          <w:sz w:val="28"/>
          <w:szCs w:val="28"/>
        </w:rPr>
        <w:t>+ Tối thiểu còn ½ hạn dùng đối với mặt hàng có hạn dùng ≤ 01 tháng.</w:t>
      </w:r>
    </w:p>
    <w:p w14:paraId="4F65A3EC" w14:textId="6E42438D" w:rsidR="00B22B71" w:rsidRPr="00060A04" w:rsidRDefault="00B22B71" w:rsidP="005A7349">
      <w:pPr>
        <w:widowControl w:val="0"/>
        <w:spacing w:line="276" w:lineRule="auto"/>
        <w:ind w:firstLine="709"/>
        <w:rPr>
          <w:sz w:val="28"/>
          <w:szCs w:val="28"/>
        </w:rPr>
      </w:pPr>
      <w:r w:rsidRPr="00B22B71">
        <w:rPr>
          <w:sz w:val="28"/>
          <w:szCs w:val="28"/>
        </w:rPr>
        <w:t>+  Đối với hàng hóa không ghi hạn sử dụng phải được sản xuất từ năm 2024 trở đi.</w:t>
      </w:r>
    </w:p>
    <w:p w14:paraId="699F8B0A" w14:textId="72CB0495" w:rsidR="00A538CC" w:rsidRDefault="00931940" w:rsidP="005A7349">
      <w:pPr>
        <w:widowControl w:val="0"/>
        <w:spacing w:line="264" w:lineRule="auto"/>
        <w:ind w:firstLine="709"/>
        <w:rPr>
          <w:sz w:val="28"/>
          <w:szCs w:val="28"/>
        </w:rPr>
      </w:pPr>
      <w:r w:rsidRPr="00060A04">
        <w:rPr>
          <w:sz w:val="28"/>
          <w:szCs w:val="28"/>
        </w:rPr>
        <w:t>- Yêu cầu về vận chuyển: hàng hóa phải được vận chuyển đến kho vật tư của Chủ đầu tư</w:t>
      </w:r>
      <w:r>
        <w:rPr>
          <w:sz w:val="28"/>
          <w:szCs w:val="28"/>
        </w:rPr>
        <w:t>;</w:t>
      </w:r>
      <w:r w:rsidR="00872B9E">
        <w:rPr>
          <w:sz w:val="28"/>
          <w:szCs w:val="28"/>
        </w:rPr>
        <w:t xml:space="preserve"> </w:t>
      </w:r>
      <w:r w:rsidR="003657E4">
        <w:rPr>
          <w:sz w:val="28"/>
          <w:szCs w:val="28"/>
        </w:rPr>
        <w:t>M</w:t>
      </w:r>
      <w:r w:rsidR="003657E4" w:rsidRPr="003657E4">
        <w:rPr>
          <w:sz w:val="28"/>
          <w:szCs w:val="28"/>
        </w:rPr>
        <w:t>ọi chi phí vận chuyển do nhà thầu chịu</w:t>
      </w:r>
      <w:r w:rsidR="006927D0">
        <w:rPr>
          <w:sz w:val="28"/>
          <w:szCs w:val="28"/>
        </w:rPr>
        <w:t xml:space="preserve"> (bao gồm </w:t>
      </w:r>
      <w:r w:rsidR="006927D0" w:rsidRPr="00A538CC">
        <w:rPr>
          <w:sz w:val="28"/>
          <w:szCs w:val="28"/>
        </w:rPr>
        <w:t>chi phí trả lại hàng (nếu hàng không đạt chất lượng)</w:t>
      </w:r>
      <w:r w:rsidR="006927D0">
        <w:rPr>
          <w:sz w:val="28"/>
          <w:szCs w:val="28"/>
        </w:rPr>
        <w:t>)</w:t>
      </w:r>
      <w:r w:rsidR="003657E4" w:rsidRPr="003657E4">
        <w:rPr>
          <w:sz w:val="28"/>
          <w:szCs w:val="28"/>
        </w:rPr>
        <w:t xml:space="preserve">. Hàng hóa được cung cấp làm nhiều đợt theo nhu cầu của </w:t>
      </w:r>
      <w:r w:rsidR="005E4964">
        <w:rPr>
          <w:sz w:val="28"/>
          <w:szCs w:val="28"/>
        </w:rPr>
        <w:t>Chủ đầu tư</w:t>
      </w:r>
      <w:r w:rsidR="003657E4" w:rsidRPr="003657E4">
        <w:rPr>
          <w:sz w:val="28"/>
          <w:szCs w:val="28"/>
        </w:rPr>
        <w:t xml:space="preserve"> và dự kiến hoàn thành trong thời gian hợp đồng có hiệu lực</w:t>
      </w:r>
      <w:r w:rsidR="00207F6F">
        <w:rPr>
          <w:sz w:val="28"/>
          <w:szCs w:val="28"/>
        </w:rPr>
        <w:t>;</w:t>
      </w:r>
    </w:p>
    <w:p w14:paraId="472F2F14" w14:textId="1C8A1592" w:rsidR="00931940" w:rsidRDefault="00931940" w:rsidP="005A7349">
      <w:pPr>
        <w:widowControl w:val="0"/>
        <w:spacing w:line="264" w:lineRule="auto"/>
        <w:ind w:firstLine="709"/>
        <w:rPr>
          <w:sz w:val="28"/>
          <w:szCs w:val="28"/>
        </w:rPr>
      </w:pPr>
      <w:r w:rsidRPr="00060A04">
        <w:rPr>
          <w:sz w:val="28"/>
          <w:szCs w:val="28"/>
        </w:rPr>
        <w:t xml:space="preserve">- </w:t>
      </w:r>
      <w:r w:rsidR="002E4409" w:rsidRPr="002E4409">
        <w:rPr>
          <w:sz w:val="28"/>
          <w:szCs w:val="28"/>
        </w:rPr>
        <w:t>Tất cả các tài liệu chứng minh tư cách hợp lệ của hàng hóa nếu sử dụng bằng ngôn ngữ không phải là tiếng Việt thì phải kèm theo bản dịch tiếng Việt của cơ sở dịch thuật hợp pháp hoặc bản dịch tiếng Việt được đóng dấu xác nhận của nhà sản xuất, nhà đăng ký, nhà nhập khẩu. Trường hợp nội dung tài liệu được dịch sang tiếng việt chưa đúng so với nội dung tài liệu gốc thì sử dụng tài liệu gốc để làm chuẩn. Nhà thầu phải chịu trách nhiệm về tính chính xác của nội dung bản dịch so với bản gốc và tính pháp lý của các tài liệu này</w:t>
      </w:r>
      <w:r w:rsidRPr="00060A04">
        <w:rPr>
          <w:sz w:val="28"/>
          <w:szCs w:val="28"/>
        </w:rPr>
        <w:t xml:space="preserve">. Trường hợp </w:t>
      </w:r>
      <w:r w:rsidR="00460C4B">
        <w:rPr>
          <w:sz w:val="28"/>
          <w:szCs w:val="28"/>
        </w:rPr>
        <w:t>Chủ đầu tư</w:t>
      </w:r>
      <w:r w:rsidRPr="00060A04">
        <w:rPr>
          <w:sz w:val="28"/>
          <w:szCs w:val="28"/>
        </w:rPr>
        <w:t xml:space="preserve"> phát hiện nhà thầu dịch sai, tùy mức độ, </w:t>
      </w:r>
      <w:r w:rsidR="00E55240">
        <w:rPr>
          <w:sz w:val="28"/>
          <w:szCs w:val="28"/>
        </w:rPr>
        <w:t>Chủ đầu tư</w:t>
      </w:r>
      <w:r w:rsidRPr="00060A04">
        <w:rPr>
          <w:sz w:val="28"/>
          <w:szCs w:val="28"/>
        </w:rPr>
        <w:t xml:space="preserve"> có thể loại HSDT của nhà thầu</w:t>
      </w:r>
      <w:r>
        <w:rPr>
          <w:sz w:val="28"/>
          <w:szCs w:val="28"/>
        </w:rPr>
        <w:t>;</w:t>
      </w:r>
      <w:r w:rsidRPr="00060A04">
        <w:rPr>
          <w:sz w:val="28"/>
          <w:szCs w:val="28"/>
        </w:rPr>
        <w:t xml:space="preserve"> </w:t>
      </w:r>
    </w:p>
    <w:p w14:paraId="19A426D3" w14:textId="5AE90CCD" w:rsidR="00080E19" w:rsidRDefault="00080E19" w:rsidP="005A7349">
      <w:pPr>
        <w:widowControl w:val="0"/>
        <w:spacing w:line="264" w:lineRule="auto"/>
        <w:ind w:firstLine="709"/>
        <w:rPr>
          <w:sz w:val="28"/>
          <w:szCs w:val="28"/>
        </w:rPr>
      </w:pPr>
      <w:r>
        <w:rPr>
          <w:sz w:val="28"/>
          <w:szCs w:val="28"/>
        </w:rPr>
        <w:t xml:space="preserve">- </w:t>
      </w:r>
      <w:r w:rsidRPr="00080E19">
        <w:rPr>
          <w:sz w:val="28"/>
          <w:szCs w:val="28"/>
        </w:rPr>
        <w:t>Giấy phép bán hàng của nhà sản xuất hoặc của nhà phân phối có đủ điều kiện cấp giấy ủy quyền hợp pháp tại Việt Nam hoặc giấy chứng nhận quan hệ đối tác hoặc tài liệu khác có giá trị tương đương</w:t>
      </w:r>
    </w:p>
    <w:p w14:paraId="266A686C" w14:textId="77777777" w:rsidR="00D8048B" w:rsidRDefault="00931940" w:rsidP="005A7349">
      <w:pPr>
        <w:widowControl w:val="0"/>
        <w:spacing w:line="264" w:lineRule="auto"/>
        <w:ind w:firstLine="709"/>
        <w:rPr>
          <w:sz w:val="28"/>
          <w:szCs w:val="28"/>
        </w:rPr>
      </w:pPr>
      <w:r w:rsidRPr="00060A04">
        <w:rPr>
          <w:sz w:val="28"/>
          <w:szCs w:val="28"/>
        </w:rPr>
        <w:t>- Hàng trúng thầu được mua theo nhu cầu sử dụng của đơn vị, không nhất thiết phải mua hết số lượng trúng thầu</w:t>
      </w:r>
      <w:r>
        <w:rPr>
          <w:sz w:val="28"/>
          <w:szCs w:val="28"/>
        </w:rPr>
        <w:t>;</w:t>
      </w:r>
    </w:p>
    <w:p w14:paraId="03B36F5B" w14:textId="77777777" w:rsidR="00D8048B" w:rsidRPr="00D8048B" w:rsidRDefault="00931940" w:rsidP="00D8048B">
      <w:pPr>
        <w:widowControl w:val="0"/>
        <w:spacing w:line="264" w:lineRule="auto"/>
        <w:ind w:firstLine="709"/>
        <w:rPr>
          <w:b/>
          <w:bCs/>
          <w:sz w:val="28"/>
          <w:szCs w:val="28"/>
        </w:rPr>
      </w:pPr>
      <w:r w:rsidRPr="00D8048B">
        <w:rPr>
          <w:b/>
          <w:bCs/>
          <w:sz w:val="28"/>
          <w:szCs w:val="28"/>
        </w:rPr>
        <w:t xml:space="preserve"> </w:t>
      </w:r>
      <w:r w:rsidR="00D8048B" w:rsidRPr="00D8048B">
        <w:rPr>
          <w:b/>
          <w:bCs/>
          <w:sz w:val="28"/>
          <w:szCs w:val="28"/>
        </w:rPr>
        <w:t>* Đối với trường hợp các phần (mục) mời thầu có yêu cầu về thiết bị đi kèm thì nhà thầu phải cam kết thêm nội dung này:</w:t>
      </w:r>
    </w:p>
    <w:p w14:paraId="15C3B36E" w14:textId="7F96EC3A" w:rsidR="00D8048B" w:rsidRPr="00D8048B" w:rsidRDefault="00D8048B" w:rsidP="00D8048B">
      <w:pPr>
        <w:widowControl w:val="0"/>
        <w:spacing w:line="264" w:lineRule="auto"/>
        <w:ind w:firstLine="709"/>
        <w:rPr>
          <w:sz w:val="28"/>
          <w:szCs w:val="28"/>
        </w:rPr>
      </w:pPr>
      <w:r w:rsidRPr="00D8048B">
        <w:rPr>
          <w:sz w:val="28"/>
          <w:szCs w:val="28"/>
        </w:rPr>
        <w:t>“Nhà thầu cam kết</w:t>
      </w:r>
      <w:r w:rsidR="000F5296">
        <w:rPr>
          <w:sz w:val="28"/>
          <w:szCs w:val="28"/>
        </w:rPr>
        <w:t xml:space="preserve"> (mẫu P</w:t>
      </w:r>
      <w:r w:rsidR="005522B5">
        <w:rPr>
          <w:sz w:val="28"/>
          <w:szCs w:val="28"/>
        </w:rPr>
        <w:t xml:space="preserve">hụ </w:t>
      </w:r>
      <w:r w:rsidR="000F5296">
        <w:rPr>
          <w:sz w:val="28"/>
          <w:szCs w:val="28"/>
        </w:rPr>
        <w:t>L</w:t>
      </w:r>
      <w:r w:rsidR="005522B5">
        <w:rPr>
          <w:sz w:val="28"/>
          <w:szCs w:val="28"/>
        </w:rPr>
        <w:t xml:space="preserve">ục </w:t>
      </w:r>
      <w:r w:rsidR="000F5296">
        <w:rPr>
          <w:sz w:val="28"/>
          <w:szCs w:val="28"/>
        </w:rPr>
        <w:t>3- Chương III)</w:t>
      </w:r>
      <w:r w:rsidRPr="00D8048B">
        <w:rPr>
          <w:sz w:val="28"/>
          <w:szCs w:val="28"/>
        </w:rPr>
        <w:t xml:space="preserve"> nếu trúng thầu sẽ cung cấp thiết bị y tế đi kèm theo đúng nội dung yêu cầu đã được thể hiện tại Chương V</w:t>
      </w:r>
      <w:r w:rsidR="00F20999">
        <w:rPr>
          <w:sz w:val="28"/>
          <w:szCs w:val="28"/>
        </w:rPr>
        <w:t xml:space="preserve"> </w:t>
      </w:r>
      <w:r w:rsidRPr="00D8048B">
        <w:rPr>
          <w:sz w:val="28"/>
          <w:szCs w:val="28"/>
        </w:rPr>
        <w:t>. Trường hợp khi được công nhận trúng thầu nhà thầu xác định không thể cung cấp được thiết bị đi kèm thì phải có văn bản thông báo cho bên mời thầu trong tối đa không quá 14 ngày; bảo lãnh dự thầu không được hoàn trả; Bên mời thầu được quyền hủy kết quả trúng thầu.</w:t>
      </w:r>
    </w:p>
    <w:p w14:paraId="0FC72D60" w14:textId="77777777" w:rsidR="00D8048B" w:rsidRPr="00D8048B" w:rsidRDefault="00D8048B" w:rsidP="00D8048B">
      <w:pPr>
        <w:widowControl w:val="0"/>
        <w:spacing w:line="264" w:lineRule="auto"/>
        <w:ind w:firstLine="709"/>
        <w:rPr>
          <w:sz w:val="28"/>
          <w:szCs w:val="28"/>
        </w:rPr>
      </w:pPr>
      <w:r w:rsidRPr="00D8048B">
        <w:rPr>
          <w:sz w:val="28"/>
          <w:szCs w:val="28"/>
        </w:rPr>
        <w:t xml:space="preserve">Nhà thầu cam kết chịu trách nhiệm và toàn bộ các chi phí để lắp đặt, triển khai (bao gồm cả việc đào tạo, huấn luyện sử dụng thiết bị; chạy thử, căn chỉnh để </w:t>
      </w:r>
      <w:r w:rsidRPr="00D8048B">
        <w:rPr>
          <w:sz w:val="28"/>
          <w:szCs w:val="28"/>
        </w:rPr>
        <w:lastRenderedPageBreak/>
        <w:t>thiết bị hoạt động đúng chuẩn của nhà sản xuất quy định) và duy trì tình trạng hoạt động ổn định của thiết bị trong suốt thời gian thực hiện hợp đồng và chỉ rút thiết bị khi bệnh viện đã sử dụng hết khối lượng hóa chất, vật tư đi kèm được cung ứng theo hợp đồng ký kết. Bên mời thầu chỉ chi trả cho phần hóa chất và vật tư đi kèm theo khối lượng thực tế mua từ nhà thầu mà không phải trả thêm bất kì chi phí nào khác.”</w:t>
      </w:r>
    </w:p>
    <w:p w14:paraId="160F4ABD" w14:textId="67246801" w:rsidR="00931940" w:rsidRDefault="00D8048B" w:rsidP="00D8048B">
      <w:pPr>
        <w:widowControl w:val="0"/>
        <w:spacing w:line="264" w:lineRule="auto"/>
        <w:ind w:firstLine="709"/>
        <w:rPr>
          <w:sz w:val="28"/>
          <w:szCs w:val="28"/>
        </w:rPr>
      </w:pPr>
      <w:r w:rsidRPr="00D8048B">
        <w:rPr>
          <w:sz w:val="28"/>
          <w:szCs w:val="28"/>
        </w:rPr>
        <w:t>Nhà thầu phải kê khai thông tin mã hiệu của hệ thống thiết bị đi kèm tại “bảng thông tin tổng hợp hàng hóa dự thầu”.</w:t>
      </w:r>
    </w:p>
    <w:p w14:paraId="3374251E" w14:textId="77777777" w:rsidR="00931940" w:rsidRPr="004108D4" w:rsidRDefault="00931940" w:rsidP="005A7349">
      <w:pPr>
        <w:spacing w:line="264" w:lineRule="auto"/>
        <w:ind w:firstLine="709"/>
        <w:rPr>
          <w:b/>
          <w:i/>
          <w:sz w:val="28"/>
          <w:szCs w:val="28"/>
          <w:lang w:val="nl-NL"/>
        </w:rPr>
      </w:pPr>
      <w:r w:rsidRPr="004108D4">
        <w:rPr>
          <w:b/>
          <w:i/>
          <w:sz w:val="28"/>
          <w:szCs w:val="28"/>
          <w:lang w:val="nl-NL"/>
        </w:rPr>
        <w:t>1.3. Các yêu cầu khác</w:t>
      </w:r>
    </w:p>
    <w:p w14:paraId="09C0CA44" w14:textId="77777777" w:rsidR="00931940" w:rsidRPr="004108D4" w:rsidRDefault="00931940" w:rsidP="005A7349">
      <w:pPr>
        <w:spacing w:line="276" w:lineRule="auto"/>
        <w:ind w:firstLine="709"/>
        <w:rPr>
          <w:rFonts w:eastAsiaTheme="minorEastAsia" w:cstheme="minorBidi"/>
          <w:noProof/>
          <w:sz w:val="28"/>
          <w:szCs w:val="28"/>
        </w:rPr>
      </w:pPr>
      <w:r w:rsidRPr="00073132">
        <w:rPr>
          <w:b/>
          <w:bCs/>
          <w:sz w:val="28"/>
          <w:szCs w:val="28"/>
        </w:rPr>
        <w:t>1.3.1</w:t>
      </w:r>
      <w:r w:rsidRPr="004108D4">
        <w:rPr>
          <w:sz w:val="28"/>
          <w:szCs w:val="28"/>
        </w:rPr>
        <w:t xml:space="preserve"> </w:t>
      </w:r>
      <w:r w:rsidRPr="004108D4">
        <w:rPr>
          <w:rFonts w:eastAsiaTheme="minorEastAsia" w:cstheme="minorBidi"/>
          <w:b/>
          <w:bCs/>
          <w:noProof/>
          <w:sz w:val="28"/>
          <w:szCs w:val="28"/>
        </w:rPr>
        <w:t>Đối với hàng hóa là thiết bị y tế:</w:t>
      </w:r>
    </w:p>
    <w:p w14:paraId="441C486D" w14:textId="24C309D2" w:rsidR="00931940" w:rsidRDefault="00A21C27" w:rsidP="005A7349">
      <w:pPr>
        <w:spacing w:line="276" w:lineRule="auto"/>
        <w:ind w:firstLine="709"/>
        <w:rPr>
          <w:sz w:val="28"/>
          <w:szCs w:val="28"/>
        </w:rPr>
      </w:pPr>
      <w:r w:rsidRPr="00A21C27">
        <w:rPr>
          <w:rFonts w:eastAsiaTheme="minorEastAsia" w:cstheme="minorBidi"/>
          <w:b/>
          <w:bCs/>
          <w:noProof/>
          <w:sz w:val="28"/>
          <w:szCs w:val="28"/>
        </w:rPr>
        <w:t>a.</w:t>
      </w:r>
      <w:r w:rsidR="00931940" w:rsidRPr="00A21C27">
        <w:rPr>
          <w:rFonts w:eastAsiaTheme="minorEastAsia" w:cstheme="minorBidi"/>
          <w:b/>
          <w:bCs/>
          <w:noProof/>
          <w:sz w:val="28"/>
          <w:szCs w:val="28"/>
        </w:rPr>
        <w:t xml:space="preserve"> </w:t>
      </w:r>
      <w:r w:rsidR="00931940" w:rsidRPr="00A21C27">
        <w:rPr>
          <w:b/>
          <w:bCs/>
          <w:sz w:val="28"/>
          <w:szCs w:val="28"/>
        </w:rPr>
        <w:t>Bản phân loại thiết bị y tế</w:t>
      </w:r>
      <w:r w:rsidR="00931940" w:rsidRPr="004108D4">
        <w:rPr>
          <w:sz w:val="28"/>
          <w:szCs w:val="28"/>
        </w:rPr>
        <w:t xml:space="preserve"> (theo quy định của</w:t>
      </w:r>
      <w:r w:rsidR="00743A4E">
        <w:rPr>
          <w:sz w:val="28"/>
          <w:szCs w:val="28"/>
        </w:rPr>
        <w:t xml:space="preserve"> </w:t>
      </w:r>
      <w:r w:rsidR="006A54CF" w:rsidRPr="008E3F89">
        <w:rPr>
          <w:sz w:val="28"/>
          <w:szCs w:val="28"/>
        </w:rPr>
        <w:t>Nghị định số 98/2021/NĐ-CP ngày 08/11/2021</w:t>
      </w:r>
      <w:r w:rsidR="00DB2351">
        <w:rPr>
          <w:sz w:val="28"/>
          <w:szCs w:val="28"/>
        </w:rPr>
        <w:t xml:space="preserve">, </w:t>
      </w:r>
      <w:r w:rsidR="00DB2351" w:rsidRPr="00DB2351">
        <w:rPr>
          <w:sz w:val="28"/>
          <w:szCs w:val="28"/>
        </w:rPr>
        <w:t>Nghị định số 07/2023/NĐ-CP ngày 03/03/2023</w:t>
      </w:r>
      <w:r w:rsidR="006A54CF" w:rsidRPr="008E3F89">
        <w:rPr>
          <w:sz w:val="28"/>
          <w:szCs w:val="28"/>
        </w:rPr>
        <w:t xml:space="preserve"> và </w:t>
      </w:r>
      <w:r w:rsidR="00FA4F12">
        <w:rPr>
          <w:sz w:val="28"/>
          <w:szCs w:val="28"/>
        </w:rPr>
        <w:t xml:space="preserve">Thông tư số </w:t>
      </w:r>
      <w:r w:rsidR="00FA4F12" w:rsidRPr="00FA4F12">
        <w:rPr>
          <w:sz w:val="28"/>
          <w:szCs w:val="28"/>
        </w:rPr>
        <w:t>05/2022/TT-BYT</w:t>
      </w:r>
      <w:r w:rsidR="00FA4F12">
        <w:rPr>
          <w:sz w:val="28"/>
          <w:szCs w:val="28"/>
        </w:rPr>
        <w:t xml:space="preserve"> ngày 01/8/2022 </w:t>
      </w:r>
      <w:r w:rsidR="006A54CF" w:rsidRPr="008E3F89">
        <w:rPr>
          <w:sz w:val="28"/>
          <w:szCs w:val="28"/>
        </w:rPr>
        <w:t>hoặc theo các quy định hiện hành</w:t>
      </w:r>
      <w:r w:rsidR="00931940" w:rsidRPr="004108D4">
        <w:rPr>
          <w:sz w:val="28"/>
          <w:szCs w:val="28"/>
        </w:rPr>
        <w:t>).</w:t>
      </w:r>
    </w:p>
    <w:p w14:paraId="299AB0E2" w14:textId="5809D082" w:rsidR="002D2210" w:rsidRPr="004108D4" w:rsidRDefault="00A21C27" w:rsidP="005A7349">
      <w:pPr>
        <w:spacing w:line="276" w:lineRule="auto"/>
        <w:ind w:firstLine="709"/>
        <w:rPr>
          <w:rFonts w:eastAsiaTheme="minorEastAsia" w:cstheme="minorBidi"/>
          <w:noProof/>
          <w:sz w:val="28"/>
          <w:szCs w:val="28"/>
        </w:rPr>
      </w:pPr>
      <w:r w:rsidRPr="00A21C27">
        <w:rPr>
          <w:b/>
          <w:bCs/>
          <w:sz w:val="28"/>
          <w:szCs w:val="28"/>
        </w:rPr>
        <w:t>b.</w:t>
      </w:r>
      <w:r w:rsidR="002D2210" w:rsidRPr="00A21C27">
        <w:rPr>
          <w:b/>
          <w:bCs/>
          <w:sz w:val="28"/>
          <w:szCs w:val="28"/>
        </w:rPr>
        <w:t xml:space="preserve"> </w:t>
      </w:r>
      <w:r w:rsidR="008E347A" w:rsidRPr="00A21C27">
        <w:rPr>
          <w:b/>
          <w:bCs/>
          <w:sz w:val="28"/>
          <w:szCs w:val="28"/>
        </w:rPr>
        <w:t>Số lưu hành</w:t>
      </w:r>
      <w:r w:rsidR="008E347A" w:rsidRPr="008E347A">
        <w:rPr>
          <w:sz w:val="28"/>
          <w:szCs w:val="28"/>
        </w:rPr>
        <w:t xml:space="preserve"> còn hạn hoặc được nhập khẩu theo quy định tại Nghị định số 98/2021/NĐ-CP, Nghị định số 07/2023/NĐ-CP, Thông tư số 05/2022/TT-BYT ngày 01/8/2022 và các quy định pháp luật hiện hành, cụ thể như sau:</w:t>
      </w:r>
    </w:p>
    <w:p w14:paraId="06B06D4A" w14:textId="77777777" w:rsidR="00197E45" w:rsidRPr="00197E45" w:rsidRDefault="00197E45" w:rsidP="00197E45">
      <w:pPr>
        <w:spacing w:line="276" w:lineRule="auto"/>
        <w:ind w:firstLine="851"/>
        <w:rPr>
          <w:spacing w:val="-4"/>
          <w:sz w:val="28"/>
          <w:szCs w:val="28"/>
          <w:lang w:val="es-ES"/>
        </w:rPr>
      </w:pPr>
      <w:r w:rsidRPr="00197E45">
        <w:rPr>
          <w:spacing w:val="-4"/>
          <w:sz w:val="28"/>
          <w:szCs w:val="28"/>
          <w:lang w:val="es-ES"/>
        </w:rPr>
        <w:t>+  Đối với trang thiết bị y tế loại A, B: Số công bố và Phiếu tiếp nhận (hoặc Phiếu thông tin) Hồ sơ công bố tiêu chuẩn áp dụng của trang thiết bị y tế trên Cổng thông tin điện tử Bộ Y tế (dmec.moh.gov.vn),</w:t>
      </w:r>
    </w:p>
    <w:p w14:paraId="51D3DF66" w14:textId="395D5BF1" w:rsidR="00931940" w:rsidRDefault="00197E45" w:rsidP="00197E45">
      <w:pPr>
        <w:spacing w:line="276" w:lineRule="auto"/>
        <w:ind w:firstLine="851"/>
        <w:rPr>
          <w:spacing w:val="-4"/>
          <w:sz w:val="28"/>
          <w:szCs w:val="28"/>
          <w:lang w:val="es-ES"/>
        </w:rPr>
      </w:pPr>
      <w:r w:rsidRPr="00197E45">
        <w:rPr>
          <w:spacing w:val="-4"/>
          <w:sz w:val="28"/>
          <w:szCs w:val="28"/>
          <w:lang w:val="es-ES"/>
        </w:rPr>
        <w:t>+ Đối với trang thiết bị y tế loại C, D: Giấy chứng nhận đăng ký lưu hành hoặc được nhập khẩu theo quy định tại Khoản 18 Điều 1 Nghị định số 07/2023/NĐ-CP về việc sửa đổi, bổ sung Điều 76 Nghị định số 98/2021/NĐ-CP và các quy định pháp luật hiện hành.</w:t>
      </w:r>
    </w:p>
    <w:p w14:paraId="613D0E07" w14:textId="4D74C570" w:rsidR="00F76C7C" w:rsidRPr="00872E81" w:rsidRDefault="00872E81" w:rsidP="00872E81">
      <w:pPr>
        <w:spacing w:line="276" w:lineRule="auto"/>
        <w:ind w:firstLine="567"/>
        <w:rPr>
          <w:i/>
          <w:iCs/>
          <w:spacing w:val="-4"/>
          <w:sz w:val="28"/>
          <w:szCs w:val="28"/>
          <w:lang w:val="es-ES"/>
        </w:rPr>
      </w:pPr>
      <w:r>
        <w:rPr>
          <w:spacing w:val="-4"/>
          <w:sz w:val="28"/>
          <w:szCs w:val="28"/>
          <w:lang w:val="es-ES"/>
        </w:rPr>
        <w:t xml:space="preserve">► </w:t>
      </w:r>
      <w:r w:rsidR="00F76C7C" w:rsidRPr="00872E81">
        <w:rPr>
          <w:b/>
          <w:bCs/>
          <w:spacing w:val="-4"/>
          <w:sz w:val="28"/>
          <w:szCs w:val="28"/>
          <w:u w:val="single"/>
          <w:lang w:val="es-ES"/>
        </w:rPr>
        <w:t>Lưu ý</w:t>
      </w:r>
      <w:r w:rsidR="00F76C7C" w:rsidRPr="00872E81">
        <w:rPr>
          <w:i/>
          <w:iCs/>
          <w:spacing w:val="-4"/>
          <w:sz w:val="28"/>
          <w:szCs w:val="28"/>
          <w:lang w:val="es-ES"/>
        </w:rPr>
        <w:t>: đối với trang thiết bị y tế nhập khẩu theo điểm d Khoản 2 Điều 76 Nghị định số 98/2021/NĐ-CP đã được sửa đổi, bổ sung tại Khoản 18 Điều 1 Nghị định số 07/2023/NĐ-CP: Nhà thầu kê khai rõ đối với trang thiết bị y tế không thuộc danh mục phải cấp phép nhập khẩu theo quy định tại Điều 6 Thông tư số 05/2022/TT-BYT ngày 01/8/2022 và cung cấp bản phân loại trang thiết bị y tế thuộc loại C, D được công bố thông tin trên Cổng thông tin điện tử của Bộ Y tế.</w:t>
      </w:r>
    </w:p>
    <w:p w14:paraId="75B571B9" w14:textId="7E50030C" w:rsidR="00F76C7C" w:rsidRPr="00872E81" w:rsidRDefault="00F76C7C" w:rsidP="00872E81">
      <w:pPr>
        <w:spacing w:line="276" w:lineRule="auto"/>
        <w:ind w:firstLine="567"/>
        <w:rPr>
          <w:i/>
          <w:iCs/>
          <w:spacing w:val="-4"/>
          <w:sz w:val="28"/>
          <w:szCs w:val="28"/>
          <w:lang w:val="es-ES"/>
        </w:rPr>
      </w:pPr>
      <w:r w:rsidRPr="00872E81">
        <w:rPr>
          <w:i/>
          <w:iCs/>
          <w:spacing w:val="-4"/>
          <w:sz w:val="28"/>
          <w:szCs w:val="28"/>
          <w:lang w:val="es-ES"/>
        </w:rPr>
        <w:t>-</w:t>
      </w:r>
      <w:r w:rsidRPr="00872E81">
        <w:rPr>
          <w:i/>
          <w:iCs/>
          <w:spacing w:val="-4"/>
          <w:sz w:val="28"/>
          <w:szCs w:val="28"/>
          <w:lang w:val="es-ES"/>
        </w:rPr>
        <w:tab/>
        <w:t>Số công bố và Phiếu tiếp nhận (hoặc Phiếu thông tin) hồ sơ công bố đủ điều kiện sản xuất đối với trang thiết bị y tế sản xuất trong nước theo quy định tại Nghị định số 98/2021/NĐ-CP, Nghị định số 07/2023/NĐ-CP và các quy định pháp luật hiện hành.</w:t>
      </w:r>
    </w:p>
    <w:p w14:paraId="482E2BE3" w14:textId="77777777" w:rsidR="00931940" w:rsidRPr="004108D4" w:rsidRDefault="00931940" w:rsidP="005A7349">
      <w:pPr>
        <w:spacing w:line="276" w:lineRule="auto"/>
        <w:ind w:firstLine="720"/>
        <w:rPr>
          <w:rFonts w:eastAsiaTheme="minorEastAsia" w:cstheme="minorBidi"/>
          <w:noProof/>
          <w:sz w:val="28"/>
          <w:szCs w:val="28"/>
          <w:lang w:val="vi-VN"/>
        </w:rPr>
      </w:pPr>
      <w:r>
        <w:rPr>
          <w:rFonts w:eastAsiaTheme="minorEastAsia" w:cstheme="minorBidi"/>
          <w:b/>
          <w:bCs/>
          <w:noProof/>
          <w:sz w:val="28"/>
          <w:szCs w:val="28"/>
        </w:rPr>
        <w:t>1.3.</w:t>
      </w:r>
      <w:r w:rsidRPr="004108D4">
        <w:rPr>
          <w:rFonts w:eastAsiaTheme="minorEastAsia" w:cstheme="minorBidi"/>
          <w:b/>
          <w:bCs/>
          <w:noProof/>
          <w:sz w:val="28"/>
          <w:szCs w:val="28"/>
        </w:rPr>
        <w:t xml:space="preserve">2. </w:t>
      </w:r>
      <w:r w:rsidRPr="004108D4">
        <w:rPr>
          <w:rFonts w:eastAsiaTheme="minorEastAsia" w:cstheme="minorBidi"/>
          <w:b/>
          <w:bCs/>
          <w:noProof/>
          <w:sz w:val="28"/>
          <w:szCs w:val="28"/>
          <w:lang w:val="vi-VN"/>
        </w:rPr>
        <w:t xml:space="preserve">Đối với </w:t>
      </w:r>
      <w:r w:rsidRPr="004108D4">
        <w:rPr>
          <w:rFonts w:eastAsiaTheme="minorEastAsia" w:cstheme="minorBidi"/>
          <w:b/>
          <w:bCs/>
          <w:noProof/>
          <w:sz w:val="28"/>
          <w:szCs w:val="28"/>
        </w:rPr>
        <w:t>hàng hóa không phải là thiết bị y tế</w:t>
      </w:r>
      <w:r w:rsidRPr="004108D4">
        <w:rPr>
          <w:rFonts w:eastAsiaTheme="minorEastAsia" w:cstheme="minorBidi"/>
          <w:noProof/>
          <w:sz w:val="28"/>
          <w:szCs w:val="28"/>
          <w:lang w:val="vi-VN"/>
        </w:rPr>
        <w:t>:</w:t>
      </w:r>
      <w:r w:rsidRPr="004108D4">
        <w:rPr>
          <w:rFonts w:eastAsiaTheme="minorEastAsia" w:cstheme="minorBidi"/>
          <w:noProof/>
          <w:sz w:val="28"/>
          <w:szCs w:val="28"/>
        </w:rPr>
        <w:t xml:space="preserve"> </w:t>
      </w:r>
      <w:r w:rsidRPr="004108D4">
        <w:rPr>
          <w:rFonts w:eastAsiaTheme="minorEastAsia" w:cstheme="minorBidi"/>
          <w:noProof/>
          <w:sz w:val="28"/>
          <w:szCs w:val="28"/>
          <w:lang w:val="vi-VN"/>
        </w:rPr>
        <w:t>Cung cấp một trong số tài liệu sau:</w:t>
      </w:r>
    </w:p>
    <w:p w14:paraId="2E568985" w14:textId="77777777" w:rsidR="00931940" w:rsidRPr="004108D4" w:rsidRDefault="00931940" w:rsidP="005A7349">
      <w:pPr>
        <w:spacing w:line="276" w:lineRule="auto"/>
        <w:ind w:right="222"/>
        <w:rPr>
          <w:sz w:val="28"/>
          <w:szCs w:val="28"/>
        </w:rPr>
      </w:pPr>
      <w:r w:rsidRPr="004108D4">
        <w:rPr>
          <w:sz w:val="28"/>
          <w:szCs w:val="28"/>
        </w:rPr>
        <w:tab/>
        <w:t>+ Đối với hàng hóa sản xuất trong nước: Giấy phép sản xuất hoặc giấy phép lưu hành của cấp có thẩm quyền.</w:t>
      </w:r>
    </w:p>
    <w:p w14:paraId="48E675ED" w14:textId="77777777" w:rsidR="00931940" w:rsidRPr="004108D4" w:rsidRDefault="00931940" w:rsidP="005A7349">
      <w:pPr>
        <w:spacing w:line="276" w:lineRule="auto"/>
        <w:ind w:firstLine="720"/>
        <w:rPr>
          <w:rFonts w:eastAsiaTheme="minorEastAsia" w:cstheme="minorBidi"/>
          <w:noProof/>
          <w:sz w:val="26"/>
          <w:szCs w:val="26"/>
        </w:rPr>
      </w:pPr>
      <w:r w:rsidRPr="004108D4">
        <w:rPr>
          <w:sz w:val="28"/>
          <w:szCs w:val="28"/>
        </w:rPr>
        <w:t xml:space="preserve">+ Đối với hàng hóa nhập khẩu: </w:t>
      </w:r>
      <w:r w:rsidRPr="004108D4">
        <w:rPr>
          <w:rFonts w:eastAsiaTheme="minorEastAsia" w:cstheme="minorBidi"/>
          <w:noProof/>
          <w:sz w:val="28"/>
          <w:szCs w:val="28"/>
          <w:lang w:val="vi-VN"/>
        </w:rPr>
        <w:t>Giấy phép nhập khẩu hoặc Tài liệu chứng minh thủ tục thông quan</w:t>
      </w:r>
      <w:r>
        <w:rPr>
          <w:rFonts w:eastAsiaTheme="minorEastAsia" w:cstheme="minorBidi"/>
          <w:noProof/>
          <w:sz w:val="26"/>
          <w:szCs w:val="26"/>
        </w:rPr>
        <w:t>.</w:t>
      </w:r>
    </w:p>
    <w:p w14:paraId="4C46F14B" w14:textId="77777777" w:rsidR="00931940" w:rsidRDefault="00931940" w:rsidP="005A7349">
      <w:pPr>
        <w:numPr>
          <w:ilvl w:val="0"/>
          <w:numId w:val="5"/>
        </w:numPr>
        <w:spacing w:line="312" w:lineRule="auto"/>
        <w:ind w:left="0" w:firstLine="567"/>
        <w:contextualSpacing/>
        <w:rPr>
          <w:sz w:val="28"/>
          <w:szCs w:val="28"/>
        </w:rPr>
      </w:pPr>
      <w:r w:rsidRPr="00825B05">
        <w:rPr>
          <w:sz w:val="28"/>
          <w:szCs w:val="28"/>
        </w:rPr>
        <w:lastRenderedPageBreak/>
        <w:t>Trong mọi trường hợp, nhà thầu chịu hoàn toàn trách nhiệm pháp lý về tính hợp lệ, trung thực, chính xác của tất cả tài liệu cung cấp</w:t>
      </w:r>
      <w:r>
        <w:rPr>
          <w:sz w:val="28"/>
          <w:szCs w:val="28"/>
        </w:rPr>
        <w:t>.</w:t>
      </w:r>
    </w:p>
    <w:p w14:paraId="47715184" w14:textId="6F385B6F" w:rsidR="005A7349" w:rsidRPr="005A7349" w:rsidRDefault="00931940" w:rsidP="005A7349">
      <w:pPr>
        <w:pStyle w:val="ListParagraph"/>
        <w:spacing w:line="264" w:lineRule="auto"/>
        <w:ind w:left="0" w:firstLine="567"/>
        <w:rPr>
          <w:sz w:val="26"/>
          <w:szCs w:val="26"/>
          <w:lang w:val="es-ES_tradnl"/>
        </w:rPr>
      </w:pPr>
      <w:r w:rsidRPr="009A0380">
        <w:rPr>
          <w:b/>
          <w:bCs/>
          <w:sz w:val="28"/>
          <w:szCs w:val="28"/>
          <w:lang w:val="es-ES_tradnl"/>
        </w:rPr>
        <w:t>* Nhà thầu đáp ứng tất cả tiêu chí kỹ thuật mục 1.2 và mục 1.3 Chương V mới đáp ứng yêu cầu về kỹ thuật</w:t>
      </w:r>
      <w:r w:rsidRPr="009A0380">
        <w:rPr>
          <w:sz w:val="26"/>
          <w:szCs w:val="26"/>
          <w:lang w:val="es-ES_tradnl"/>
        </w:rPr>
        <w:t>.</w:t>
      </w:r>
    </w:p>
    <w:p w14:paraId="57AA218B" w14:textId="77777777" w:rsidR="005A7349" w:rsidRPr="005A7349" w:rsidRDefault="005A7349" w:rsidP="001C1558">
      <w:pPr>
        <w:ind w:firstLine="709"/>
        <w:rPr>
          <w:b/>
          <w:noProof/>
          <w:sz w:val="28"/>
          <w:szCs w:val="28"/>
        </w:rPr>
      </w:pPr>
      <w:r w:rsidRPr="005A7349">
        <w:rPr>
          <w:b/>
          <w:noProof/>
          <w:sz w:val="28"/>
          <w:szCs w:val="28"/>
        </w:rPr>
        <w:t>Mục 2. Bản vẽ</w:t>
      </w:r>
    </w:p>
    <w:p w14:paraId="04F3DA31" w14:textId="2E369344" w:rsidR="005A7349" w:rsidRPr="00672BBE" w:rsidRDefault="005A7349" w:rsidP="00672BBE">
      <w:pPr>
        <w:ind w:firstLine="709"/>
        <w:rPr>
          <w:bCs/>
          <w:noProof/>
          <w:sz w:val="28"/>
          <w:szCs w:val="28"/>
        </w:rPr>
      </w:pPr>
      <w:r w:rsidRPr="005A7349">
        <w:rPr>
          <w:bCs/>
          <w:noProof/>
          <w:sz w:val="28"/>
          <w:szCs w:val="28"/>
        </w:rPr>
        <w:t>E-HSMT này gồm có các bản vẽ trong danh mục sau đây: Không có.</w:t>
      </w:r>
    </w:p>
    <w:p w14:paraId="1A063C15" w14:textId="77777777" w:rsidR="005A7349" w:rsidRPr="005A7349" w:rsidRDefault="005A7349" w:rsidP="001C1558">
      <w:pPr>
        <w:ind w:firstLine="709"/>
        <w:rPr>
          <w:b/>
          <w:noProof/>
          <w:sz w:val="28"/>
          <w:szCs w:val="28"/>
        </w:rPr>
      </w:pPr>
      <w:r w:rsidRPr="005A7349">
        <w:rPr>
          <w:b/>
          <w:noProof/>
          <w:sz w:val="28"/>
          <w:szCs w:val="28"/>
        </w:rPr>
        <w:t>Mục 3. Kiểm tra và thử nghiệm</w:t>
      </w:r>
    </w:p>
    <w:p w14:paraId="16F0956B" w14:textId="00A18EAC" w:rsidR="00EF6482" w:rsidRDefault="00EF6482" w:rsidP="001C1558">
      <w:pPr>
        <w:ind w:firstLine="709"/>
        <w:rPr>
          <w:bCs/>
          <w:noProof/>
          <w:sz w:val="28"/>
          <w:szCs w:val="28"/>
        </w:rPr>
      </w:pPr>
      <w:r w:rsidRPr="00EF6482">
        <w:rPr>
          <w:bCs/>
          <w:noProof/>
          <w:sz w:val="28"/>
          <w:szCs w:val="28"/>
        </w:rPr>
        <w:t>Yêu cầu về kiểm tra, thử nghiệm, đóng gói: phải theo đúng quy định của nhà sản xuất;</w:t>
      </w:r>
    </w:p>
    <w:p w14:paraId="7C3BA088" w14:textId="2C2EB55E" w:rsidR="005A7349" w:rsidRPr="005A7349" w:rsidRDefault="005A7349" w:rsidP="001C1558">
      <w:pPr>
        <w:ind w:firstLine="709"/>
        <w:rPr>
          <w:bCs/>
          <w:noProof/>
          <w:sz w:val="28"/>
          <w:szCs w:val="28"/>
        </w:rPr>
      </w:pPr>
      <w:r w:rsidRPr="005A7349">
        <w:rPr>
          <w:bCs/>
          <w:noProof/>
          <w:sz w:val="28"/>
          <w:szCs w:val="28"/>
        </w:rPr>
        <w:t xml:space="preserve">Việc kiểm tra, thử nghiệm có thể quy định theo từng giai đoạn như: nhận hàng hóa hoặc trước khi sử dụng hàng hóa,… </w:t>
      </w:r>
    </w:p>
    <w:p w14:paraId="58EBE2D1" w14:textId="5B832EF2" w:rsidR="005A7349" w:rsidRPr="005A7349" w:rsidRDefault="005A7349" w:rsidP="001C1558">
      <w:pPr>
        <w:ind w:firstLine="709"/>
        <w:rPr>
          <w:bCs/>
          <w:noProof/>
          <w:sz w:val="28"/>
          <w:szCs w:val="28"/>
        </w:rPr>
      </w:pPr>
      <w:r w:rsidRPr="005A7349">
        <w:rPr>
          <w:bCs/>
          <w:noProof/>
          <w:sz w:val="28"/>
          <w:szCs w:val="28"/>
        </w:rPr>
        <w:t xml:space="preserve">- Địa điểm: Bệnh viện </w:t>
      </w:r>
      <w:r w:rsidR="001C1558">
        <w:rPr>
          <w:bCs/>
          <w:noProof/>
          <w:sz w:val="28"/>
          <w:szCs w:val="28"/>
        </w:rPr>
        <w:t>Phạm Ngọc Thạch Quảng Nam</w:t>
      </w:r>
      <w:r w:rsidR="00980CE2">
        <w:rPr>
          <w:bCs/>
          <w:noProof/>
          <w:sz w:val="28"/>
          <w:szCs w:val="28"/>
        </w:rPr>
        <w:t xml:space="preserve"> – đường Nguyễn Văn Trỗi – phường Quảng Phú – thành phố Đà Nẵng</w:t>
      </w:r>
      <w:r w:rsidR="00F76031">
        <w:rPr>
          <w:bCs/>
          <w:noProof/>
          <w:sz w:val="28"/>
          <w:szCs w:val="28"/>
        </w:rPr>
        <w:t>.</w:t>
      </w:r>
    </w:p>
    <w:p w14:paraId="6C6950A1" w14:textId="77777777" w:rsidR="005A7349" w:rsidRPr="005A7349" w:rsidRDefault="005A7349" w:rsidP="001C1558">
      <w:pPr>
        <w:ind w:firstLine="709"/>
        <w:rPr>
          <w:bCs/>
          <w:noProof/>
          <w:sz w:val="28"/>
          <w:szCs w:val="28"/>
        </w:rPr>
      </w:pPr>
      <w:r w:rsidRPr="005A7349">
        <w:rPr>
          <w:bCs/>
          <w:noProof/>
          <w:sz w:val="28"/>
          <w:szCs w:val="28"/>
        </w:rPr>
        <w:t xml:space="preserve">- Cách thức tiến hành: kiểm tra trực tiếp theo các tiêu chí dự thầu; </w:t>
      </w:r>
    </w:p>
    <w:p w14:paraId="1F470F20" w14:textId="77777777" w:rsidR="005A7349" w:rsidRPr="005A7349" w:rsidRDefault="005A7349" w:rsidP="001C1558">
      <w:pPr>
        <w:ind w:firstLine="709"/>
        <w:rPr>
          <w:bCs/>
          <w:noProof/>
          <w:sz w:val="28"/>
          <w:szCs w:val="28"/>
        </w:rPr>
      </w:pPr>
      <w:r w:rsidRPr="005A7349">
        <w:rPr>
          <w:bCs/>
          <w:noProof/>
          <w:sz w:val="28"/>
          <w:szCs w:val="28"/>
        </w:rPr>
        <w:t xml:space="preserve">- Chi phí cho việc kiểm tra, thử nghiệm: Nhà thầu chịu chi phí của hàng hóa kiểm tra, thử nghiệm </w:t>
      </w:r>
    </w:p>
    <w:p w14:paraId="1E506244" w14:textId="77777777" w:rsidR="005A7349" w:rsidRDefault="005A7349" w:rsidP="001C1558">
      <w:pPr>
        <w:ind w:firstLine="709"/>
        <w:rPr>
          <w:bCs/>
          <w:noProof/>
          <w:sz w:val="28"/>
          <w:szCs w:val="28"/>
        </w:rPr>
      </w:pPr>
      <w:r w:rsidRPr="005A7349">
        <w:rPr>
          <w:bCs/>
          <w:noProof/>
          <w:sz w:val="28"/>
          <w:szCs w:val="28"/>
        </w:rPr>
        <w:t xml:space="preserve">Trường hợp sau khi kiểm tra, thử nghiệm mà hàng hóa của nhà thầu không đáp ứng được yêu cầu thì Chủ đầu tư có quyền loại bỏ mặt hàng đó của nhà thầu do không đáp ứng về kiểm tra và thử nghiệm. Trong trường hợp này, Chủ đầu tư sẽ lập Biên bản kiểm tra thử nghiệm và nêu lý do không đạt thông báo đến nhà thầu tại thời điểm kiểm tra. </w:t>
      </w:r>
    </w:p>
    <w:p w14:paraId="1D727846" w14:textId="77777777" w:rsidR="005A7349" w:rsidRDefault="005A7349" w:rsidP="001C1558">
      <w:pPr>
        <w:ind w:firstLine="709"/>
        <w:rPr>
          <w:bCs/>
          <w:noProof/>
          <w:sz w:val="28"/>
          <w:szCs w:val="28"/>
        </w:rPr>
      </w:pPr>
      <w:r w:rsidRPr="005A7349">
        <w:rPr>
          <w:bCs/>
          <w:noProof/>
          <w:sz w:val="28"/>
          <w:szCs w:val="28"/>
        </w:rPr>
        <w:t>Trong thời hạn 02 ngày làm việc, kể từ ngày lập biên bản, nhà thầu có trách nhiệm cung cấp hàng hóa thay thế đảm bảo yêu cầu.</w:t>
      </w:r>
    </w:p>
    <w:p w14:paraId="238E231C" w14:textId="168242FB" w:rsidR="005A7349" w:rsidRPr="005A7349" w:rsidRDefault="005A7349" w:rsidP="005A7349">
      <w:pPr>
        <w:ind w:firstLine="567"/>
        <w:rPr>
          <w:bCs/>
          <w:noProof/>
          <w:sz w:val="28"/>
          <w:szCs w:val="28"/>
        </w:rPr>
        <w:sectPr w:rsidR="005A7349" w:rsidRPr="005A7349" w:rsidSect="00A66CCB">
          <w:footnotePr>
            <w:numRestart w:val="eachSect"/>
          </w:footnotePr>
          <w:pgSz w:w="11906" w:h="16838" w:code="9"/>
          <w:pgMar w:top="1134" w:right="1134" w:bottom="1134" w:left="1418" w:header="720" w:footer="720" w:gutter="0"/>
          <w:cols w:space="720"/>
          <w:docGrid w:linePitch="381"/>
        </w:sectPr>
      </w:pPr>
    </w:p>
    <w:p w14:paraId="0C9EDDDB" w14:textId="0CF673D8" w:rsidR="00DE7F4F" w:rsidRPr="00942E5E" w:rsidRDefault="00DE7F4F" w:rsidP="00942E5E">
      <w:pPr>
        <w:tabs>
          <w:tab w:val="left" w:leader="dot" w:pos="5670"/>
        </w:tabs>
        <w:jc w:val="left"/>
        <w:rPr>
          <w:bCs/>
          <w:noProof/>
          <w:sz w:val="28"/>
          <w:szCs w:val="28"/>
        </w:rPr>
      </w:pPr>
      <w:bookmarkStart w:id="1" w:name="_Hlk161057817"/>
      <w:r>
        <w:rPr>
          <w:b/>
          <w:noProof/>
          <w:sz w:val="28"/>
          <w:szCs w:val="28"/>
        </w:rPr>
        <w:lastRenderedPageBreak/>
        <w:t>Tên nhà thầu:</w:t>
      </w:r>
      <w:r w:rsidR="00942E5E" w:rsidRPr="00942E5E">
        <w:rPr>
          <w:bCs/>
          <w:noProof/>
          <w:sz w:val="28"/>
          <w:szCs w:val="28"/>
        </w:rPr>
        <w:tab/>
      </w:r>
    </w:p>
    <w:p w14:paraId="30764FF2" w14:textId="6AE3C241" w:rsidR="00DE7F4F" w:rsidRDefault="00DE7F4F" w:rsidP="00942E5E">
      <w:pPr>
        <w:tabs>
          <w:tab w:val="left" w:leader="dot" w:pos="5670"/>
        </w:tabs>
        <w:jc w:val="left"/>
        <w:rPr>
          <w:b/>
          <w:noProof/>
          <w:sz w:val="28"/>
          <w:szCs w:val="28"/>
        </w:rPr>
      </w:pPr>
      <w:r>
        <w:rPr>
          <w:b/>
          <w:noProof/>
          <w:sz w:val="28"/>
          <w:szCs w:val="28"/>
        </w:rPr>
        <w:t>Mã số thuế:</w:t>
      </w:r>
      <w:r w:rsidR="00942E5E" w:rsidRPr="00942E5E">
        <w:rPr>
          <w:bCs/>
          <w:noProof/>
          <w:sz w:val="28"/>
          <w:szCs w:val="28"/>
        </w:rPr>
        <w:tab/>
      </w:r>
    </w:p>
    <w:p w14:paraId="484F6332" w14:textId="3EA01619" w:rsidR="00DE7F4F" w:rsidRDefault="00DE7F4F" w:rsidP="00942E5E">
      <w:pPr>
        <w:tabs>
          <w:tab w:val="left" w:leader="dot" w:pos="5670"/>
        </w:tabs>
        <w:jc w:val="left"/>
        <w:rPr>
          <w:b/>
          <w:noProof/>
          <w:sz w:val="28"/>
          <w:szCs w:val="28"/>
        </w:rPr>
      </w:pPr>
      <w:r>
        <w:rPr>
          <w:b/>
          <w:noProof/>
          <w:sz w:val="28"/>
          <w:szCs w:val="28"/>
        </w:rPr>
        <w:t>Địa chỉ:</w:t>
      </w:r>
      <w:r w:rsidR="00942E5E" w:rsidRPr="00942E5E">
        <w:rPr>
          <w:bCs/>
          <w:noProof/>
          <w:sz w:val="28"/>
          <w:szCs w:val="28"/>
        </w:rPr>
        <w:tab/>
      </w:r>
    </w:p>
    <w:p w14:paraId="115D6D49" w14:textId="77777777" w:rsidR="007F411E" w:rsidRDefault="007F411E" w:rsidP="00637F58">
      <w:pPr>
        <w:jc w:val="center"/>
        <w:rPr>
          <w:b/>
          <w:noProof/>
          <w:sz w:val="28"/>
          <w:szCs w:val="28"/>
        </w:rPr>
      </w:pPr>
    </w:p>
    <w:p w14:paraId="77F5C245" w14:textId="4612E82D" w:rsidR="00DE0373" w:rsidRDefault="00DE0373" w:rsidP="00637F58">
      <w:pPr>
        <w:jc w:val="center"/>
        <w:rPr>
          <w:b/>
          <w:noProof/>
          <w:sz w:val="28"/>
          <w:szCs w:val="28"/>
        </w:rPr>
      </w:pPr>
      <w:r w:rsidRPr="00DE0373">
        <w:rPr>
          <w:b/>
          <w:noProof/>
          <w:sz w:val="28"/>
          <w:szCs w:val="28"/>
        </w:rPr>
        <w:t>BẢNG THÔNG TIN TỔNG HỢP HÀNG HÓA DỰ THẦU</w:t>
      </w:r>
    </w:p>
    <w:p w14:paraId="72E97244" w14:textId="39B5366D" w:rsidR="002B7CEA" w:rsidRDefault="002B7CEA" w:rsidP="00637F58">
      <w:pPr>
        <w:jc w:val="center"/>
        <w:rPr>
          <w:b/>
          <w:noProof/>
          <w:sz w:val="28"/>
          <w:szCs w:val="28"/>
        </w:rPr>
      </w:pPr>
      <w:r w:rsidRPr="00DE7F4F">
        <w:rPr>
          <w:b/>
          <w:noProof/>
          <w:sz w:val="28"/>
          <w:szCs w:val="28"/>
        </w:rPr>
        <w:t>Kính gửi: Bệnh viện Phạm Ngọc Thạch Quảng Nam</w:t>
      </w:r>
    </w:p>
    <w:tbl>
      <w:tblPr>
        <w:tblW w:w="13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
        <w:gridCol w:w="709"/>
        <w:gridCol w:w="992"/>
        <w:gridCol w:w="992"/>
        <w:gridCol w:w="851"/>
        <w:gridCol w:w="425"/>
        <w:gridCol w:w="1134"/>
        <w:gridCol w:w="1417"/>
        <w:gridCol w:w="1418"/>
        <w:gridCol w:w="1417"/>
        <w:gridCol w:w="957"/>
        <w:gridCol w:w="36"/>
        <w:gridCol w:w="850"/>
        <w:gridCol w:w="851"/>
        <w:gridCol w:w="875"/>
      </w:tblGrid>
      <w:tr w:rsidR="00DE5491" w:rsidRPr="00DE5491" w14:paraId="4A96AE22" w14:textId="77777777" w:rsidTr="007D6EFA">
        <w:trPr>
          <w:trHeight w:val="1790"/>
          <w:jc w:val="center"/>
        </w:trPr>
        <w:tc>
          <w:tcPr>
            <w:tcW w:w="488" w:type="dxa"/>
            <w:vAlign w:val="center"/>
          </w:tcPr>
          <w:p w14:paraId="596855DF" w14:textId="77777777" w:rsidR="00DE5491" w:rsidRPr="00DE5491" w:rsidRDefault="00DE5491" w:rsidP="00DE5491">
            <w:pPr>
              <w:jc w:val="center"/>
              <w:rPr>
                <w:b/>
                <w:sz w:val="22"/>
                <w:szCs w:val="22"/>
              </w:rPr>
            </w:pPr>
            <w:r w:rsidRPr="00DE5491">
              <w:rPr>
                <w:b/>
                <w:sz w:val="22"/>
                <w:szCs w:val="22"/>
              </w:rPr>
              <w:t>STT</w:t>
            </w:r>
          </w:p>
        </w:tc>
        <w:tc>
          <w:tcPr>
            <w:tcW w:w="709" w:type="dxa"/>
            <w:vAlign w:val="center"/>
          </w:tcPr>
          <w:p w14:paraId="12B34194" w14:textId="77777777" w:rsidR="00DE5491" w:rsidRPr="00DE5491" w:rsidRDefault="00DE5491" w:rsidP="00DE5491">
            <w:pPr>
              <w:jc w:val="center"/>
              <w:rPr>
                <w:b/>
                <w:sz w:val="22"/>
                <w:szCs w:val="22"/>
              </w:rPr>
            </w:pPr>
            <w:r w:rsidRPr="00DE5491">
              <w:rPr>
                <w:b/>
                <w:sz w:val="22"/>
                <w:szCs w:val="22"/>
              </w:rPr>
              <w:t>Mã phần</w:t>
            </w:r>
          </w:p>
          <w:p w14:paraId="01E77E05" w14:textId="77777777" w:rsidR="00DE5491" w:rsidRPr="00DE5491" w:rsidRDefault="00DE5491" w:rsidP="00DE5491">
            <w:pPr>
              <w:jc w:val="center"/>
              <w:rPr>
                <w:b/>
                <w:sz w:val="22"/>
                <w:szCs w:val="22"/>
              </w:rPr>
            </w:pPr>
            <w:r w:rsidRPr="00DE5491">
              <w:rPr>
                <w:b/>
                <w:sz w:val="22"/>
                <w:szCs w:val="22"/>
              </w:rPr>
              <w:t>(lô)</w:t>
            </w:r>
          </w:p>
        </w:tc>
        <w:tc>
          <w:tcPr>
            <w:tcW w:w="992" w:type="dxa"/>
            <w:vAlign w:val="center"/>
          </w:tcPr>
          <w:p w14:paraId="28DA4296" w14:textId="77777777" w:rsidR="00DE5491" w:rsidRPr="00DE5491" w:rsidRDefault="00DE5491" w:rsidP="00DE5491">
            <w:pPr>
              <w:jc w:val="center"/>
              <w:rPr>
                <w:b/>
                <w:sz w:val="22"/>
                <w:szCs w:val="22"/>
              </w:rPr>
            </w:pPr>
            <w:r w:rsidRPr="00DE5491">
              <w:rPr>
                <w:b/>
                <w:sz w:val="22"/>
                <w:szCs w:val="22"/>
              </w:rPr>
              <w:t>Tên danh mục mời thầu</w:t>
            </w:r>
          </w:p>
        </w:tc>
        <w:tc>
          <w:tcPr>
            <w:tcW w:w="992" w:type="dxa"/>
            <w:vAlign w:val="center"/>
          </w:tcPr>
          <w:p w14:paraId="583933E2" w14:textId="77777777" w:rsidR="00DE5491" w:rsidRPr="00DE5491" w:rsidRDefault="00DE5491" w:rsidP="00DE5491">
            <w:pPr>
              <w:jc w:val="center"/>
              <w:rPr>
                <w:b/>
                <w:sz w:val="22"/>
                <w:szCs w:val="22"/>
              </w:rPr>
            </w:pPr>
            <w:r w:rsidRPr="00DE5491">
              <w:rPr>
                <w:b/>
                <w:sz w:val="22"/>
                <w:szCs w:val="22"/>
              </w:rPr>
              <w:t>Tên hàng hóa dự thầu</w:t>
            </w:r>
          </w:p>
        </w:tc>
        <w:tc>
          <w:tcPr>
            <w:tcW w:w="851" w:type="dxa"/>
            <w:vAlign w:val="center"/>
          </w:tcPr>
          <w:p w14:paraId="25884935" w14:textId="77777777" w:rsidR="00DE5491" w:rsidRPr="00DE5491" w:rsidRDefault="00DE5491" w:rsidP="00DE5491">
            <w:pPr>
              <w:jc w:val="center"/>
              <w:rPr>
                <w:b/>
                <w:sz w:val="22"/>
                <w:szCs w:val="22"/>
              </w:rPr>
            </w:pPr>
            <w:r w:rsidRPr="00DE5491">
              <w:rPr>
                <w:b/>
                <w:sz w:val="22"/>
                <w:szCs w:val="22"/>
              </w:rPr>
              <w:t>Tên trên bao bì sản phẩm</w:t>
            </w:r>
          </w:p>
        </w:tc>
        <w:tc>
          <w:tcPr>
            <w:tcW w:w="425" w:type="dxa"/>
            <w:vAlign w:val="center"/>
          </w:tcPr>
          <w:p w14:paraId="786D4380" w14:textId="77777777" w:rsidR="00DE5491" w:rsidRPr="00DE5491" w:rsidRDefault="00DE5491" w:rsidP="00DE5491">
            <w:pPr>
              <w:jc w:val="center"/>
              <w:rPr>
                <w:b/>
                <w:sz w:val="22"/>
                <w:szCs w:val="22"/>
              </w:rPr>
            </w:pPr>
            <w:r w:rsidRPr="00DE5491">
              <w:rPr>
                <w:b/>
                <w:sz w:val="22"/>
                <w:szCs w:val="22"/>
              </w:rPr>
              <w:t>ĐVT</w:t>
            </w:r>
          </w:p>
        </w:tc>
        <w:tc>
          <w:tcPr>
            <w:tcW w:w="1134" w:type="dxa"/>
            <w:vAlign w:val="center"/>
          </w:tcPr>
          <w:p w14:paraId="12C3901F" w14:textId="77777777" w:rsidR="00DE5491" w:rsidRPr="00DE5491" w:rsidRDefault="00DE5491" w:rsidP="00DE5491">
            <w:pPr>
              <w:jc w:val="center"/>
              <w:rPr>
                <w:b/>
                <w:sz w:val="22"/>
                <w:szCs w:val="22"/>
              </w:rPr>
            </w:pPr>
            <w:r w:rsidRPr="00DE5491">
              <w:rPr>
                <w:b/>
                <w:sz w:val="22"/>
                <w:szCs w:val="22"/>
              </w:rPr>
              <w:br/>
              <w:t>Nhà sản xuất – Nước sản xuất</w:t>
            </w:r>
          </w:p>
        </w:tc>
        <w:tc>
          <w:tcPr>
            <w:tcW w:w="1417" w:type="dxa"/>
            <w:vAlign w:val="center"/>
          </w:tcPr>
          <w:p w14:paraId="737CAA3C" w14:textId="77777777" w:rsidR="00DE5491" w:rsidRPr="00DE5491" w:rsidRDefault="00DE5491" w:rsidP="00DE5491">
            <w:pPr>
              <w:jc w:val="center"/>
              <w:rPr>
                <w:b/>
                <w:sz w:val="22"/>
                <w:szCs w:val="22"/>
              </w:rPr>
            </w:pPr>
            <w:r w:rsidRPr="00DE5491">
              <w:rPr>
                <w:b/>
                <w:sz w:val="22"/>
                <w:szCs w:val="22"/>
              </w:rPr>
              <w:t>Hãng chủ sở hữu (nếu có)</w:t>
            </w:r>
          </w:p>
        </w:tc>
        <w:tc>
          <w:tcPr>
            <w:tcW w:w="1418" w:type="dxa"/>
            <w:vAlign w:val="center"/>
          </w:tcPr>
          <w:p w14:paraId="109BA9C0" w14:textId="5CC1C8A5" w:rsidR="00DE5491" w:rsidRPr="00DE5491" w:rsidRDefault="00DE5491" w:rsidP="00DE5491">
            <w:pPr>
              <w:jc w:val="center"/>
              <w:rPr>
                <w:b/>
                <w:sz w:val="22"/>
                <w:szCs w:val="22"/>
              </w:rPr>
            </w:pPr>
            <w:r w:rsidRPr="00DE5491">
              <w:rPr>
                <w:b/>
                <w:sz w:val="22"/>
                <w:szCs w:val="22"/>
              </w:rPr>
              <w:t>Đặc tính kỹ thuật</w:t>
            </w:r>
            <w:r w:rsidR="001B7862">
              <w:rPr>
                <w:b/>
                <w:sz w:val="22"/>
                <w:szCs w:val="22"/>
              </w:rPr>
              <w:t>, tiêu chuẩn</w:t>
            </w:r>
            <w:r w:rsidRPr="00DE5491">
              <w:rPr>
                <w:b/>
                <w:sz w:val="22"/>
                <w:szCs w:val="22"/>
              </w:rPr>
              <w:t xml:space="preserve"> của hàng hóa</w:t>
            </w:r>
          </w:p>
        </w:tc>
        <w:tc>
          <w:tcPr>
            <w:tcW w:w="1417" w:type="dxa"/>
            <w:vAlign w:val="center"/>
          </w:tcPr>
          <w:p w14:paraId="2FBAD283" w14:textId="1C8A577D" w:rsidR="00DE5491" w:rsidRPr="00DE5491" w:rsidRDefault="00DE5491" w:rsidP="00DE5491">
            <w:pPr>
              <w:jc w:val="center"/>
              <w:rPr>
                <w:b/>
                <w:sz w:val="22"/>
                <w:szCs w:val="22"/>
              </w:rPr>
            </w:pPr>
            <w:r w:rsidRPr="00DE5491">
              <w:rPr>
                <w:b/>
                <w:sz w:val="22"/>
                <w:szCs w:val="22"/>
              </w:rPr>
              <w:t>Pháp lý sản phẩm</w:t>
            </w:r>
            <w:r>
              <w:rPr>
                <w:b/>
                <w:sz w:val="22"/>
                <w:szCs w:val="22"/>
              </w:rPr>
              <w:t xml:space="preserve"> (C/O, C/Q, GPNK, GPLH..)</w:t>
            </w:r>
          </w:p>
        </w:tc>
        <w:tc>
          <w:tcPr>
            <w:tcW w:w="993" w:type="dxa"/>
            <w:gridSpan w:val="2"/>
            <w:vAlign w:val="center"/>
          </w:tcPr>
          <w:p w14:paraId="2D2AC488" w14:textId="58250AA8" w:rsidR="00DE5491" w:rsidRPr="00DE5491" w:rsidRDefault="007D6EFA" w:rsidP="00DE5491">
            <w:pPr>
              <w:jc w:val="center"/>
              <w:rPr>
                <w:b/>
                <w:sz w:val="22"/>
                <w:szCs w:val="22"/>
              </w:rPr>
            </w:pPr>
            <w:r>
              <w:rPr>
                <w:b/>
                <w:sz w:val="22"/>
                <w:szCs w:val="22"/>
              </w:rPr>
              <w:t>Đơn giá (đã bao gồm VAT)</w:t>
            </w:r>
          </w:p>
        </w:tc>
        <w:tc>
          <w:tcPr>
            <w:tcW w:w="850" w:type="dxa"/>
            <w:vAlign w:val="center"/>
          </w:tcPr>
          <w:p w14:paraId="27F0CF8E" w14:textId="59F5851D" w:rsidR="00DE5491" w:rsidRPr="00DE5491" w:rsidRDefault="007D6EFA" w:rsidP="00DE5491">
            <w:pPr>
              <w:jc w:val="center"/>
              <w:rPr>
                <w:b/>
                <w:sz w:val="22"/>
                <w:szCs w:val="22"/>
              </w:rPr>
            </w:pPr>
            <w:r>
              <w:rPr>
                <w:b/>
                <w:sz w:val="22"/>
                <w:szCs w:val="22"/>
              </w:rPr>
              <w:t>Thành tiền</w:t>
            </w:r>
          </w:p>
        </w:tc>
        <w:tc>
          <w:tcPr>
            <w:tcW w:w="851" w:type="dxa"/>
            <w:vAlign w:val="center"/>
          </w:tcPr>
          <w:p w14:paraId="7EC7A549" w14:textId="77777777" w:rsidR="007D6EFA" w:rsidRPr="00DE5491" w:rsidRDefault="007D6EFA" w:rsidP="007D6EFA">
            <w:pPr>
              <w:jc w:val="center"/>
              <w:rPr>
                <w:b/>
                <w:sz w:val="22"/>
                <w:szCs w:val="22"/>
              </w:rPr>
            </w:pPr>
            <w:r w:rsidRPr="00DE5491">
              <w:rPr>
                <w:b/>
                <w:sz w:val="22"/>
                <w:szCs w:val="22"/>
              </w:rPr>
              <w:t>Mã dùng chung</w:t>
            </w:r>
          </w:p>
          <w:p w14:paraId="1AE4A714" w14:textId="4C1CD343" w:rsidR="00DE5491" w:rsidRPr="00DE5491" w:rsidRDefault="007D6EFA" w:rsidP="007D6EFA">
            <w:pPr>
              <w:jc w:val="center"/>
              <w:rPr>
                <w:b/>
                <w:sz w:val="22"/>
                <w:szCs w:val="22"/>
              </w:rPr>
            </w:pPr>
            <w:r w:rsidRPr="00DE5491">
              <w:rPr>
                <w:b/>
                <w:sz w:val="22"/>
                <w:szCs w:val="22"/>
              </w:rPr>
              <w:t>(nếu có)</w:t>
            </w:r>
          </w:p>
        </w:tc>
        <w:tc>
          <w:tcPr>
            <w:tcW w:w="875" w:type="dxa"/>
            <w:vAlign w:val="center"/>
          </w:tcPr>
          <w:p w14:paraId="50EA60F6" w14:textId="77777777" w:rsidR="00DE5491" w:rsidRPr="00DE5491" w:rsidRDefault="00DE5491" w:rsidP="00DE5491">
            <w:pPr>
              <w:jc w:val="center"/>
              <w:rPr>
                <w:b/>
                <w:sz w:val="22"/>
                <w:szCs w:val="22"/>
              </w:rPr>
            </w:pPr>
            <w:r w:rsidRPr="00DE5491">
              <w:rPr>
                <w:b/>
                <w:sz w:val="22"/>
                <w:szCs w:val="22"/>
              </w:rPr>
              <w:t>Thiết bị đi kèm</w:t>
            </w:r>
          </w:p>
        </w:tc>
      </w:tr>
      <w:tr w:rsidR="00952C51" w:rsidRPr="009A522C" w14:paraId="4F8A9A63" w14:textId="77777777" w:rsidTr="007D6EFA">
        <w:trPr>
          <w:trHeight w:val="429"/>
          <w:jc w:val="center"/>
        </w:trPr>
        <w:tc>
          <w:tcPr>
            <w:tcW w:w="488" w:type="dxa"/>
          </w:tcPr>
          <w:p w14:paraId="11A3365B" w14:textId="77777777" w:rsidR="00952C51" w:rsidRPr="009A522C" w:rsidRDefault="00952C51" w:rsidP="00952C51">
            <w:pPr>
              <w:jc w:val="center"/>
              <w:rPr>
                <w:sz w:val="26"/>
                <w:szCs w:val="26"/>
              </w:rPr>
            </w:pPr>
            <w:r w:rsidRPr="009A522C">
              <w:rPr>
                <w:sz w:val="26"/>
                <w:szCs w:val="26"/>
              </w:rPr>
              <w:t>1</w:t>
            </w:r>
          </w:p>
        </w:tc>
        <w:tc>
          <w:tcPr>
            <w:tcW w:w="709" w:type="dxa"/>
          </w:tcPr>
          <w:p w14:paraId="3D68F908" w14:textId="77777777" w:rsidR="00952C51" w:rsidRPr="009A522C" w:rsidRDefault="00952C51" w:rsidP="00952C51">
            <w:pPr>
              <w:jc w:val="center"/>
              <w:rPr>
                <w:sz w:val="26"/>
                <w:szCs w:val="26"/>
              </w:rPr>
            </w:pPr>
            <w:r w:rsidRPr="009A522C">
              <w:rPr>
                <w:sz w:val="26"/>
                <w:szCs w:val="26"/>
              </w:rPr>
              <w:t>2</w:t>
            </w:r>
          </w:p>
        </w:tc>
        <w:tc>
          <w:tcPr>
            <w:tcW w:w="992" w:type="dxa"/>
          </w:tcPr>
          <w:p w14:paraId="7F2675AE" w14:textId="77777777" w:rsidR="00952C51" w:rsidRPr="009A522C" w:rsidRDefault="00952C51" w:rsidP="00952C51">
            <w:pPr>
              <w:jc w:val="center"/>
              <w:rPr>
                <w:sz w:val="26"/>
                <w:szCs w:val="26"/>
              </w:rPr>
            </w:pPr>
            <w:r w:rsidRPr="009A522C">
              <w:rPr>
                <w:sz w:val="26"/>
                <w:szCs w:val="26"/>
              </w:rPr>
              <w:t>3</w:t>
            </w:r>
          </w:p>
        </w:tc>
        <w:tc>
          <w:tcPr>
            <w:tcW w:w="992" w:type="dxa"/>
          </w:tcPr>
          <w:p w14:paraId="017D82E2" w14:textId="77777777" w:rsidR="00952C51" w:rsidRPr="009A522C" w:rsidRDefault="00952C51" w:rsidP="00952C51">
            <w:pPr>
              <w:jc w:val="center"/>
              <w:rPr>
                <w:sz w:val="26"/>
                <w:szCs w:val="26"/>
              </w:rPr>
            </w:pPr>
            <w:r w:rsidRPr="009A522C">
              <w:rPr>
                <w:sz w:val="26"/>
                <w:szCs w:val="26"/>
              </w:rPr>
              <w:t>4</w:t>
            </w:r>
          </w:p>
        </w:tc>
        <w:tc>
          <w:tcPr>
            <w:tcW w:w="851" w:type="dxa"/>
          </w:tcPr>
          <w:p w14:paraId="4712D684" w14:textId="77777777" w:rsidR="00952C51" w:rsidRPr="009A522C" w:rsidRDefault="00952C51" w:rsidP="00952C51">
            <w:pPr>
              <w:jc w:val="center"/>
              <w:rPr>
                <w:sz w:val="26"/>
                <w:szCs w:val="26"/>
              </w:rPr>
            </w:pPr>
            <w:r w:rsidRPr="009A522C">
              <w:rPr>
                <w:sz w:val="26"/>
                <w:szCs w:val="26"/>
              </w:rPr>
              <w:t>5</w:t>
            </w:r>
          </w:p>
        </w:tc>
        <w:tc>
          <w:tcPr>
            <w:tcW w:w="425" w:type="dxa"/>
          </w:tcPr>
          <w:p w14:paraId="38BC6B8F" w14:textId="77777777" w:rsidR="00952C51" w:rsidRPr="009A522C" w:rsidRDefault="00952C51" w:rsidP="00952C51">
            <w:pPr>
              <w:jc w:val="center"/>
              <w:rPr>
                <w:sz w:val="26"/>
                <w:szCs w:val="26"/>
              </w:rPr>
            </w:pPr>
            <w:r w:rsidRPr="009A522C">
              <w:rPr>
                <w:sz w:val="26"/>
                <w:szCs w:val="26"/>
              </w:rPr>
              <w:t>6</w:t>
            </w:r>
          </w:p>
        </w:tc>
        <w:tc>
          <w:tcPr>
            <w:tcW w:w="1134" w:type="dxa"/>
          </w:tcPr>
          <w:p w14:paraId="2F771794" w14:textId="6F881D36" w:rsidR="00952C51" w:rsidRPr="009A522C" w:rsidRDefault="00952C51" w:rsidP="00952C51">
            <w:pPr>
              <w:jc w:val="center"/>
              <w:rPr>
                <w:sz w:val="26"/>
                <w:szCs w:val="26"/>
              </w:rPr>
            </w:pPr>
            <w:r w:rsidRPr="009A522C">
              <w:rPr>
                <w:sz w:val="26"/>
                <w:szCs w:val="26"/>
              </w:rPr>
              <w:t>7</w:t>
            </w:r>
          </w:p>
        </w:tc>
        <w:tc>
          <w:tcPr>
            <w:tcW w:w="1417" w:type="dxa"/>
          </w:tcPr>
          <w:p w14:paraId="06D05F50" w14:textId="77A1308F" w:rsidR="00952C51" w:rsidRPr="009A522C" w:rsidRDefault="00952C51" w:rsidP="00952C51">
            <w:pPr>
              <w:jc w:val="center"/>
              <w:rPr>
                <w:sz w:val="26"/>
                <w:szCs w:val="26"/>
              </w:rPr>
            </w:pPr>
            <w:r w:rsidRPr="009A522C">
              <w:rPr>
                <w:sz w:val="26"/>
                <w:szCs w:val="26"/>
              </w:rPr>
              <w:t>8</w:t>
            </w:r>
          </w:p>
        </w:tc>
        <w:tc>
          <w:tcPr>
            <w:tcW w:w="1418" w:type="dxa"/>
          </w:tcPr>
          <w:p w14:paraId="02E52BAD" w14:textId="7DD0E6D7" w:rsidR="00952C51" w:rsidRPr="009A522C" w:rsidRDefault="00952C51" w:rsidP="00952C51">
            <w:pPr>
              <w:jc w:val="center"/>
              <w:rPr>
                <w:sz w:val="26"/>
                <w:szCs w:val="26"/>
              </w:rPr>
            </w:pPr>
            <w:r w:rsidRPr="009A522C">
              <w:rPr>
                <w:sz w:val="26"/>
                <w:szCs w:val="26"/>
              </w:rPr>
              <w:t>9</w:t>
            </w:r>
          </w:p>
        </w:tc>
        <w:tc>
          <w:tcPr>
            <w:tcW w:w="1417" w:type="dxa"/>
          </w:tcPr>
          <w:p w14:paraId="26EA0AEB" w14:textId="4CD99FC2" w:rsidR="00952C51" w:rsidRPr="009A522C" w:rsidRDefault="00952C51" w:rsidP="00952C51">
            <w:pPr>
              <w:jc w:val="center"/>
              <w:rPr>
                <w:sz w:val="26"/>
                <w:szCs w:val="26"/>
              </w:rPr>
            </w:pPr>
            <w:r>
              <w:rPr>
                <w:sz w:val="26"/>
                <w:szCs w:val="26"/>
              </w:rPr>
              <w:t>10</w:t>
            </w:r>
          </w:p>
        </w:tc>
        <w:tc>
          <w:tcPr>
            <w:tcW w:w="957" w:type="dxa"/>
          </w:tcPr>
          <w:p w14:paraId="7BB18F04" w14:textId="540FAE6F" w:rsidR="00952C51" w:rsidRPr="009A522C" w:rsidRDefault="00952C51" w:rsidP="00952C51">
            <w:pPr>
              <w:jc w:val="center"/>
              <w:rPr>
                <w:sz w:val="26"/>
                <w:szCs w:val="26"/>
              </w:rPr>
            </w:pPr>
            <w:r w:rsidRPr="009A522C">
              <w:rPr>
                <w:sz w:val="26"/>
                <w:szCs w:val="26"/>
              </w:rPr>
              <w:t>1</w:t>
            </w:r>
            <w:r>
              <w:rPr>
                <w:sz w:val="26"/>
                <w:szCs w:val="26"/>
              </w:rPr>
              <w:t>1</w:t>
            </w:r>
          </w:p>
        </w:tc>
        <w:tc>
          <w:tcPr>
            <w:tcW w:w="886" w:type="dxa"/>
            <w:gridSpan w:val="2"/>
          </w:tcPr>
          <w:p w14:paraId="65C88EC0" w14:textId="7C7FAF0C" w:rsidR="00952C51" w:rsidRPr="009A522C" w:rsidRDefault="00952C51" w:rsidP="00952C51">
            <w:pPr>
              <w:jc w:val="center"/>
              <w:rPr>
                <w:sz w:val="26"/>
                <w:szCs w:val="26"/>
              </w:rPr>
            </w:pPr>
            <w:r w:rsidRPr="009A522C">
              <w:rPr>
                <w:sz w:val="26"/>
                <w:szCs w:val="26"/>
              </w:rPr>
              <w:t>1</w:t>
            </w:r>
            <w:r>
              <w:rPr>
                <w:sz w:val="26"/>
                <w:szCs w:val="26"/>
              </w:rPr>
              <w:t>2</w:t>
            </w:r>
            <w:r w:rsidR="009A7C07">
              <w:rPr>
                <w:sz w:val="26"/>
                <w:szCs w:val="26"/>
              </w:rPr>
              <w:t>=11x6</w:t>
            </w:r>
          </w:p>
        </w:tc>
        <w:tc>
          <w:tcPr>
            <w:tcW w:w="851" w:type="dxa"/>
          </w:tcPr>
          <w:p w14:paraId="19317998" w14:textId="0EA5D074" w:rsidR="00952C51" w:rsidRPr="009A522C" w:rsidRDefault="00952C51" w:rsidP="00952C51">
            <w:pPr>
              <w:jc w:val="center"/>
              <w:rPr>
                <w:sz w:val="26"/>
                <w:szCs w:val="26"/>
              </w:rPr>
            </w:pPr>
            <w:r w:rsidRPr="009A522C">
              <w:rPr>
                <w:sz w:val="26"/>
                <w:szCs w:val="26"/>
              </w:rPr>
              <w:t>1</w:t>
            </w:r>
            <w:r>
              <w:rPr>
                <w:sz w:val="26"/>
                <w:szCs w:val="26"/>
              </w:rPr>
              <w:t>3</w:t>
            </w:r>
          </w:p>
        </w:tc>
        <w:tc>
          <w:tcPr>
            <w:tcW w:w="875" w:type="dxa"/>
          </w:tcPr>
          <w:p w14:paraId="1A126A74" w14:textId="2DA526D7" w:rsidR="00952C51" w:rsidRPr="009A522C" w:rsidRDefault="00952C51" w:rsidP="00952C51">
            <w:pPr>
              <w:jc w:val="center"/>
              <w:rPr>
                <w:sz w:val="26"/>
                <w:szCs w:val="26"/>
              </w:rPr>
            </w:pPr>
            <w:r w:rsidRPr="009A522C">
              <w:rPr>
                <w:sz w:val="26"/>
                <w:szCs w:val="26"/>
              </w:rPr>
              <w:t>1</w:t>
            </w:r>
            <w:r>
              <w:rPr>
                <w:sz w:val="26"/>
                <w:szCs w:val="26"/>
              </w:rPr>
              <w:t>4</w:t>
            </w:r>
          </w:p>
        </w:tc>
      </w:tr>
      <w:tr w:rsidR="00952C51" w:rsidRPr="009A522C" w14:paraId="6164B55C" w14:textId="77777777" w:rsidTr="007D6EFA">
        <w:trPr>
          <w:trHeight w:val="745"/>
          <w:jc w:val="center"/>
        </w:trPr>
        <w:tc>
          <w:tcPr>
            <w:tcW w:w="488" w:type="dxa"/>
          </w:tcPr>
          <w:p w14:paraId="1351B54A" w14:textId="77777777" w:rsidR="00952C51" w:rsidRPr="006B3609" w:rsidRDefault="00952C51" w:rsidP="00952C51"/>
        </w:tc>
        <w:tc>
          <w:tcPr>
            <w:tcW w:w="709" w:type="dxa"/>
          </w:tcPr>
          <w:p w14:paraId="40A48BE2" w14:textId="77777777" w:rsidR="00952C51" w:rsidRPr="009A522C" w:rsidRDefault="00952C51" w:rsidP="00952C51">
            <w:pPr>
              <w:rPr>
                <w:sz w:val="26"/>
                <w:szCs w:val="26"/>
              </w:rPr>
            </w:pPr>
          </w:p>
        </w:tc>
        <w:tc>
          <w:tcPr>
            <w:tcW w:w="992" w:type="dxa"/>
          </w:tcPr>
          <w:p w14:paraId="03973931" w14:textId="77777777" w:rsidR="00952C51" w:rsidRPr="009A522C" w:rsidRDefault="00952C51" w:rsidP="00952C51">
            <w:pPr>
              <w:rPr>
                <w:sz w:val="26"/>
                <w:szCs w:val="26"/>
              </w:rPr>
            </w:pPr>
          </w:p>
        </w:tc>
        <w:tc>
          <w:tcPr>
            <w:tcW w:w="992" w:type="dxa"/>
          </w:tcPr>
          <w:p w14:paraId="5B79C957" w14:textId="77777777" w:rsidR="00952C51" w:rsidRPr="009A522C" w:rsidRDefault="00952C51" w:rsidP="00952C51">
            <w:pPr>
              <w:rPr>
                <w:sz w:val="26"/>
                <w:szCs w:val="26"/>
              </w:rPr>
            </w:pPr>
          </w:p>
        </w:tc>
        <w:tc>
          <w:tcPr>
            <w:tcW w:w="851" w:type="dxa"/>
          </w:tcPr>
          <w:p w14:paraId="6A2E05D0" w14:textId="77777777" w:rsidR="00952C51" w:rsidRPr="009A522C" w:rsidRDefault="00952C51" w:rsidP="00952C51">
            <w:pPr>
              <w:rPr>
                <w:sz w:val="26"/>
                <w:szCs w:val="26"/>
              </w:rPr>
            </w:pPr>
          </w:p>
        </w:tc>
        <w:tc>
          <w:tcPr>
            <w:tcW w:w="425" w:type="dxa"/>
          </w:tcPr>
          <w:p w14:paraId="02A1FC65" w14:textId="77777777" w:rsidR="00952C51" w:rsidRPr="009A522C" w:rsidRDefault="00952C51" w:rsidP="00952C51">
            <w:pPr>
              <w:rPr>
                <w:sz w:val="26"/>
                <w:szCs w:val="26"/>
              </w:rPr>
            </w:pPr>
          </w:p>
        </w:tc>
        <w:tc>
          <w:tcPr>
            <w:tcW w:w="1134" w:type="dxa"/>
          </w:tcPr>
          <w:p w14:paraId="1B5C5D86" w14:textId="77777777" w:rsidR="00952C51" w:rsidRPr="009A522C" w:rsidRDefault="00952C51" w:rsidP="00952C51">
            <w:pPr>
              <w:rPr>
                <w:sz w:val="26"/>
                <w:szCs w:val="26"/>
              </w:rPr>
            </w:pPr>
          </w:p>
        </w:tc>
        <w:tc>
          <w:tcPr>
            <w:tcW w:w="1417" w:type="dxa"/>
          </w:tcPr>
          <w:p w14:paraId="417CA550" w14:textId="77777777" w:rsidR="00952C51" w:rsidRPr="009A522C" w:rsidRDefault="00952C51" w:rsidP="00952C51">
            <w:pPr>
              <w:rPr>
                <w:sz w:val="26"/>
                <w:szCs w:val="26"/>
              </w:rPr>
            </w:pPr>
          </w:p>
        </w:tc>
        <w:tc>
          <w:tcPr>
            <w:tcW w:w="1418" w:type="dxa"/>
          </w:tcPr>
          <w:p w14:paraId="65DED16A" w14:textId="77777777" w:rsidR="00952C51" w:rsidRPr="009A522C" w:rsidRDefault="00952C51" w:rsidP="00952C51">
            <w:pPr>
              <w:rPr>
                <w:sz w:val="26"/>
                <w:szCs w:val="26"/>
              </w:rPr>
            </w:pPr>
          </w:p>
        </w:tc>
        <w:tc>
          <w:tcPr>
            <w:tcW w:w="1417" w:type="dxa"/>
          </w:tcPr>
          <w:p w14:paraId="4FCE4B26" w14:textId="77777777" w:rsidR="00952C51" w:rsidRPr="009A522C" w:rsidRDefault="00952C51" w:rsidP="00952C51">
            <w:pPr>
              <w:rPr>
                <w:sz w:val="26"/>
                <w:szCs w:val="26"/>
              </w:rPr>
            </w:pPr>
          </w:p>
        </w:tc>
        <w:tc>
          <w:tcPr>
            <w:tcW w:w="957" w:type="dxa"/>
          </w:tcPr>
          <w:p w14:paraId="3825DAFB" w14:textId="77777777" w:rsidR="00952C51" w:rsidRPr="009A522C" w:rsidRDefault="00952C51" w:rsidP="00952C51">
            <w:pPr>
              <w:rPr>
                <w:sz w:val="26"/>
                <w:szCs w:val="26"/>
              </w:rPr>
            </w:pPr>
          </w:p>
        </w:tc>
        <w:tc>
          <w:tcPr>
            <w:tcW w:w="886" w:type="dxa"/>
            <w:gridSpan w:val="2"/>
          </w:tcPr>
          <w:p w14:paraId="1F4E916C" w14:textId="77777777" w:rsidR="00952C51" w:rsidRPr="009A522C" w:rsidRDefault="00952C51" w:rsidP="00952C51">
            <w:pPr>
              <w:rPr>
                <w:sz w:val="26"/>
                <w:szCs w:val="26"/>
              </w:rPr>
            </w:pPr>
          </w:p>
        </w:tc>
        <w:tc>
          <w:tcPr>
            <w:tcW w:w="851" w:type="dxa"/>
          </w:tcPr>
          <w:p w14:paraId="06366508" w14:textId="77777777" w:rsidR="00952C51" w:rsidRPr="009A522C" w:rsidRDefault="00952C51" w:rsidP="00952C51">
            <w:pPr>
              <w:rPr>
                <w:sz w:val="26"/>
                <w:szCs w:val="26"/>
              </w:rPr>
            </w:pPr>
          </w:p>
        </w:tc>
        <w:tc>
          <w:tcPr>
            <w:tcW w:w="875" w:type="dxa"/>
          </w:tcPr>
          <w:p w14:paraId="6FCE88D8" w14:textId="77777777" w:rsidR="00952C51" w:rsidRPr="009A522C" w:rsidRDefault="00952C51" w:rsidP="00952C51">
            <w:pPr>
              <w:rPr>
                <w:sz w:val="26"/>
                <w:szCs w:val="26"/>
              </w:rPr>
            </w:pPr>
          </w:p>
        </w:tc>
      </w:tr>
    </w:tbl>
    <w:p w14:paraId="036A55B7" w14:textId="5476392E" w:rsidR="00637F58" w:rsidRPr="00DE7F4F" w:rsidRDefault="00637F58" w:rsidP="00637F58">
      <w:pPr>
        <w:spacing w:after="120"/>
        <w:rPr>
          <w:sz w:val="26"/>
          <w:szCs w:val="26"/>
        </w:rPr>
      </w:pPr>
    </w:p>
    <w:p w14:paraId="0B92577E" w14:textId="77777777" w:rsidR="00637F58" w:rsidRPr="00417D01" w:rsidRDefault="00637F58" w:rsidP="00DE5491">
      <w:pPr>
        <w:jc w:val="center"/>
        <w:rPr>
          <w:b/>
          <w:sz w:val="26"/>
          <w:szCs w:val="26"/>
          <w:lang w:val="vi-VN"/>
        </w:rPr>
      </w:pPr>
      <w:r w:rsidRPr="00417D01">
        <w:rPr>
          <w:b/>
          <w:sz w:val="26"/>
          <w:szCs w:val="26"/>
          <w:lang w:val="vi-VN"/>
        </w:rPr>
        <w:t xml:space="preserve">                                                                                                                                     Đại diện hợp pháp của nhà thầu</w:t>
      </w:r>
    </w:p>
    <w:p w14:paraId="08332DDB" w14:textId="77777777" w:rsidR="00637F58" w:rsidRPr="00417D01" w:rsidRDefault="00637F58" w:rsidP="00637F58">
      <w:pPr>
        <w:ind w:firstLine="567"/>
        <w:jc w:val="center"/>
        <w:rPr>
          <w:i/>
          <w:sz w:val="26"/>
          <w:szCs w:val="26"/>
          <w:lang w:val="vi-VN"/>
        </w:rPr>
      </w:pPr>
      <w:r w:rsidRPr="00417D01">
        <w:rPr>
          <w:i/>
          <w:sz w:val="26"/>
          <w:szCs w:val="26"/>
          <w:lang w:val="vi-VN"/>
        </w:rPr>
        <w:t xml:space="preserve">                                                                                                                            (Ghi tên, chức danh, ký tên và đóng dấu)</w:t>
      </w:r>
    </w:p>
    <w:p w14:paraId="2E72DD10" w14:textId="77777777" w:rsidR="00637F58" w:rsidRPr="00417D01" w:rsidRDefault="00637F58" w:rsidP="00637F58">
      <w:pPr>
        <w:spacing w:after="160" w:line="259" w:lineRule="auto"/>
        <w:jc w:val="left"/>
        <w:rPr>
          <w:b/>
          <w:i/>
          <w:sz w:val="26"/>
          <w:szCs w:val="26"/>
          <w:lang w:val="vi-VN" w:eastAsia="en-NZ"/>
        </w:rPr>
      </w:pPr>
      <w:r w:rsidRPr="00417D01">
        <w:rPr>
          <w:b/>
          <w:i/>
          <w:sz w:val="26"/>
          <w:szCs w:val="26"/>
          <w:u w:val="single"/>
          <w:lang w:val="vi-VN" w:eastAsia="en-NZ"/>
        </w:rPr>
        <w:t>Ghi chú:</w:t>
      </w:r>
    </w:p>
    <w:p w14:paraId="0AE64341" w14:textId="1F15935B" w:rsidR="00637F58" w:rsidRPr="00417D01" w:rsidRDefault="00637F58" w:rsidP="00637F58">
      <w:pPr>
        <w:spacing w:before="120"/>
        <w:rPr>
          <w:i/>
          <w:sz w:val="26"/>
          <w:szCs w:val="26"/>
          <w:lang w:val="vi-VN"/>
        </w:rPr>
      </w:pPr>
      <w:r w:rsidRPr="00417D01">
        <w:rPr>
          <w:i/>
          <w:sz w:val="26"/>
          <w:szCs w:val="26"/>
          <w:lang w:val="vi-VN"/>
        </w:rPr>
        <w:t xml:space="preserve">+ Cột </w:t>
      </w:r>
      <w:r w:rsidRPr="00417D01">
        <w:rPr>
          <w:bCs/>
          <w:i/>
          <w:sz w:val="26"/>
          <w:szCs w:val="26"/>
          <w:lang w:val="vi-VN"/>
        </w:rPr>
        <w:t>Cấu hình, tính năng kỹ thuật</w:t>
      </w:r>
      <w:r w:rsidRPr="00417D01">
        <w:rPr>
          <w:i/>
          <w:sz w:val="26"/>
          <w:szCs w:val="26"/>
          <w:lang w:val="vi-VN"/>
        </w:rPr>
        <w:t xml:space="preserve">: Đề nghị nhà thầu kê khai rõ cấu hình, tính năng, thông số kỹ thuật của hàng hóa để chứng minh tính đáp ứng theo các yêu cầu của HSMT. </w:t>
      </w:r>
    </w:p>
    <w:bookmarkEnd w:id="1"/>
    <w:p w14:paraId="198A955F" w14:textId="10CCC86F" w:rsidR="00CD6665" w:rsidRPr="00F6654E" w:rsidRDefault="0003137E" w:rsidP="00F6654E">
      <w:pPr>
        <w:rPr>
          <w:i/>
          <w:iCs/>
          <w:sz w:val="26"/>
          <w:szCs w:val="26"/>
        </w:rPr>
        <w:sectPr w:rsidR="00CD6665" w:rsidRPr="00F6654E" w:rsidSect="00637F58">
          <w:pgSz w:w="15840" w:h="12240" w:orient="landscape"/>
          <w:pgMar w:top="709" w:right="1418" w:bottom="851" w:left="1418" w:header="720" w:footer="720" w:gutter="0"/>
          <w:cols w:space="720"/>
          <w:docGrid w:linePitch="360"/>
        </w:sectPr>
      </w:pPr>
      <w:r>
        <w:t xml:space="preserve">+ </w:t>
      </w:r>
      <w:r w:rsidRPr="0003137E">
        <w:rPr>
          <w:i/>
          <w:iCs/>
          <w:sz w:val="26"/>
          <w:szCs w:val="26"/>
        </w:rPr>
        <w:t xml:space="preserve">Các thông tin trong </w:t>
      </w:r>
      <w:r>
        <w:rPr>
          <w:i/>
          <w:iCs/>
          <w:sz w:val="26"/>
          <w:szCs w:val="26"/>
        </w:rPr>
        <w:t>BẢNG KÊ KHAI HÀNG HOÁ DỰ THẦU</w:t>
      </w:r>
      <w:r w:rsidRPr="0003137E">
        <w:rPr>
          <w:i/>
          <w:iCs/>
          <w:sz w:val="26"/>
          <w:szCs w:val="26"/>
        </w:rPr>
        <w:t xml:space="preserve"> là </w:t>
      </w:r>
      <w:r w:rsidRPr="0003137E">
        <w:rPr>
          <w:b/>
          <w:bCs/>
          <w:i/>
          <w:iCs/>
          <w:sz w:val="26"/>
          <w:szCs w:val="26"/>
        </w:rPr>
        <w:t>thông tin thương mại</w:t>
      </w:r>
      <w:r w:rsidRPr="0003137E">
        <w:rPr>
          <w:i/>
          <w:iCs/>
          <w:sz w:val="26"/>
          <w:szCs w:val="26"/>
        </w:rPr>
        <w:t xml:space="preserve"> của hàng hóa dự thầu, Nhà thầu điền chính xác theo thông tin sản phẩm dự thầu của mình, </w:t>
      </w:r>
      <w:r w:rsidRPr="0003137E">
        <w:rPr>
          <w:b/>
          <w:bCs/>
          <w:i/>
          <w:iCs/>
          <w:sz w:val="26"/>
          <w:szCs w:val="26"/>
        </w:rPr>
        <w:t>KHÔNG COPY</w:t>
      </w:r>
      <w:r w:rsidRPr="0003137E">
        <w:rPr>
          <w:i/>
          <w:iCs/>
          <w:sz w:val="26"/>
          <w:szCs w:val="26"/>
        </w:rPr>
        <w:t xml:space="preserve"> từ thông tin từ trong E-HSMT của </w:t>
      </w:r>
      <w:r w:rsidR="00E55240">
        <w:rPr>
          <w:i/>
          <w:iCs/>
          <w:sz w:val="26"/>
          <w:szCs w:val="26"/>
        </w:rPr>
        <w:t>Chủ đầu tư</w:t>
      </w:r>
    </w:p>
    <w:p w14:paraId="5245754A" w14:textId="77777777" w:rsidR="001A6B82" w:rsidRPr="00C3656D" w:rsidRDefault="001A6B82" w:rsidP="001A6B82">
      <w:pPr>
        <w:spacing w:after="200" w:line="276" w:lineRule="auto"/>
        <w:ind w:firstLine="709"/>
        <w:jc w:val="center"/>
        <w:rPr>
          <w:b/>
          <w:bCs/>
          <w:color w:val="000000" w:themeColor="text1"/>
          <w:sz w:val="32"/>
          <w:szCs w:val="32"/>
          <w:lang w:val="nl-NL"/>
        </w:rPr>
      </w:pPr>
      <w:r w:rsidRPr="00C3656D">
        <w:rPr>
          <w:b/>
          <w:bCs/>
          <w:color w:val="000000" w:themeColor="text1"/>
          <w:sz w:val="32"/>
          <w:szCs w:val="32"/>
          <w:lang w:val="nl-NL"/>
        </w:rPr>
        <w:lastRenderedPageBreak/>
        <w:t>HƯỚNG DẪN NHÀ THẦU</w:t>
      </w:r>
    </w:p>
    <w:p w14:paraId="11B1DB67" w14:textId="77777777" w:rsidR="00A3258A" w:rsidRDefault="001A6B82" w:rsidP="00A3258A">
      <w:pPr>
        <w:spacing w:line="276" w:lineRule="auto"/>
        <w:ind w:firstLine="709"/>
        <w:jc w:val="center"/>
        <w:rPr>
          <w:b/>
          <w:bCs/>
          <w:color w:val="000000" w:themeColor="text1"/>
          <w:sz w:val="28"/>
          <w:lang w:val="nl-NL"/>
        </w:rPr>
      </w:pPr>
      <w:r w:rsidRPr="00C3656D">
        <w:rPr>
          <w:b/>
          <w:bCs/>
          <w:color w:val="000000" w:themeColor="text1"/>
          <w:sz w:val="28"/>
          <w:lang w:val="nl-NL"/>
        </w:rPr>
        <w:t xml:space="preserve">HƯỚNG DẪN NÀY KHÔNG PHẢI LÀ TIÊU CHUẨN ĐÁNH GIÁ </w:t>
      </w:r>
    </w:p>
    <w:p w14:paraId="4DB16908" w14:textId="5FD1E101" w:rsidR="001A6B82" w:rsidRPr="00C3656D" w:rsidRDefault="001A6B82" w:rsidP="00A3258A">
      <w:pPr>
        <w:spacing w:line="276" w:lineRule="auto"/>
        <w:ind w:firstLine="709"/>
        <w:jc w:val="center"/>
        <w:rPr>
          <w:b/>
          <w:bCs/>
          <w:color w:val="000000" w:themeColor="text1"/>
          <w:sz w:val="28"/>
          <w:lang w:val="nl-NL"/>
        </w:rPr>
      </w:pPr>
      <w:r w:rsidRPr="00C3656D">
        <w:rPr>
          <w:b/>
          <w:bCs/>
          <w:color w:val="000000" w:themeColor="text1"/>
          <w:sz w:val="28"/>
          <w:lang w:val="nl-NL"/>
        </w:rPr>
        <w:t>HỒ SƠ DỰ THẦU</w:t>
      </w:r>
    </w:p>
    <w:p w14:paraId="2A1726E2" w14:textId="77777777" w:rsidR="001A6B82" w:rsidRPr="00EB5590" w:rsidRDefault="001A6B82" w:rsidP="001A6B82">
      <w:pPr>
        <w:pStyle w:val="ListParagraph"/>
        <w:numPr>
          <w:ilvl w:val="0"/>
          <w:numId w:val="8"/>
        </w:numPr>
        <w:spacing w:before="120" w:after="120" w:line="264" w:lineRule="auto"/>
        <w:rPr>
          <w:b/>
          <w:iCs/>
          <w:color w:val="000000" w:themeColor="text1"/>
          <w:sz w:val="28"/>
          <w:szCs w:val="28"/>
          <w:lang w:val="nl-NL"/>
        </w:rPr>
      </w:pPr>
      <w:r w:rsidRPr="00EB5590">
        <w:rPr>
          <w:b/>
          <w:iCs/>
          <w:color w:val="000000" w:themeColor="text1"/>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1A6B82" w:rsidRPr="00EB5590" w14:paraId="6463A4B1" w14:textId="77777777" w:rsidTr="007D408E">
        <w:trPr>
          <w:jc w:val="center"/>
        </w:trPr>
        <w:tc>
          <w:tcPr>
            <w:tcW w:w="10485" w:type="dxa"/>
            <w:gridSpan w:val="2"/>
          </w:tcPr>
          <w:p w14:paraId="553B70CF" w14:textId="77777777" w:rsidR="001A6B82" w:rsidRPr="00EB5590" w:rsidRDefault="001A6B82" w:rsidP="007D408E">
            <w:pPr>
              <w:spacing w:before="60" w:after="60" w:line="264" w:lineRule="auto"/>
              <w:jc w:val="center"/>
              <w:rPr>
                <w:b/>
                <w:iCs/>
                <w:color w:val="000000" w:themeColor="text1"/>
                <w:sz w:val="28"/>
                <w:szCs w:val="28"/>
                <w:lang w:val="nl-NL"/>
              </w:rPr>
            </w:pPr>
            <w:r w:rsidRPr="00EB5590">
              <w:rPr>
                <w:b/>
                <w:iCs/>
                <w:color w:val="000000" w:themeColor="text1"/>
                <w:sz w:val="28"/>
                <w:szCs w:val="28"/>
                <w:lang w:val="nl-NL"/>
              </w:rPr>
              <w:t>THÔNG TIN LIÊN HỆ</w:t>
            </w:r>
          </w:p>
        </w:tc>
      </w:tr>
      <w:tr w:rsidR="001A6B82" w:rsidRPr="008C0584" w14:paraId="2A436166" w14:textId="77777777" w:rsidTr="007D408E">
        <w:trPr>
          <w:jc w:val="center"/>
        </w:trPr>
        <w:tc>
          <w:tcPr>
            <w:tcW w:w="2972" w:type="dxa"/>
          </w:tcPr>
          <w:p w14:paraId="5DB1FEEE" w14:textId="77777777" w:rsidR="001A6B82" w:rsidRPr="00EB5590" w:rsidRDefault="001A6B82" w:rsidP="007D408E">
            <w:pPr>
              <w:spacing w:before="60" w:after="60" w:line="264" w:lineRule="auto"/>
              <w:rPr>
                <w:bCs/>
                <w:iCs/>
                <w:color w:val="000000" w:themeColor="text1"/>
                <w:sz w:val="28"/>
                <w:szCs w:val="28"/>
                <w:lang w:val="nl-NL"/>
              </w:rPr>
            </w:pPr>
            <w:r w:rsidRPr="00EB5590">
              <w:rPr>
                <w:bCs/>
                <w:iCs/>
                <w:color w:val="000000" w:themeColor="text1"/>
                <w:sz w:val="28"/>
                <w:szCs w:val="28"/>
                <w:lang w:val="nl-NL"/>
              </w:rPr>
              <w:t>Tên người liên hệ:</w:t>
            </w:r>
          </w:p>
        </w:tc>
        <w:tc>
          <w:tcPr>
            <w:tcW w:w="7513" w:type="dxa"/>
          </w:tcPr>
          <w:p w14:paraId="108DC821" w14:textId="77777777" w:rsidR="001A6B82" w:rsidRPr="00EB5590" w:rsidRDefault="001A6B82" w:rsidP="007D408E">
            <w:pPr>
              <w:spacing w:before="60" w:after="60" w:line="264" w:lineRule="auto"/>
              <w:rPr>
                <w:bCs/>
                <w:i/>
                <w:color w:val="000000" w:themeColor="text1"/>
                <w:sz w:val="28"/>
                <w:szCs w:val="28"/>
                <w:lang w:val="nl-NL"/>
              </w:rPr>
            </w:pPr>
            <w:r w:rsidRPr="00EB5590">
              <w:rPr>
                <w:bCs/>
                <w:i/>
                <w:color w:val="000000" w:themeColor="text1"/>
                <w:sz w:val="28"/>
                <w:szCs w:val="28"/>
                <w:lang w:val="nl-NL"/>
              </w:rPr>
              <w:t>[Tên người liên hệ của Nhà thầu]</w:t>
            </w:r>
          </w:p>
        </w:tc>
      </w:tr>
      <w:tr w:rsidR="001A6B82" w:rsidRPr="008C0584" w14:paraId="18630CF0" w14:textId="77777777" w:rsidTr="007D408E">
        <w:trPr>
          <w:jc w:val="center"/>
        </w:trPr>
        <w:tc>
          <w:tcPr>
            <w:tcW w:w="2972" w:type="dxa"/>
          </w:tcPr>
          <w:p w14:paraId="75FC3D80" w14:textId="34DCA772" w:rsidR="001A6B82" w:rsidRPr="00EB5590" w:rsidRDefault="001A6B82" w:rsidP="007D408E">
            <w:pPr>
              <w:spacing w:before="60" w:after="60" w:line="264" w:lineRule="auto"/>
              <w:rPr>
                <w:bCs/>
                <w:iCs/>
                <w:color w:val="000000" w:themeColor="text1"/>
                <w:sz w:val="28"/>
                <w:szCs w:val="28"/>
                <w:lang w:val="nl-NL"/>
              </w:rPr>
            </w:pPr>
            <w:r w:rsidRPr="00EB5590">
              <w:rPr>
                <w:bCs/>
                <w:iCs/>
                <w:color w:val="000000" w:themeColor="text1"/>
                <w:sz w:val="28"/>
                <w:szCs w:val="28"/>
                <w:lang w:val="nl-NL"/>
              </w:rPr>
              <w:t>Số điện thoại</w:t>
            </w:r>
            <w:r w:rsidR="00757087">
              <w:rPr>
                <w:bCs/>
                <w:iCs/>
                <w:color w:val="000000" w:themeColor="text1"/>
                <w:sz w:val="28"/>
                <w:szCs w:val="28"/>
                <w:lang w:val="nl-NL"/>
              </w:rPr>
              <w:t>/Zalo</w:t>
            </w:r>
            <w:r w:rsidRPr="00EB5590">
              <w:rPr>
                <w:bCs/>
                <w:iCs/>
                <w:color w:val="000000" w:themeColor="text1"/>
                <w:sz w:val="28"/>
                <w:szCs w:val="28"/>
                <w:lang w:val="nl-NL"/>
              </w:rPr>
              <w:t>:</w:t>
            </w:r>
          </w:p>
        </w:tc>
        <w:tc>
          <w:tcPr>
            <w:tcW w:w="7513" w:type="dxa"/>
          </w:tcPr>
          <w:p w14:paraId="68D04139" w14:textId="77777777" w:rsidR="001A6B82" w:rsidRPr="00EB5590" w:rsidRDefault="001A6B82" w:rsidP="007D408E">
            <w:pPr>
              <w:spacing w:before="60" w:after="60" w:line="264" w:lineRule="auto"/>
              <w:rPr>
                <w:bCs/>
                <w:i/>
                <w:color w:val="000000" w:themeColor="text1"/>
                <w:sz w:val="28"/>
                <w:szCs w:val="28"/>
                <w:lang w:val="nl-NL"/>
              </w:rPr>
            </w:pPr>
            <w:r w:rsidRPr="00EB5590">
              <w:rPr>
                <w:bCs/>
                <w:i/>
                <w:color w:val="000000" w:themeColor="text1"/>
                <w:sz w:val="28"/>
                <w:szCs w:val="28"/>
                <w:lang w:val="nl-NL"/>
              </w:rPr>
              <w:t>[Số điện thoại của người liên hệ của Nhà thầu]</w:t>
            </w:r>
          </w:p>
        </w:tc>
      </w:tr>
      <w:tr w:rsidR="001A6B82" w:rsidRPr="008C0584" w14:paraId="75054227" w14:textId="77777777" w:rsidTr="007D408E">
        <w:trPr>
          <w:jc w:val="center"/>
        </w:trPr>
        <w:tc>
          <w:tcPr>
            <w:tcW w:w="2972" w:type="dxa"/>
          </w:tcPr>
          <w:p w14:paraId="2AF415E0" w14:textId="77777777" w:rsidR="001A6B82" w:rsidRPr="00EB5590" w:rsidRDefault="001A6B82" w:rsidP="007D408E">
            <w:pPr>
              <w:spacing w:before="60" w:after="60" w:line="264" w:lineRule="auto"/>
              <w:rPr>
                <w:bCs/>
                <w:iCs/>
                <w:color w:val="000000" w:themeColor="text1"/>
                <w:sz w:val="28"/>
                <w:szCs w:val="28"/>
                <w:lang w:val="nl-NL"/>
              </w:rPr>
            </w:pPr>
            <w:r w:rsidRPr="00EB5590">
              <w:rPr>
                <w:bCs/>
                <w:iCs/>
                <w:color w:val="000000" w:themeColor="text1"/>
                <w:sz w:val="28"/>
                <w:szCs w:val="28"/>
                <w:lang w:val="nl-NL"/>
              </w:rPr>
              <w:t>Email:</w:t>
            </w:r>
          </w:p>
        </w:tc>
        <w:tc>
          <w:tcPr>
            <w:tcW w:w="7513" w:type="dxa"/>
          </w:tcPr>
          <w:p w14:paraId="70F7FF2D" w14:textId="77777777" w:rsidR="001A6B82" w:rsidRPr="00EB5590" w:rsidRDefault="001A6B82" w:rsidP="007D408E">
            <w:pPr>
              <w:spacing w:before="60" w:after="60" w:line="264" w:lineRule="auto"/>
              <w:rPr>
                <w:bCs/>
                <w:i/>
                <w:color w:val="000000" w:themeColor="text1"/>
                <w:sz w:val="28"/>
                <w:szCs w:val="28"/>
                <w:lang w:val="nl-NL"/>
              </w:rPr>
            </w:pPr>
            <w:r w:rsidRPr="00EB5590">
              <w:rPr>
                <w:bCs/>
                <w:i/>
                <w:color w:val="000000" w:themeColor="text1"/>
                <w:sz w:val="28"/>
                <w:szCs w:val="28"/>
                <w:lang w:val="nl-NL"/>
              </w:rPr>
              <w:t>[Email của người liên hệ của Nhà thầu]</w:t>
            </w:r>
          </w:p>
        </w:tc>
      </w:tr>
      <w:tr w:rsidR="001A6B82" w:rsidRPr="008C0584" w14:paraId="70D0E643" w14:textId="77777777" w:rsidTr="007D408E">
        <w:trPr>
          <w:jc w:val="center"/>
        </w:trPr>
        <w:tc>
          <w:tcPr>
            <w:tcW w:w="2972" w:type="dxa"/>
          </w:tcPr>
          <w:p w14:paraId="65C7C614" w14:textId="77777777" w:rsidR="001A6B82" w:rsidRPr="00EB5590" w:rsidRDefault="001A6B82" w:rsidP="007D408E">
            <w:pPr>
              <w:spacing w:before="60" w:after="60" w:line="264" w:lineRule="auto"/>
              <w:rPr>
                <w:bCs/>
                <w:iCs/>
                <w:color w:val="000000" w:themeColor="text1"/>
                <w:sz w:val="28"/>
                <w:szCs w:val="28"/>
                <w:lang w:val="nl-NL"/>
              </w:rPr>
            </w:pPr>
            <w:r w:rsidRPr="00EB5590">
              <w:rPr>
                <w:bCs/>
                <w:iCs/>
                <w:color w:val="000000" w:themeColor="text1"/>
                <w:sz w:val="28"/>
                <w:szCs w:val="28"/>
                <w:lang w:val="nl-NL"/>
              </w:rPr>
              <w:t>Địa chỉ gởi thư mời:</w:t>
            </w:r>
          </w:p>
        </w:tc>
        <w:tc>
          <w:tcPr>
            <w:tcW w:w="7513" w:type="dxa"/>
          </w:tcPr>
          <w:p w14:paraId="3C06ED78" w14:textId="77777777" w:rsidR="001A6B82" w:rsidRPr="00EB5590" w:rsidRDefault="001A6B82" w:rsidP="007D408E">
            <w:pPr>
              <w:spacing w:before="60" w:after="60" w:line="264" w:lineRule="auto"/>
              <w:rPr>
                <w:bCs/>
                <w:i/>
                <w:color w:val="000000" w:themeColor="text1"/>
                <w:sz w:val="28"/>
                <w:szCs w:val="28"/>
                <w:lang w:val="nl-NL"/>
              </w:rPr>
            </w:pPr>
            <w:r w:rsidRPr="00EB5590">
              <w:rPr>
                <w:bCs/>
                <w:i/>
                <w:color w:val="000000" w:themeColor="text1"/>
                <w:sz w:val="28"/>
                <w:szCs w:val="28"/>
                <w:lang w:val="nl-NL"/>
              </w:rPr>
              <w:t>[Địa chỉ của Nhà thầu để CĐT gởi các văn bản liên quan]</w:t>
            </w:r>
          </w:p>
        </w:tc>
      </w:tr>
    </w:tbl>
    <w:p w14:paraId="191E9818" w14:textId="77777777" w:rsidR="001A6B82" w:rsidRPr="00EB5590" w:rsidRDefault="001A6B82" w:rsidP="001A6B82">
      <w:pPr>
        <w:pStyle w:val="ListParagraph"/>
        <w:numPr>
          <w:ilvl w:val="0"/>
          <w:numId w:val="8"/>
        </w:numPr>
        <w:spacing w:before="120" w:after="120" w:line="264" w:lineRule="auto"/>
        <w:rPr>
          <w:b/>
          <w:iCs/>
          <w:color w:val="000000" w:themeColor="text1"/>
          <w:sz w:val="28"/>
          <w:szCs w:val="28"/>
          <w:lang w:val="nl-NL"/>
        </w:rPr>
      </w:pPr>
      <w:r w:rsidRPr="00EB5590">
        <w:rPr>
          <w:b/>
          <w:iCs/>
          <w:color w:val="000000" w:themeColor="text1"/>
          <w:sz w:val="28"/>
          <w:szCs w:val="28"/>
          <w:lang w:val="nl-NL"/>
        </w:rPr>
        <w:t xml:space="preserve">Nhà thầu sắp xếp tài liệu của hàng hóa đính kèm của E-HSDT như sau: </w:t>
      </w:r>
    </w:p>
    <w:p w14:paraId="45BD9F05" w14:textId="3D4B2C74" w:rsidR="001A6B82" w:rsidRPr="00C3656D" w:rsidRDefault="001A6B82" w:rsidP="001A6B82">
      <w:pPr>
        <w:spacing w:after="200" w:line="276" w:lineRule="auto"/>
        <w:ind w:firstLine="709"/>
        <w:rPr>
          <w:color w:val="000000" w:themeColor="text1"/>
          <w:sz w:val="28"/>
          <w:lang w:val="nl-NL"/>
        </w:rPr>
      </w:pPr>
      <w:r w:rsidRPr="00C3656D">
        <w:rPr>
          <w:color w:val="000000" w:themeColor="text1"/>
          <w:sz w:val="28"/>
          <w:lang w:val="nl-NL"/>
        </w:rPr>
        <w:t>Tài liệu mỗi hàng hóa là một tệp (file) riêng (hoặc thư mục riêng) và tên tệp (file) được ghi theo số thứ tự danh mục hàng hóa dự thầu (Ví dụ: Nhà thầu tham dự 10 hàng hóa thì có 10 tệp (file) (hoặc 10 thư mục), mỗi tệp được ghi: 01, 02,…, hoặc ngắn gọn tên hàng hóa). Không nên để tất cả hoặc nhiều hàng hóa thành một tệp (file).</w:t>
      </w:r>
    </w:p>
    <w:p w14:paraId="2E0F3C57" w14:textId="77777777" w:rsidR="00CD6665" w:rsidRPr="00FC4442" w:rsidRDefault="00CD6665" w:rsidP="00271DB6">
      <w:pPr>
        <w:spacing w:before="120"/>
        <w:contextualSpacing/>
        <w:rPr>
          <w:sz w:val="26"/>
          <w:szCs w:val="26"/>
        </w:rPr>
      </w:pPr>
    </w:p>
    <w:sectPr w:rsidR="00CD6665" w:rsidRPr="00FC4442" w:rsidSect="00CD6665">
      <w:pgSz w:w="12240" w:h="15840"/>
      <w:pgMar w:top="1418" w:right="851" w:bottom="1418"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9116" w14:textId="77777777" w:rsidR="00FC1925" w:rsidRDefault="00FC1925" w:rsidP="00F6654E">
      <w:r>
        <w:separator/>
      </w:r>
    </w:p>
  </w:endnote>
  <w:endnote w:type="continuationSeparator" w:id="0">
    <w:p w14:paraId="4F3E910C" w14:textId="77777777" w:rsidR="00FC1925" w:rsidRDefault="00FC1925" w:rsidP="00F6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89BD" w14:textId="77777777" w:rsidR="00FC1925" w:rsidRDefault="00FC1925" w:rsidP="00F6654E">
      <w:r>
        <w:separator/>
      </w:r>
    </w:p>
  </w:footnote>
  <w:footnote w:type="continuationSeparator" w:id="0">
    <w:p w14:paraId="14CCE440" w14:textId="77777777" w:rsidR="00FC1925" w:rsidRDefault="00FC1925" w:rsidP="00F6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0990"/>
    <w:multiLevelType w:val="hybridMultilevel"/>
    <w:tmpl w:val="DA6868AC"/>
    <w:lvl w:ilvl="0" w:tplc="64BABF9A">
      <w:start w:val="6"/>
      <w:numFmt w:val="bullet"/>
      <w:lvlText w:val="-"/>
      <w:lvlJc w:val="left"/>
      <w:pPr>
        <w:ind w:left="360" w:hanging="360"/>
      </w:pPr>
      <w:rPr>
        <w:rFonts w:ascii="Times New Roman" w:eastAsia="Times New Roman" w:hAnsi="Times New Roman" w:cs="Times New Roman" w:hint="default"/>
        <w:b w:val="0"/>
        <w:bCs/>
        <w:i w:val="0"/>
        <w:iCs w:val="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3"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27D3226"/>
    <w:multiLevelType w:val="hybridMultilevel"/>
    <w:tmpl w:val="1E6C7048"/>
    <w:lvl w:ilvl="0" w:tplc="A1A23D20">
      <w:numFmt w:val="bullet"/>
      <w:lvlText w:val="-"/>
      <w:lvlJc w:val="left"/>
      <w:pPr>
        <w:ind w:left="107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E4C4FA3"/>
    <w:multiLevelType w:val="hybridMultilevel"/>
    <w:tmpl w:val="5D9CB27C"/>
    <w:lvl w:ilvl="0" w:tplc="1CB4936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64501FEF"/>
    <w:multiLevelType w:val="hybridMultilevel"/>
    <w:tmpl w:val="E1CCE5EC"/>
    <w:lvl w:ilvl="0" w:tplc="0B76F1A6">
      <w:start w:val="1"/>
      <w:numFmt w:val="lowerLetter"/>
      <w:lvlText w:val="%1."/>
      <w:lvlJc w:val="left"/>
      <w:pPr>
        <w:ind w:left="360" w:hanging="360"/>
      </w:pPr>
      <w:rPr>
        <w:rFonts w:hint="default"/>
        <w:b w:val="0"/>
        <w:bCs/>
        <w:i w:val="0"/>
        <w:iCs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022437742">
    <w:abstractNumId w:val="6"/>
  </w:num>
  <w:num w:numId="2" w16cid:durableId="2078822380">
    <w:abstractNumId w:val="7"/>
  </w:num>
  <w:num w:numId="3" w16cid:durableId="883980847">
    <w:abstractNumId w:val="2"/>
  </w:num>
  <w:num w:numId="4" w16cid:durableId="1742212493">
    <w:abstractNumId w:val="1"/>
  </w:num>
  <w:num w:numId="5" w16cid:durableId="338578446">
    <w:abstractNumId w:val="0"/>
  </w:num>
  <w:num w:numId="6" w16cid:durableId="1392651931">
    <w:abstractNumId w:val="3"/>
  </w:num>
  <w:num w:numId="7" w16cid:durableId="1402436742">
    <w:abstractNumId w:val="4"/>
  </w:num>
  <w:num w:numId="8" w16cid:durableId="1774743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F58"/>
    <w:rsid w:val="00001785"/>
    <w:rsid w:val="00024A2B"/>
    <w:rsid w:val="00026BDD"/>
    <w:rsid w:val="00030CE9"/>
    <w:rsid w:val="0003137E"/>
    <w:rsid w:val="00031762"/>
    <w:rsid w:val="00053F33"/>
    <w:rsid w:val="0006749D"/>
    <w:rsid w:val="00067883"/>
    <w:rsid w:val="0007273C"/>
    <w:rsid w:val="00073826"/>
    <w:rsid w:val="00074364"/>
    <w:rsid w:val="00075CEB"/>
    <w:rsid w:val="00080E19"/>
    <w:rsid w:val="000976B3"/>
    <w:rsid w:val="000A333F"/>
    <w:rsid w:val="000B17C4"/>
    <w:rsid w:val="000C0656"/>
    <w:rsid w:val="000C69B6"/>
    <w:rsid w:val="000C73FB"/>
    <w:rsid w:val="000C758C"/>
    <w:rsid w:val="000D1E4E"/>
    <w:rsid w:val="000D2EAC"/>
    <w:rsid w:val="000E50F0"/>
    <w:rsid w:val="000E7084"/>
    <w:rsid w:val="000F04F6"/>
    <w:rsid w:val="000F5296"/>
    <w:rsid w:val="000F6FBA"/>
    <w:rsid w:val="00102939"/>
    <w:rsid w:val="00120E6C"/>
    <w:rsid w:val="00123D87"/>
    <w:rsid w:val="00124BA0"/>
    <w:rsid w:val="001271E7"/>
    <w:rsid w:val="00145AB6"/>
    <w:rsid w:val="00152DC6"/>
    <w:rsid w:val="00193102"/>
    <w:rsid w:val="001940C8"/>
    <w:rsid w:val="00197BD5"/>
    <w:rsid w:val="00197E45"/>
    <w:rsid w:val="001A6B82"/>
    <w:rsid w:val="001B584E"/>
    <w:rsid w:val="001B5A56"/>
    <w:rsid w:val="001B5C5B"/>
    <w:rsid w:val="001B7862"/>
    <w:rsid w:val="001C1558"/>
    <w:rsid w:val="001D3FF7"/>
    <w:rsid w:val="001D4249"/>
    <w:rsid w:val="001E760D"/>
    <w:rsid w:val="00203FBE"/>
    <w:rsid w:val="00207F6F"/>
    <w:rsid w:val="00210B7C"/>
    <w:rsid w:val="002128EE"/>
    <w:rsid w:val="00212F03"/>
    <w:rsid w:val="00215045"/>
    <w:rsid w:val="00235F05"/>
    <w:rsid w:val="0023618C"/>
    <w:rsid w:val="002372F9"/>
    <w:rsid w:val="00242F88"/>
    <w:rsid w:val="0026361A"/>
    <w:rsid w:val="00264BA0"/>
    <w:rsid w:val="00267DF8"/>
    <w:rsid w:val="00271DB6"/>
    <w:rsid w:val="002737C2"/>
    <w:rsid w:val="002835BB"/>
    <w:rsid w:val="00284203"/>
    <w:rsid w:val="0028656F"/>
    <w:rsid w:val="00291152"/>
    <w:rsid w:val="002A02DE"/>
    <w:rsid w:val="002A1CEB"/>
    <w:rsid w:val="002A2E3D"/>
    <w:rsid w:val="002A7F57"/>
    <w:rsid w:val="002B3514"/>
    <w:rsid w:val="002B487C"/>
    <w:rsid w:val="002B7CEA"/>
    <w:rsid w:val="002C38E4"/>
    <w:rsid w:val="002C5B1A"/>
    <w:rsid w:val="002C601E"/>
    <w:rsid w:val="002D2210"/>
    <w:rsid w:val="002D2E12"/>
    <w:rsid w:val="002D6EA6"/>
    <w:rsid w:val="002D7B7B"/>
    <w:rsid w:val="002E0071"/>
    <w:rsid w:val="002E3944"/>
    <w:rsid w:val="002E4409"/>
    <w:rsid w:val="002E5FB1"/>
    <w:rsid w:val="002F4507"/>
    <w:rsid w:val="002F7611"/>
    <w:rsid w:val="003159DD"/>
    <w:rsid w:val="003333DA"/>
    <w:rsid w:val="00346B6F"/>
    <w:rsid w:val="00362C1E"/>
    <w:rsid w:val="003634A7"/>
    <w:rsid w:val="0036456F"/>
    <w:rsid w:val="003657E4"/>
    <w:rsid w:val="00377A1E"/>
    <w:rsid w:val="00387E45"/>
    <w:rsid w:val="00395634"/>
    <w:rsid w:val="003A1D55"/>
    <w:rsid w:val="003A59FB"/>
    <w:rsid w:val="003B3E06"/>
    <w:rsid w:val="003D7619"/>
    <w:rsid w:val="003E3F4D"/>
    <w:rsid w:val="003F2213"/>
    <w:rsid w:val="003F6786"/>
    <w:rsid w:val="003F7A15"/>
    <w:rsid w:val="00403350"/>
    <w:rsid w:val="00417D01"/>
    <w:rsid w:val="00420EA6"/>
    <w:rsid w:val="00430893"/>
    <w:rsid w:val="004467E2"/>
    <w:rsid w:val="004479EE"/>
    <w:rsid w:val="004571D2"/>
    <w:rsid w:val="00460C4B"/>
    <w:rsid w:val="00466C05"/>
    <w:rsid w:val="00466C07"/>
    <w:rsid w:val="00472D94"/>
    <w:rsid w:val="00476EEE"/>
    <w:rsid w:val="00497C09"/>
    <w:rsid w:val="004A0576"/>
    <w:rsid w:val="004B0540"/>
    <w:rsid w:val="004B12FD"/>
    <w:rsid w:val="004B2B0F"/>
    <w:rsid w:val="004B49DF"/>
    <w:rsid w:val="004B55BA"/>
    <w:rsid w:val="004B58EC"/>
    <w:rsid w:val="004B7C54"/>
    <w:rsid w:val="004C3D1A"/>
    <w:rsid w:val="004C54F1"/>
    <w:rsid w:val="004C57C9"/>
    <w:rsid w:val="004C6FA1"/>
    <w:rsid w:val="004C7499"/>
    <w:rsid w:val="004D78BD"/>
    <w:rsid w:val="004E6676"/>
    <w:rsid w:val="004F700B"/>
    <w:rsid w:val="00500A49"/>
    <w:rsid w:val="00501000"/>
    <w:rsid w:val="0051241F"/>
    <w:rsid w:val="00513100"/>
    <w:rsid w:val="005164E4"/>
    <w:rsid w:val="00525954"/>
    <w:rsid w:val="00537FE2"/>
    <w:rsid w:val="00540CD0"/>
    <w:rsid w:val="005460A7"/>
    <w:rsid w:val="005522B5"/>
    <w:rsid w:val="005571E1"/>
    <w:rsid w:val="00571E47"/>
    <w:rsid w:val="00575DF2"/>
    <w:rsid w:val="00582967"/>
    <w:rsid w:val="00590739"/>
    <w:rsid w:val="005937AA"/>
    <w:rsid w:val="00594790"/>
    <w:rsid w:val="00595833"/>
    <w:rsid w:val="0059592D"/>
    <w:rsid w:val="005A7349"/>
    <w:rsid w:val="005B7063"/>
    <w:rsid w:val="005C097F"/>
    <w:rsid w:val="005C2D06"/>
    <w:rsid w:val="005C6C0D"/>
    <w:rsid w:val="005E0146"/>
    <w:rsid w:val="005E0682"/>
    <w:rsid w:val="005E4964"/>
    <w:rsid w:val="005F5805"/>
    <w:rsid w:val="0060462B"/>
    <w:rsid w:val="00611806"/>
    <w:rsid w:val="00621D00"/>
    <w:rsid w:val="00637F58"/>
    <w:rsid w:val="00667FF7"/>
    <w:rsid w:val="00672BBE"/>
    <w:rsid w:val="00672E3A"/>
    <w:rsid w:val="006927D0"/>
    <w:rsid w:val="00695B18"/>
    <w:rsid w:val="006A2F7B"/>
    <w:rsid w:val="006A4C3E"/>
    <w:rsid w:val="006A54CF"/>
    <w:rsid w:val="006B3609"/>
    <w:rsid w:val="006B5589"/>
    <w:rsid w:val="006D3473"/>
    <w:rsid w:val="006E7195"/>
    <w:rsid w:val="0070560C"/>
    <w:rsid w:val="007074C5"/>
    <w:rsid w:val="00712796"/>
    <w:rsid w:val="00730151"/>
    <w:rsid w:val="0073140B"/>
    <w:rsid w:val="00736D69"/>
    <w:rsid w:val="00742DC6"/>
    <w:rsid w:val="00743A4E"/>
    <w:rsid w:val="00757087"/>
    <w:rsid w:val="00773619"/>
    <w:rsid w:val="00780BAD"/>
    <w:rsid w:val="0079208E"/>
    <w:rsid w:val="00794318"/>
    <w:rsid w:val="007A08F2"/>
    <w:rsid w:val="007A6616"/>
    <w:rsid w:val="007A67A8"/>
    <w:rsid w:val="007B113A"/>
    <w:rsid w:val="007B7F88"/>
    <w:rsid w:val="007C796D"/>
    <w:rsid w:val="007D6EFA"/>
    <w:rsid w:val="007F411E"/>
    <w:rsid w:val="00804665"/>
    <w:rsid w:val="00805D66"/>
    <w:rsid w:val="00807FE8"/>
    <w:rsid w:val="008170E9"/>
    <w:rsid w:val="00820864"/>
    <w:rsid w:val="0082234C"/>
    <w:rsid w:val="00825B05"/>
    <w:rsid w:val="0082650D"/>
    <w:rsid w:val="00830D13"/>
    <w:rsid w:val="00835859"/>
    <w:rsid w:val="0083797A"/>
    <w:rsid w:val="00843746"/>
    <w:rsid w:val="00844331"/>
    <w:rsid w:val="00855C86"/>
    <w:rsid w:val="0086228B"/>
    <w:rsid w:val="00863286"/>
    <w:rsid w:val="00863B07"/>
    <w:rsid w:val="008727FE"/>
    <w:rsid w:val="00872B9E"/>
    <w:rsid w:val="00872E81"/>
    <w:rsid w:val="008748D2"/>
    <w:rsid w:val="00894C49"/>
    <w:rsid w:val="008A27AC"/>
    <w:rsid w:val="008A3E28"/>
    <w:rsid w:val="008A7A3C"/>
    <w:rsid w:val="008B1BCD"/>
    <w:rsid w:val="008B4261"/>
    <w:rsid w:val="008D6412"/>
    <w:rsid w:val="008E347A"/>
    <w:rsid w:val="008E7CE1"/>
    <w:rsid w:val="008F1381"/>
    <w:rsid w:val="00901FF5"/>
    <w:rsid w:val="009052A0"/>
    <w:rsid w:val="00915F83"/>
    <w:rsid w:val="0091663E"/>
    <w:rsid w:val="00920929"/>
    <w:rsid w:val="009224AD"/>
    <w:rsid w:val="00930D2E"/>
    <w:rsid w:val="00931940"/>
    <w:rsid w:val="00940882"/>
    <w:rsid w:val="00942C1B"/>
    <w:rsid w:val="00942E5E"/>
    <w:rsid w:val="00943A60"/>
    <w:rsid w:val="00952C51"/>
    <w:rsid w:val="00955E61"/>
    <w:rsid w:val="00966905"/>
    <w:rsid w:val="00974852"/>
    <w:rsid w:val="00980CE2"/>
    <w:rsid w:val="009822C1"/>
    <w:rsid w:val="00985E55"/>
    <w:rsid w:val="0099788C"/>
    <w:rsid w:val="009A20AC"/>
    <w:rsid w:val="009A4400"/>
    <w:rsid w:val="009A7C07"/>
    <w:rsid w:val="009B049F"/>
    <w:rsid w:val="009C2BA8"/>
    <w:rsid w:val="009F1BAF"/>
    <w:rsid w:val="00A05B38"/>
    <w:rsid w:val="00A1727E"/>
    <w:rsid w:val="00A175E7"/>
    <w:rsid w:val="00A21C27"/>
    <w:rsid w:val="00A2384C"/>
    <w:rsid w:val="00A3258A"/>
    <w:rsid w:val="00A44F00"/>
    <w:rsid w:val="00A45159"/>
    <w:rsid w:val="00A514E6"/>
    <w:rsid w:val="00A526F8"/>
    <w:rsid w:val="00A538CC"/>
    <w:rsid w:val="00A54446"/>
    <w:rsid w:val="00A62348"/>
    <w:rsid w:val="00A67E7E"/>
    <w:rsid w:val="00A72108"/>
    <w:rsid w:val="00A771B3"/>
    <w:rsid w:val="00A90814"/>
    <w:rsid w:val="00A918C9"/>
    <w:rsid w:val="00A948B7"/>
    <w:rsid w:val="00A96D13"/>
    <w:rsid w:val="00AA07E5"/>
    <w:rsid w:val="00AA2DAC"/>
    <w:rsid w:val="00AB58AC"/>
    <w:rsid w:val="00AC2F7B"/>
    <w:rsid w:val="00AD26B5"/>
    <w:rsid w:val="00AE6F7F"/>
    <w:rsid w:val="00B01B2A"/>
    <w:rsid w:val="00B0395C"/>
    <w:rsid w:val="00B04489"/>
    <w:rsid w:val="00B06319"/>
    <w:rsid w:val="00B104A7"/>
    <w:rsid w:val="00B21EF6"/>
    <w:rsid w:val="00B22B71"/>
    <w:rsid w:val="00B43DEE"/>
    <w:rsid w:val="00B70154"/>
    <w:rsid w:val="00B73C3D"/>
    <w:rsid w:val="00B8481B"/>
    <w:rsid w:val="00B942E1"/>
    <w:rsid w:val="00BA3187"/>
    <w:rsid w:val="00BA41DE"/>
    <w:rsid w:val="00BC05CB"/>
    <w:rsid w:val="00BC0E27"/>
    <w:rsid w:val="00BF3025"/>
    <w:rsid w:val="00BF3F41"/>
    <w:rsid w:val="00C03E15"/>
    <w:rsid w:val="00C109FA"/>
    <w:rsid w:val="00C111B0"/>
    <w:rsid w:val="00C30099"/>
    <w:rsid w:val="00C34ED6"/>
    <w:rsid w:val="00C53C5A"/>
    <w:rsid w:val="00C571D5"/>
    <w:rsid w:val="00C57357"/>
    <w:rsid w:val="00CC5137"/>
    <w:rsid w:val="00CD5204"/>
    <w:rsid w:val="00CD6665"/>
    <w:rsid w:val="00CE0572"/>
    <w:rsid w:val="00CF6BC0"/>
    <w:rsid w:val="00D002F2"/>
    <w:rsid w:val="00D03C82"/>
    <w:rsid w:val="00D10F0C"/>
    <w:rsid w:val="00D16B0A"/>
    <w:rsid w:val="00D20BD6"/>
    <w:rsid w:val="00D20E31"/>
    <w:rsid w:val="00D310D3"/>
    <w:rsid w:val="00D40819"/>
    <w:rsid w:val="00D40D25"/>
    <w:rsid w:val="00D52C0B"/>
    <w:rsid w:val="00D57340"/>
    <w:rsid w:val="00D61214"/>
    <w:rsid w:val="00D65107"/>
    <w:rsid w:val="00D80196"/>
    <w:rsid w:val="00D8048B"/>
    <w:rsid w:val="00D92737"/>
    <w:rsid w:val="00DB2351"/>
    <w:rsid w:val="00DB7340"/>
    <w:rsid w:val="00DD2009"/>
    <w:rsid w:val="00DD419B"/>
    <w:rsid w:val="00DE0373"/>
    <w:rsid w:val="00DE5491"/>
    <w:rsid w:val="00DE7F4F"/>
    <w:rsid w:val="00DF1A88"/>
    <w:rsid w:val="00DF5B09"/>
    <w:rsid w:val="00E068F2"/>
    <w:rsid w:val="00E17B71"/>
    <w:rsid w:val="00E205C6"/>
    <w:rsid w:val="00E26638"/>
    <w:rsid w:val="00E55240"/>
    <w:rsid w:val="00E70DD9"/>
    <w:rsid w:val="00E76EE4"/>
    <w:rsid w:val="00E8532B"/>
    <w:rsid w:val="00E87DA5"/>
    <w:rsid w:val="00E9022D"/>
    <w:rsid w:val="00EA7430"/>
    <w:rsid w:val="00EB0538"/>
    <w:rsid w:val="00EC2060"/>
    <w:rsid w:val="00EC4C0F"/>
    <w:rsid w:val="00ED53AD"/>
    <w:rsid w:val="00EE1118"/>
    <w:rsid w:val="00EE46CF"/>
    <w:rsid w:val="00EE622F"/>
    <w:rsid w:val="00EF1C04"/>
    <w:rsid w:val="00EF5E8B"/>
    <w:rsid w:val="00EF6482"/>
    <w:rsid w:val="00F014E5"/>
    <w:rsid w:val="00F046EF"/>
    <w:rsid w:val="00F07AD1"/>
    <w:rsid w:val="00F1473A"/>
    <w:rsid w:val="00F20999"/>
    <w:rsid w:val="00F31CB5"/>
    <w:rsid w:val="00F32495"/>
    <w:rsid w:val="00F33891"/>
    <w:rsid w:val="00F42ACA"/>
    <w:rsid w:val="00F60585"/>
    <w:rsid w:val="00F6654E"/>
    <w:rsid w:val="00F7005D"/>
    <w:rsid w:val="00F70653"/>
    <w:rsid w:val="00F73CAB"/>
    <w:rsid w:val="00F75E63"/>
    <w:rsid w:val="00F76031"/>
    <w:rsid w:val="00F76C7C"/>
    <w:rsid w:val="00F85FEC"/>
    <w:rsid w:val="00F87CE3"/>
    <w:rsid w:val="00F936CC"/>
    <w:rsid w:val="00F95B0B"/>
    <w:rsid w:val="00F96D42"/>
    <w:rsid w:val="00FA31E5"/>
    <w:rsid w:val="00FA4F12"/>
    <w:rsid w:val="00FA7098"/>
    <w:rsid w:val="00FB7923"/>
    <w:rsid w:val="00FC1925"/>
    <w:rsid w:val="00FC3345"/>
    <w:rsid w:val="00FC4442"/>
    <w:rsid w:val="00FC7CE6"/>
    <w:rsid w:val="00FE4CA8"/>
    <w:rsid w:val="00FE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6273"/>
  <w15:docId w15:val="{59332E1E-B410-4A6A-B84F-03404D5E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58"/>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uiPriority w:val="9"/>
    <w:qFormat/>
    <w:rsid w:val="00637F58"/>
    <w:pPr>
      <w:keepNext/>
      <w:spacing w:after="200"/>
      <w:ind w:left="1422" w:right="18" w:hanging="457"/>
      <w:outlineLvl w:val="3"/>
    </w:pPr>
    <w:rPr>
      <w:b/>
      <w:bCs/>
    </w:rPr>
  </w:style>
  <w:style w:type="paragraph" w:styleId="Heading5">
    <w:name w:val="heading 5"/>
    <w:basedOn w:val="Normal"/>
    <w:next w:val="Normal"/>
    <w:link w:val="Heading5Char"/>
    <w:qFormat/>
    <w:rsid w:val="00637F58"/>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uiPriority w:val="9"/>
    <w:rsid w:val="00637F5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37F58"/>
    <w:rPr>
      <w:rFonts w:ascii="Arial" w:eastAsia="Times New Roman" w:hAnsi="Arial" w:cs="Times New Roman"/>
      <w:sz w:val="24"/>
      <w:szCs w:val="20"/>
      <w:u w:val="single"/>
    </w:rPr>
  </w:style>
  <w:style w:type="paragraph" w:styleId="Subtitle">
    <w:name w:val="Subtitle"/>
    <w:basedOn w:val="Normal"/>
    <w:link w:val="SubtitleChar"/>
    <w:qFormat/>
    <w:rsid w:val="00637F58"/>
    <w:pPr>
      <w:jc w:val="center"/>
    </w:pPr>
    <w:rPr>
      <w:b/>
      <w:sz w:val="44"/>
    </w:rPr>
  </w:style>
  <w:style w:type="character" w:customStyle="1" w:styleId="SubtitleChar">
    <w:name w:val="Subtitle Char"/>
    <w:basedOn w:val="DefaultParagraphFont"/>
    <w:link w:val="Subtitle"/>
    <w:rsid w:val="00637F58"/>
    <w:rPr>
      <w:rFonts w:ascii="Times New Roman" w:eastAsia="Times New Roman" w:hAnsi="Times New Roman" w:cs="Times New Roman"/>
      <w:b/>
      <w:sz w:val="44"/>
      <w:szCs w:val="20"/>
    </w:rPr>
  </w:style>
  <w:style w:type="paragraph" w:customStyle="1" w:styleId="SectionVIHeader">
    <w:name w:val="Section VI. Header"/>
    <w:basedOn w:val="Normal"/>
    <w:rsid w:val="00637F58"/>
    <w:pPr>
      <w:spacing w:before="120" w:after="240"/>
      <w:jc w:val="center"/>
    </w:pPr>
    <w:rPr>
      <w:b/>
      <w:sz w:val="36"/>
    </w:rPr>
  </w:style>
  <w:style w:type="paragraph" w:customStyle="1" w:styleId="TableParagraph">
    <w:name w:val="Table Paragraph"/>
    <w:basedOn w:val="Normal"/>
    <w:uiPriority w:val="1"/>
    <w:qFormat/>
    <w:rsid w:val="00637F58"/>
    <w:pPr>
      <w:widowControl w:val="0"/>
      <w:autoSpaceDE w:val="0"/>
      <w:autoSpaceDN w:val="0"/>
      <w:jc w:val="center"/>
    </w:pPr>
    <w:rPr>
      <w:sz w:val="22"/>
      <w:szCs w:val="22"/>
    </w:rPr>
  </w:style>
  <w:style w:type="table" w:styleId="TableGrid">
    <w:name w:val="Table Grid"/>
    <w:basedOn w:val="TableNormal"/>
    <w:uiPriority w:val="59"/>
    <w:qFormat/>
    <w:rsid w:val="00CC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5E01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25B0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6654E"/>
    <w:pPr>
      <w:tabs>
        <w:tab w:val="center" w:pos="4680"/>
        <w:tab w:val="right" w:pos="9360"/>
      </w:tabs>
    </w:pPr>
  </w:style>
  <w:style w:type="character" w:customStyle="1" w:styleId="HeaderChar">
    <w:name w:val="Header Char"/>
    <w:basedOn w:val="DefaultParagraphFont"/>
    <w:link w:val="Header"/>
    <w:uiPriority w:val="99"/>
    <w:rsid w:val="00F6654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654E"/>
    <w:pPr>
      <w:tabs>
        <w:tab w:val="center" w:pos="4680"/>
        <w:tab w:val="right" w:pos="9360"/>
      </w:tabs>
    </w:pPr>
  </w:style>
  <w:style w:type="character" w:customStyle="1" w:styleId="FooterChar">
    <w:name w:val="Footer Char"/>
    <w:basedOn w:val="DefaultParagraphFont"/>
    <w:link w:val="Footer"/>
    <w:uiPriority w:val="99"/>
    <w:rsid w:val="00F665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8</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 10</cp:lastModifiedBy>
  <cp:revision>389</cp:revision>
  <dcterms:created xsi:type="dcterms:W3CDTF">2024-03-12T03:48:00Z</dcterms:created>
  <dcterms:modified xsi:type="dcterms:W3CDTF">2025-10-24T02:31:00Z</dcterms:modified>
</cp:coreProperties>
</file>