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9D22" w14:textId="77777777" w:rsidR="004374BD" w:rsidRPr="004374BD" w:rsidRDefault="004374BD" w:rsidP="004374BD">
      <w:pPr>
        <w:widowControl w:val="0"/>
        <w:spacing w:before="120" w:after="120" w:line="264" w:lineRule="auto"/>
        <w:jc w:val="center"/>
        <w:outlineLvl w:val="2"/>
        <w:rPr>
          <w:rFonts w:ascii="Times New Roman" w:eastAsia="Times New Roman" w:hAnsi="Times New Roman" w:cs="Times New Roman"/>
          <w:b/>
          <w:bCs/>
          <w:kern w:val="0"/>
          <w:sz w:val="28"/>
          <w:szCs w:val="28"/>
          <w:lang w:val="vi-VN"/>
          <w14:ligatures w14:val="none"/>
        </w:rPr>
      </w:pPr>
      <w:bookmarkStart w:id="0" w:name="_Toc106099918"/>
      <w:bookmarkStart w:id="1" w:name="_Hlk207920783"/>
      <w:bookmarkStart w:id="2" w:name="_Hlk180401734"/>
      <w:bookmarkStart w:id="3" w:name="_Hlk189766807"/>
      <w:bookmarkStart w:id="4" w:name="_Toc154510934"/>
      <w:r w:rsidRPr="004374BD">
        <w:rPr>
          <w:rFonts w:ascii="Times New Roman" w:eastAsia="Times New Roman" w:hAnsi="Times New Roman" w:cs="Times New Roman"/>
          <w:b/>
          <w:bCs/>
          <w:kern w:val="0"/>
          <w:sz w:val="28"/>
          <w:szCs w:val="28"/>
          <w:lang w:val="vi-VN"/>
          <w14:ligatures w14:val="none"/>
        </w:rPr>
        <w:t>CHƯƠNG V. ĐIỀU KHOẢN THAM CHIẾU</w:t>
      </w:r>
      <w:bookmarkEnd w:id="0"/>
    </w:p>
    <w:p w14:paraId="30EADFB1" w14:textId="77777777" w:rsidR="004374BD" w:rsidRPr="004374BD" w:rsidRDefault="004374BD" w:rsidP="004374BD">
      <w:pPr>
        <w:spacing w:before="60" w:after="60" w:line="240" w:lineRule="auto"/>
        <w:ind w:firstLine="720"/>
        <w:jc w:val="center"/>
        <w:rPr>
          <w:rFonts w:ascii="Times New Roman" w:eastAsia="Times New Roman" w:hAnsi="Times New Roman" w:cs="Times New Roman"/>
          <w:bCs/>
          <w:i/>
          <w:iCs/>
          <w:kern w:val="0"/>
          <w:sz w:val="28"/>
          <w:szCs w:val="28"/>
          <w:lang w:val="vi-VN"/>
          <w14:ligatures w14:val="none"/>
        </w:rPr>
      </w:pPr>
      <w:r w:rsidRPr="004374BD">
        <w:rPr>
          <w:rFonts w:ascii="Times New Roman" w:eastAsia="Times New Roman" w:hAnsi="Times New Roman" w:cs="Times New Roman"/>
          <w:bCs/>
          <w:i/>
          <w:iCs/>
          <w:kern w:val="0"/>
          <w:sz w:val="28"/>
          <w:szCs w:val="28"/>
          <w:lang w:val="vi-VN"/>
          <w14:ligatures w14:val="none"/>
        </w:rPr>
        <w:t>“Điều khoản tham chiếu" bao gồm những nội dung chủ yếu sau:</w:t>
      </w:r>
    </w:p>
    <w:p w14:paraId="3D9467F0" w14:textId="77777777" w:rsidR="004374BD" w:rsidRPr="004374BD" w:rsidRDefault="004374BD" w:rsidP="004374BD">
      <w:pPr>
        <w:spacing w:after="0" w:line="320" w:lineRule="exact"/>
        <w:ind w:firstLine="709"/>
        <w:jc w:val="both"/>
        <w:rPr>
          <w:rFonts w:ascii="Times New Roman" w:eastAsia="Times New Roman" w:hAnsi="Times New Roman" w:cs="Times New Roman"/>
          <w:b/>
          <w:kern w:val="0"/>
          <w:sz w:val="28"/>
          <w:szCs w:val="28"/>
          <w:lang w:val="it-IT"/>
          <w14:ligatures w14:val="none"/>
        </w:rPr>
      </w:pPr>
      <w:r w:rsidRPr="004374BD">
        <w:rPr>
          <w:rFonts w:ascii="Times New Roman" w:eastAsia="Times New Roman" w:hAnsi="Times New Roman" w:cs="Times New Roman"/>
          <w:b/>
          <w:kern w:val="0"/>
          <w:sz w:val="28"/>
          <w:szCs w:val="28"/>
          <w:lang w:val="it-IT"/>
          <w14:ligatures w14:val="none"/>
        </w:rPr>
        <w:t>I. Giới thiệu:</w:t>
      </w:r>
    </w:p>
    <w:p w14:paraId="0164257A" w14:textId="77777777" w:rsidR="004374BD" w:rsidRPr="004374BD" w:rsidRDefault="004374BD" w:rsidP="004374BD">
      <w:pPr>
        <w:spacing w:after="0" w:line="240" w:lineRule="auto"/>
        <w:ind w:firstLine="709"/>
        <w:contextualSpacing/>
        <w:jc w:val="both"/>
        <w:rPr>
          <w:rFonts w:ascii="Times New Roman" w:eastAsia="Times New Roman" w:hAnsi="Times New Roman" w:cs="Times New Roman"/>
          <w:b/>
          <w:i/>
          <w:iCs/>
          <w:kern w:val="0"/>
          <w:sz w:val="28"/>
          <w:szCs w:val="28"/>
          <w:lang w:val="it-IT"/>
          <w14:ligatures w14:val="none"/>
        </w:rPr>
      </w:pPr>
      <w:r w:rsidRPr="004374BD">
        <w:rPr>
          <w:rFonts w:ascii="Times New Roman" w:eastAsia="Times New Roman" w:hAnsi="Times New Roman" w:cs="Times New Roman"/>
          <w:b/>
          <w:i/>
          <w:iCs/>
          <w:kern w:val="0"/>
          <w:sz w:val="28"/>
          <w:szCs w:val="28"/>
          <w:lang w:val="it-IT"/>
          <w14:ligatures w14:val="none"/>
        </w:rPr>
        <w:t>1. Giới thiệu về công trình và gói thầu:</w:t>
      </w:r>
    </w:p>
    <w:p w14:paraId="4FB850E3" w14:textId="77777777" w:rsidR="008B63BF" w:rsidRPr="005F3135" w:rsidRDefault="004374BD" w:rsidP="008B63BF">
      <w:pPr>
        <w:spacing w:after="0" w:line="240" w:lineRule="auto"/>
        <w:ind w:firstLine="709"/>
        <w:jc w:val="both"/>
        <w:rPr>
          <w:rFonts w:ascii="Times New Roman" w:eastAsia="Aptos" w:hAnsi="Times New Roman" w:cs="Times New Roman"/>
          <w:color w:val="EE0000"/>
          <w:spacing w:val="-2"/>
          <w:sz w:val="28"/>
          <w:szCs w:val="28"/>
          <w:lang w:val="pt-BR"/>
        </w:rPr>
      </w:pPr>
      <w:bookmarkStart w:id="5" w:name="_Hlk205885332"/>
      <w:r w:rsidRPr="004374BD">
        <w:rPr>
          <w:rFonts w:ascii="Times New Roman" w:eastAsia="Aptos" w:hAnsi="Times New Roman" w:cs="Times New Roman"/>
          <w:b/>
          <w:iCs/>
          <w:spacing w:val="-2"/>
          <w:sz w:val="28"/>
          <w:szCs w:val="28"/>
          <w:lang w:val="pt-BR"/>
        </w:rPr>
        <w:t>1.1. Tên công trình:</w:t>
      </w:r>
      <w:r w:rsidRPr="004374BD">
        <w:rPr>
          <w:rFonts w:ascii="Times New Roman" w:eastAsia="Aptos" w:hAnsi="Times New Roman" w:cs="Times New Roman"/>
          <w:spacing w:val="-2"/>
          <w:sz w:val="28"/>
          <w:szCs w:val="28"/>
          <w:lang w:val="pt-BR"/>
        </w:rPr>
        <w:t xml:space="preserve"> </w:t>
      </w:r>
      <w:r w:rsidR="008B63BF" w:rsidRPr="008B63BF">
        <w:rPr>
          <w:rFonts w:ascii="Times New Roman" w:eastAsia="Aptos" w:hAnsi="Times New Roman" w:cs="Times New Roman"/>
          <w:spacing w:val="-2"/>
          <w:sz w:val="28"/>
          <w:szCs w:val="28"/>
          <w:lang w:val="pt-BR"/>
        </w:rPr>
        <w:t>1</w:t>
      </w:r>
      <w:r w:rsidR="008B63BF" w:rsidRPr="005F3135">
        <w:rPr>
          <w:rFonts w:ascii="Times New Roman" w:eastAsia="Aptos" w:hAnsi="Times New Roman" w:cs="Times New Roman"/>
          <w:color w:val="EE0000"/>
          <w:spacing w:val="-2"/>
          <w:sz w:val="28"/>
          <w:szCs w:val="28"/>
          <w:lang w:val="pt-BR"/>
        </w:rPr>
        <w:t>. Xây dựng mới các trạm biến áp phân phối trên địa bàn thành phố Phúc Yên năm 2026 (HP1)</w:t>
      </w:r>
    </w:p>
    <w:p w14:paraId="79FE7124" w14:textId="6D03E743" w:rsidR="004374BD" w:rsidRPr="004374BD" w:rsidRDefault="008B63BF" w:rsidP="008B63BF">
      <w:pPr>
        <w:spacing w:after="0" w:line="240" w:lineRule="auto"/>
        <w:ind w:firstLine="709"/>
        <w:jc w:val="both"/>
        <w:rPr>
          <w:rFonts w:ascii="Times New Roman" w:eastAsia="Aptos" w:hAnsi="Times New Roman" w:cs="Times New Roman"/>
          <w:color w:val="EE0000"/>
          <w:spacing w:val="-2"/>
          <w:sz w:val="28"/>
          <w:szCs w:val="28"/>
          <w:lang w:val="pt-BR"/>
        </w:rPr>
      </w:pPr>
      <w:r w:rsidRPr="005F3135">
        <w:rPr>
          <w:rFonts w:ascii="Times New Roman" w:eastAsia="Aptos" w:hAnsi="Times New Roman" w:cs="Times New Roman"/>
          <w:color w:val="EE0000"/>
          <w:spacing w:val="-2"/>
          <w:sz w:val="28"/>
          <w:szCs w:val="28"/>
          <w:lang w:val="pt-BR"/>
        </w:rPr>
        <w:t>2. Xây dựng mới các trạm biến áp phân phối trên địa bàn thành phố Phúc Yên năm 2026 (HP2)</w:t>
      </w:r>
    </w:p>
    <w:p w14:paraId="31475848" w14:textId="2CA3D4C4" w:rsidR="004374BD" w:rsidRPr="004374BD" w:rsidRDefault="004374BD" w:rsidP="004374BD">
      <w:pPr>
        <w:spacing w:after="0" w:line="240" w:lineRule="auto"/>
        <w:ind w:firstLine="709"/>
        <w:jc w:val="both"/>
        <w:rPr>
          <w:rFonts w:ascii="Times New Roman" w:eastAsia="Times New Roman" w:hAnsi="Times New Roman" w:cs="Times New Roman"/>
          <w:bCs/>
          <w:iCs/>
          <w:color w:val="EE0000"/>
          <w:kern w:val="0"/>
          <w:sz w:val="28"/>
          <w:szCs w:val="28"/>
          <w:lang w:val="pt-BR"/>
          <w14:ligatures w14:val="none"/>
        </w:rPr>
      </w:pPr>
      <w:r w:rsidRPr="004374BD">
        <w:rPr>
          <w:rFonts w:ascii="Times New Roman" w:eastAsia="Times New Roman" w:hAnsi="Times New Roman" w:cs="Times New Roman"/>
          <w:b/>
          <w:iCs/>
          <w:kern w:val="0"/>
          <w:sz w:val="28"/>
          <w:szCs w:val="28"/>
          <w:lang w:val="pt-BR"/>
          <w14:ligatures w14:val="none"/>
        </w:rPr>
        <w:t xml:space="preserve">1.2. </w:t>
      </w:r>
      <w:r w:rsidRPr="004374BD">
        <w:rPr>
          <w:rFonts w:ascii="Times New Roman" w:eastAsia="Times New Roman" w:hAnsi="Times New Roman" w:cs="Times New Roman"/>
          <w:b/>
          <w:iCs/>
          <w:kern w:val="0"/>
          <w:sz w:val="28"/>
          <w:szCs w:val="28"/>
          <w:lang w:val="vi-VN"/>
          <w14:ligatures w14:val="none"/>
        </w:rPr>
        <w:t>Tên gói thầu</w:t>
      </w:r>
      <w:r w:rsidRPr="004374BD">
        <w:rPr>
          <w:rFonts w:ascii="Times New Roman" w:eastAsia="Times New Roman" w:hAnsi="Times New Roman" w:cs="Times New Roman"/>
          <w:bCs/>
          <w:iCs/>
          <w:kern w:val="0"/>
          <w:sz w:val="28"/>
          <w:szCs w:val="28"/>
          <w:lang w:val="vi-VN"/>
          <w14:ligatures w14:val="none"/>
        </w:rPr>
        <w:t xml:space="preserve">:  </w:t>
      </w:r>
      <w:r w:rsidRPr="004374BD">
        <w:rPr>
          <w:rFonts w:ascii="Times New Roman" w:eastAsia="Times New Roman" w:hAnsi="Times New Roman" w:cs="Times New Roman"/>
          <w:bCs/>
          <w:iCs/>
          <w:color w:val="EE0000"/>
          <w:kern w:val="0"/>
          <w:sz w:val="28"/>
          <w:szCs w:val="28"/>
          <w:lang w:val="vi-VN"/>
          <w14:ligatures w14:val="none"/>
        </w:rPr>
        <w:t>PCPT-2025-Tư vấn giám sát số 2</w:t>
      </w:r>
      <w:r w:rsidR="008B63BF" w:rsidRPr="005F3135">
        <w:rPr>
          <w:rFonts w:ascii="Times New Roman" w:eastAsia="Times New Roman" w:hAnsi="Times New Roman" w:cs="Times New Roman"/>
          <w:bCs/>
          <w:iCs/>
          <w:color w:val="EE0000"/>
          <w:kern w:val="0"/>
          <w:sz w:val="28"/>
          <w:szCs w:val="28"/>
          <w:lang w:val="pt-BR"/>
          <w14:ligatures w14:val="none"/>
        </w:rPr>
        <w:t>8</w:t>
      </w:r>
    </w:p>
    <w:p w14:paraId="19129E3F" w14:textId="77777777" w:rsidR="004374BD" w:rsidRPr="004374BD" w:rsidRDefault="004374BD" w:rsidP="004374BD">
      <w:pPr>
        <w:spacing w:after="0" w:line="240" w:lineRule="auto"/>
        <w:ind w:firstLine="709"/>
        <w:jc w:val="both"/>
        <w:rPr>
          <w:rFonts w:ascii="Times New Roman" w:eastAsia="Aptos" w:hAnsi="Times New Roman" w:cs="Times New Roman"/>
          <w:i/>
          <w:spacing w:val="-2"/>
          <w:sz w:val="28"/>
          <w:szCs w:val="28"/>
          <w:lang w:val="pt-BR"/>
        </w:rPr>
      </w:pPr>
      <w:r w:rsidRPr="004374BD">
        <w:rPr>
          <w:rFonts w:ascii="Times New Roman" w:eastAsia="Times New Roman" w:hAnsi="Times New Roman" w:cs="Times New Roman"/>
          <w:b/>
          <w:iCs/>
          <w:spacing w:val="-4"/>
          <w:kern w:val="0"/>
          <w:sz w:val="28"/>
          <w:szCs w:val="28"/>
          <w:lang w:val="pt-BR"/>
          <w14:ligatures w14:val="none"/>
        </w:rPr>
        <w:t>1.</w:t>
      </w:r>
      <w:r w:rsidRPr="004374BD">
        <w:rPr>
          <w:rFonts w:ascii="Times New Roman" w:eastAsia="Times New Roman" w:hAnsi="Times New Roman" w:cs="Times New Roman"/>
          <w:b/>
          <w:iCs/>
          <w:spacing w:val="-4"/>
          <w:kern w:val="0"/>
          <w:sz w:val="28"/>
          <w:szCs w:val="28"/>
          <w:lang w:val="vi-VN"/>
          <w14:ligatures w14:val="none"/>
        </w:rPr>
        <w:t>3</w:t>
      </w:r>
      <w:r w:rsidRPr="004374BD">
        <w:rPr>
          <w:rFonts w:ascii="Times New Roman" w:eastAsia="Times New Roman" w:hAnsi="Times New Roman" w:cs="Times New Roman"/>
          <w:bCs/>
          <w:iCs/>
          <w:spacing w:val="-4"/>
          <w:kern w:val="0"/>
          <w:sz w:val="28"/>
          <w:szCs w:val="28"/>
          <w:lang w:val="vi-VN"/>
          <w14:ligatures w14:val="none"/>
        </w:rPr>
        <w:t>.</w:t>
      </w:r>
      <w:r w:rsidRPr="004374BD">
        <w:rPr>
          <w:rFonts w:ascii="Times New Roman" w:eastAsia="Times New Roman" w:hAnsi="Times New Roman" w:cs="Times New Roman"/>
          <w:b/>
          <w:iCs/>
          <w:kern w:val="0"/>
          <w:sz w:val="28"/>
          <w:szCs w:val="28"/>
          <w:lang w:val="vi-VN"/>
          <w14:ligatures w14:val="none"/>
        </w:rPr>
        <w:t>Nguồn vốn thực hiện</w:t>
      </w:r>
      <w:r w:rsidRPr="004374BD">
        <w:rPr>
          <w:rFonts w:ascii="Times New Roman" w:eastAsia="Times New Roman" w:hAnsi="Times New Roman" w:cs="Times New Roman"/>
          <w:bCs/>
          <w:iCs/>
          <w:kern w:val="0"/>
          <w:sz w:val="28"/>
          <w:szCs w:val="28"/>
          <w:lang w:val="vi-VN"/>
          <w14:ligatures w14:val="none"/>
        </w:rPr>
        <w:t>: KHCB &amp; TDTM Tổng Công ty Điện lực Miền Bắc.</w:t>
      </w:r>
    </w:p>
    <w:p w14:paraId="7A4D936D" w14:textId="77777777" w:rsidR="004374BD" w:rsidRPr="004374BD" w:rsidRDefault="004374BD" w:rsidP="004374BD">
      <w:pPr>
        <w:spacing w:after="0" w:line="240" w:lineRule="auto"/>
        <w:ind w:firstLine="709"/>
        <w:jc w:val="both"/>
        <w:rPr>
          <w:rFonts w:ascii="Times New Roman" w:eastAsia="Aptos" w:hAnsi="Times New Roman" w:cs="Times New Roman"/>
          <w:bCs/>
          <w:spacing w:val="-2"/>
          <w:sz w:val="28"/>
          <w:szCs w:val="28"/>
          <w:lang w:val="nl-NL"/>
        </w:rPr>
      </w:pPr>
      <w:r w:rsidRPr="004374BD">
        <w:rPr>
          <w:rFonts w:ascii="Times New Roman" w:eastAsia="Aptos" w:hAnsi="Times New Roman" w:cs="Times New Roman"/>
          <w:b/>
          <w:iCs/>
          <w:spacing w:val="-2"/>
          <w:sz w:val="28"/>
          <w:szCs w:val="28"/>
          <w:lang w:val="pt-BR"/>
        </w:rPr>
        <w:t>1.4. Địa điểm xây dựng</w:t>
      </w:r>
      <w:r w:rsidRPr="004374BD">
        <w:rPr>
          <w:rFonts w:ascii="Times New Roman" w:eastAsia="Aptos" w:hAnsi="Times New Roman" w:cs="Times New Roman"/>
          <w:b/>
          <w:bCs/>
          <w:iCs/>
          <w:spacing w:val="-2"/>
          <w:sz w:val="28"/>
          <w:szCs w:val="28"/>
          <w:lang w:val="nl-NL"/>
        </w:rPr>
        <w:t>:</w:t>
      </w:r>
      <w:r w:rsidRPr="004374BD">
        <w:rPr>
          <w:rFonts w:ascii="Times New Roman" w:eastAsia="Aptos" w:hAnsi="Times New Roman" w:cs="Times New Roman"/>
          <w:bCs/>
          <w:spacing w:val="-2"/>
          <w:sz w:val="28"/>
          <w:szCs w:val="28"/>
          <w:lang w:val="nl-NL"/>
        </w:rPr>
        <w:t xml:space="preserve"> </w:t>
      </w:r>
      <w:r w:rsidRPr="004374BD">
        <w:rPr>
          <w:rFonts w:ascii="Times New Roman" w:eastAsia="Aptos" w:hAnsi="Times New Roman" w:cs="Times New Roman"/>
          <w:spacing w:val="-2"/>
          <w:sz w:val="28"/>
          <w:szCs w:val="28"/>
          <w:lang w:val="nl-NL"/>
        </w:rPr>
        <w:t>Công trình triển khai trên địa bàn tỉnh Phú Thọ</w:t>
      </w:r>
      <w:r w:rsidRPr="004374BD">
        <w:rPr>
          <w:rFonts w:ascii="Times New Roman" w:eastAsia="Aptos" w:hAnsi="Times New Roman" w:cs="Times New Roman"/>
          <w:bCs/>
          <w:spacing w:val="-2"/>
          <w:sz w:val="28"/>
          <w:szCs w:val="28"/>
          <w:lang w:val="nl-NL"/>
        </w:rPr>
        <w:t>.</w:t>
      </w:r>
    </w:p>
    <w:p w14:paraId="0D1DB3D0"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pt-BR"/>
        </w:rPr>
      </w:pPr>
      <w:r w:rsidRPr="004374BD">
        <w:rPr>
          <w:rFonts w:ascii="Times New Roman" w:eastAsia="Aptos" w:hAnsi="Times New Roman" w:cs="Times New Roman"/>
          <w:b/>
          <w:bCs/>
          <w:spacing w:val="-2"/>
          <w:sz w:val="28"/>
          <w:szCs w:val="28"/>
          <w:lang w:val="pt-BR"/>
        </w:rPr>
        <w:t>1.5. Người quyết định đầu tư:</w:t>
      </w:r>
      <w:r w:rsidRPr="004374BD">
        <w:rPr>
          <w:rFonts w:ascii="Times New Roman" w:eastAsia="Aptos" w:hAnsi="Times New Roman" w:cs="Times New Roman"/>
          <w:spacing w:val="-2"/>
          <w:sz w:val="28"/>
          <w:szCs w:val="28"/>
          <w:lang w:val="pt-BR"/>
        </w:rPr>
        <w:t xml:space="preserve"> Tổng giám đốc Tổng công ty Điện lực miền Bắc (EVN</w:t>
      </w:r>
      <w:r w:rsidRPr="004374BD">
        <w:rPr>
          <w:rFonts w:ascii="Times New Roman" w:eastAsia="Aptos" w:hAnsi="Times New Roman" w:cs="Times New Roman"/>
          <w:i/>
          <w:iCs/>
          <w:spacing w:val="-2"/>
          <w:sz w:val="28"/>
          <w:szCs w:val="28"/>
          <w:lang w:val="pt-BR"/>
        </w:rPr>
        <w:t>NPC</w:t>
      </w:r>
      <w:r w:rsidRPr="004374BD">
        <w:rPr>
          <w:rFonts w:ascii="Times New Roman" w:eastAsia="Aptos" w:hAnsi="Times New Roman" w:cs="Times New Roman"/>
          <w:spacing w:val="-2"/>
          <w:sz w:val="28"/>
          <w:szCs w:val="28"/>
          <w:lang w:val="pt-BR"/>
        </w:rPr>
        <w:t>).</w:t>
      </w:r>
    </w:p>
    <w:p w14:paraId="4787E5BD"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
          <w:iCs/>
          <w:spacing w:val="-2"/>
          <w:sz w:val="28"/>
          <w:szCs w:val="28"/>
          <w:lang w:val="pt-BR"/>
        </w:rPr>
        <w:t xml:space="preserve">1.6. Chủ đầu tư: </w:t>
      </w:r>
    </w:p>
    <w:p w14:paraId="43855FD2"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xml:space="preserve">- Chủ đầu tư: Tổng công ty Điện lực miền Bắc. </w:t>
      </w:r>
    </w:p>
    <w:p w14:paraId="6EB9E529"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Quản lý dự án: Công ty Điện lực Phú Thọ - CN Tổng công ty Điện lực miền Bắc.</w:t>
      </w:r>
    </w:p>
    <w:p w14:paraId="6C9948FB"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p>
    <w:p w14:paraId="4F91C563" w14:textId="0CBA7A79" w:rsidR="004374BD" w:rsidRPr="004374BD" w:rsidRDefault="004374BD" w:rsidP="004374BD">
      <w:pPr>
        <w:spacing w:after="0" w:line="240" w:lineRule="auto"/>
        <w:ind w:firstLine="709"/>
        <w:jc w:val="both"/>
        <w:rPr>
          <w:rFonts w:ascii="Times New Roman" w:eastAsia="Aptos" w:hAnsi="Times New Roman" w:cs="Times New Roman"/>
          <w:spacing w:val="-4"/>
          <w:sz w:val="28"/>
          <w:szCs w:val="28"/>
          <w:lang w:val="nl-NL"/>
        </w:rPr>
      </w:pPr>
      <w:r w:rsidRPr="004374BD">
        <w:rPr>
          <w:rFonts w:ascii="Times New Roman" w:eastAsia="Aptos" w:hAnsi="Times New Roman" w:cs="Times New Roman"/>
          <w:b/>
          <w:iCs/>
          <w:spacing w:val="-2"/>
          <w:sz w:val="28"/>
          <w:szCs w:val="28"/>
          <w:lang w:val="pt-BR"/>
        </w:rPr>
        <w:t>1.7. Tổ chức tư vấn lập Báo cáo kinh tế - kỹ thuật, tổ chức khảo sát xây dựng</w:t>
      </w:r>
      <w:r w:rsidRPr="004374BD">
        <w:rPr>
          <w:rFonts w:ascii="Times New Roman" w:eastAsia="Aptos" w:hAnsi="Times New Roman" w:cs="Times New Roman"/>
          <w:iCs/>
          <w:spacing w:val="-4"/>
          <w:sz w:val="28"/>
          <w:szCs w:val="28"/>
          <w:lang w:val="nl-NL"/>
        </w:rPr>
        <w:t>:</w:t>
      </w:r>
      <w:r w:rsidRPr="004374BD">
        <w:rPr>
          <w:rFonts w:ascii="Times New Roman" w:eastAsia="Aptos" w:hAnsi="Times New Roman" w:cs="Times New Roman"/>
          <w:spacing w:val="-4"/>
          <w:sz w:val="28"/>
          <w:szCs w:val="28"/>
          <w:lang w:val="nl-NL"/>
        </w:rPr>
        <w:t xml:space="preserve"> </w:t>
      </w:r>
      <w:r w:rsidR="002342DE" w:rsidRPr="00C6720D">
        <w:rPr>
          <w:rFonts w:ascii="Times New Roman" w:eastAsia="Aptos" w:hAnsi="Times New Roman" w:cs="Times New Roman"/>
          <w:bCs/>
          <w:iCs/>
          <w:color w:val="EE0000"/>
          <w:spacing w:val="-2"/>
          <w:sz w:val="28"/>
          <w:szCs w:val="28"/>
          <w:lang w:val="pt-BR"/>
        </w:rPr>
        <w:t>Công ty dịch vụ Điện lực miền Bắc (NPSC) - CN Tổng công ty Điện lực miền Bắc (ủy quyền cho Xí nghiệp dịch vụ Điện lực Thái Bình, nay là Xí nghiệp dịch vụ Điện lực Hưng Yên thực hiện).</w:t>
      </w:r>
    </w:p>
    <w:p w14:paraId="264E38B7"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374BD">
        <w:rPr>
          <w:rFonts w:ascii="Times New Roman" w:eastAsia="Aptos" w:hAnsi="Times New Roman" w:cs="Times New Roman"/>
          <w:b/>
          <w:iCs/>
          <w:spacing w:val="-2"/>
          <w:sz w:val="28"/>
          <w:szCs w:val="28"/>
          <w:lang w:val="nl-NL"/>
        </w:rPr>
        <w:t>1.8</w:t>
      </w:r>
      <w:r w:rsidRPr="004374BD">
        <w:rPr>
          <w:rFonts w:ascii="Times New Roman" w:eastAsia="Aptos" w:hAnsi="Times New Roman" w:cs="Times New Roman"/>
          <w:b/>
          <w:iCs/>
          <w:spacing w:val="-2"/>
          <w:sz w:val="28"/>
          <w:szCs w:val="28"/>
          <w:lang w:val="pt-BR"/>
        </w:rPr>
        <w:t xml:space="preserve">. </w:t>
      </w:r>
      <w:r w:rsidRPr="004374BD">
        <w:rPr>
          <w:rFonts w:ascii="Times New Roman" w:eastAsia="Aptos" w:hAnsi="Times New Roman" w:cs="Times New Roman"/>
          <w:b/>
          <w:bCs/>
          <w:sz w:val="28"/>
          <w:szCs w:val="28"/>
          <w:lang w:val="vi-VN"/>
        </w:rPr>
        <w:t>Loại, cấp, nhóm công trình, thời hạn sử dụng chính của công trình theo thiết kế</w:t>
      </w:r>
      <w:r w:rsidRPr="004374BD">
        <w:rPr>
          <w:rFonts w:ascii="Times New Roman" w:eastAsia="Aptos" w:hAnsi="Times New Roman" w:cs="Times New Roman"/>
          <w:b/>
          <w:iCs/>
          <w:spacing w:val="-2"/>
          <w:sz w:val="28"/>
          <w:szCs w:val="28"/>
          <w:lang w:val="pt-BR"/>
        </w:rPr>
        <w:t>:</w:t>
      </w:r>
      <w:r w:rsidRPr="004374BD">
        <w:rPr>
          <w:rFonts w:ascii="Times New Roman" w:eastAsia="Aptos" w:hAnsi="Times New Roman" w:cs="Times New Roman"/>
          <w:bCs/>
          <w:spacing w:val="-2"/>
          <w:sz w:val="28"/>
          <w:szCs w:val="28"/>
          <w:lang w:val="pt-BR"/>
        </w:rPr>
        <w:t xml:space="preserve"> Công trình năng lượng, cấp IV, nhóm C, thời hạn sử dụng chính của công trình từ 18 đến 20 năm</w:t>
      </w:r>
      <w:r w:rsidRPr="004374BD">
        <w:rPr>
          <w:rFonts w:ascii="Times New Roman" w:eastAsia="Aptos" w:hAnsi="Times New Roman" w:cs="Times New Roman"/>
          <w:sz w:val="28"/>
          <w:szCs w:val="28"/>
          <w:lang w:val="it-IT"/>
        </w:rPr>
        <w:t>.</w:t>
      </w:r>
    </w:p>
    <w:p w14:paraId="21E27E7A" w14:textId="77777777" w:rsidR="004374BD" w:rsidRPr="004374BD" w:rsidRDefault="004374BD" w:rsidP="004374BD">
      <w:pPr>
        <w:spacing w:after="0" w:line="240" w:lineRule="auto"/>
        <w:ind w:firstLine="709"/>
        <w:jc w:val="both"/>
        <w:rPr>
          <w:rFonts w:ascii="Times New Roman" w:eastAsia="Aptos" w:hAnsi="Times New Roman" w:cs="Times New Roman"/>
          <w:b/>
          <w:iCs/>
          <w:spacing w:val="-2"/>
          <w:sz w:val="28"/>
          <w:szCs w:val="28"/>
          <w:lang w:val="nl-NL"/>
        </w:rPr>
      </w:pPr>
      <w:r w:rsidRPr="004374BD">
        <w:rPr>
          <w:rFonts w:ascii="Times New Roman" w:eastAsia="Aptos" w:hAnsi="Times New Roman" w:cs="Times New Roman"/>
          <w:b/>
          <w:iCs/>
          <w:spacing w:val="-2"/>
          <w:sz w:val="28"/>
          <w:szCs w:val="28"/>
          <w:lang w:val="pt-BR"/>
        </w:rPr>
        <w:t xml:space="preserve">1.9. Mục tiêu dự án: </w:t>
      </w:r>
      <w:r w:rsidRPr="004374BD">
        <w:rPr>
          <w:rFonts w:ascii="Times New Roman" w:eastAsia="Aptos" w:hAnsi="Times New Roman" w:cs="Times New Roman"/>
          <w:b/>
          <w:iCs/>
          <w:spacing w:val="-2"/>
          <w:sz w:val="28"/>
          <w:szCs w:val="28"/>
          <w:lang w:val="nl-NL"/>
        </w:rPr>
        <w:tab/>
      </w:r>
    </w:p>
    <w:p w14:paraId="091AD86E"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xml:space="preserve">- Giảm thời gian mất điện do sự cố hoặc cắt điện theo kế hoạch, đồng thời nâng cao độ tin cậy cung cấp điện cho lưới điện phân phối của Công ty Điện lực Phú Thọ quản lý. </w:t>
      </w:r>
    </w:p>
    <w:p w14:paraId="65ED99B9"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Cấp điện trở lại nhanh cho các phụ tải trên các phân đoạn không bị sự cố khi có sự cố trên đường dây và dễ dàng chuyển đổi phương thức cấp điện khi sự cố;</w:t>
      </w:r>
    </w:p>
    <w:p w14:paraId="672F3D06"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Thuận lợi áp dụng các giải pháp tự động hóa trong giai đoạn tiếp theo của dự án do những ưu điểm của phương pháp như: Nhanh chóng cô lập vùng sự cố, làm giảm thời gian và giảm sức người trong tìm kiếm điểm sự cố nhất là với đường dây trung thế đi qua nhiều địa hình đồi núi, đồng ruộng, ao hồ phức tạp của tỉnh Phú Thọ.</w:t>
      </w:r>
    </w:p>
    <w:p w14:paraId="1A4501D3" w14:textId="77777777" w:rsidR="004374BD" w:rsidRPr="004374BD"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it-IT"/>
          <w14:ligatures w14:val="none"/>
        </w:rPr>
      </w:pPr>
      <w:r w:rsidRPr="004374BD">
        <w:rPr>
          <w:rFonts w:ascii="Times New Roman" w:eastAsia="Times New Roman" w:hAnsi="Times New Roman" w:cs="Times New Roman"/>
          <w:kern w:val="0"/>
          <w:sz w:val="26"/>
          <w:szCs w:val="26"/>
          <w:lang w:val="it-IT"/>
          <w14:ligatures w14:val="none"/>
        </w:rPr>
        <w:t>- Lợi ích kinh tế tăng cho khách hàng và công ty Điện lực Phú Thọ giảm được thời gian mất điện của khách hàng.</w:t>
      </w:r>
    </w:p>
    <w:p w14:paraId="6463ABAE"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nl-NL"/>
        </w:rPr>
      </w:pPr>
      <w:r w:rsidRPr="004374BD">
        <w:rPr>
          <w:rFonts w:ascii="Times New Roman" w:eastAsia="Times New Roman" w:hAnsi="Times New Roman" w:cs="Times New Roman"/>
          <w:kern w:val="0"/>
          <w:sz w:val="26"/>
          <w:szCs w:val="26"/>
          <w:lang w:val="it-IT"/>
          <w14:ligatures w14:val="none"/>
        </w:rPr>
        <w:t>- Phù hợp với quy hoạch phát triển Điện lực</w:t>
      </w:r>
      <w:r w:rsidRPr="004374BD">
        <w:rPr>
          <w:rFonts w:ascii="Times New Roman" w:eastAsia="Aptos" w:hAnsi="Times New Roman" w:cs="Times New Roman"/>
          <w:spacing w:val="-2"/>
          <w:sz w:val="28"/>
          <w:szCs w:val="28"/>
          <w:lang w:val="nl-NL"/>
        </w:rPr>
        <w:t>.</w:t>
      </w:r>
    </w:p>
    <w:bookmarkEnd w:id="5"/>
    <w:p w14:paraId="5EBE1C9C" w14:textId="77777777" w:rsidR="004374BD" w:rsidRPr="004374BD" w:rsidRDefault="004374BD" w:rsidP="004374BD">
      <w:pPr>
        <w:spacing w:after="0" w:line="240" w:lineRule="auto"/>
        <w:ind w:firstLine="709"/>
        <w:jc w:val="both"/>
        <w:rPr>
          <w:rFonts w:ascii="Times New Roman" w:eastAsia="Times New Roman" w:hAnsi="Times New Roman" w:cs="Times New Roman"/>
          <w:b/>
          <w:kern w:val="0"/>
          <w:sz w:val="28"/>
          <w:szCs w:val="28"/>
          <w:u w:val="single"/>
          <w:lang w:val="nl-NL"/>
          <w14:ligatures w14:val="none"/>
        </w:rPr>
      </w:pPr>
      <w:r w:rsidRPr="004374BD">
        <w:rPr>
          <w:rFonts w:ascii="Times New Roman" w:eastAsia="Times New Roman" w:hAnsi="Times New Roman" w:cs="Times New Roman"/>
          <w:b/>
          <w:kern w:val="0"/>
          <w:sz w:val="28"/>
          <w:szCs w:val="28"/>
          <w:lang w:val="nl-NL"/>
          <w14:ligatures w14:val="none"/>
        </w:rPr>
        <w:lastRenderedPageBreak/>
        <w:t xml:space="preserve">1.10. </w:t>
      </w:r>
      <w:r w:rsidRPr="004374BD">
        <w:rPr>
          <w:rFonts w:ascii="Times New Roman" w:eastAsia="Times New Roman" w:hAnsi="Times New Roman" w:cs="Times New Roman"/>
          <w:b/>
          <w:kern w:val="0"/>
          <w:sz w:val="28"/>
          <w:szCs w:val="28"/>
          <w:lang w:val="vi-VN"/>
          <w14:ligatures w14:val="none"/>
        </w:rPr>
        <w:t xml:space="preserve"> </w:t>
      </w:r>
      <w:r w:rsidRPr="004374BD">
        <w:rPr>
          <w:rFonts w:ascii="Times New Roman" w:eastAsia="Times New Roman" w:hAnsi="Times New Roman" w:cs="Times New Roman"/>
          <w:b/>
          <w:kern w:val="0"/>
          <w:sz w:val="28"/>
          <w:szCs w:val="28"/>
          <w:u w:val="single"/>
          <w:lang w:val="vi-VN"/>
          <w14:ligatures w14:val="none"/>
        </w:rPr>
        <w:t>Qui mô xây dựng công trình</w:t>
      </w:r>
      <w:r w:rsidRPr="004374BD">
        <w:rPr>
          <w:rFonts w:ascii="Times New Roman" w:eastAsia="Times New Roman" w:hAnsi="Times New Roman" w:cs="Times New Roman"/>
          <w:b/>
          <w:kern w:val="0"/>
          <w:sz w:val="28"/>
          <w:szCs w:val="28"/>
          <w:u w:val="single"/>
          <w:lang w:val="nl-NL"/>
          <w14:ligatures w14:val="none"/>
        </w:rPr>
        <w:t>:</w:t>
      </w:r>
    </w:p>
    <w:p w14:paraId="3E5C63D0" w14:textId="71EA8C46" w:rsidR="004374BD" w:rsidRPr="004374BD" w:rsidRDefault="004374BD" w:rsidP="004374BD">
      <w:pPr>
        <w:spacing w:after="0" w:line="240" w:lineRule="auto"/>
        <w:ind w:firstLine="709"/>
        <w:jc w:val="both"/>
        <w:rPr>
          <w:rFonts w:ascii="Times New Roman" w:eastAsia="Times New Roman" w:hAnsi="Times New Roman" w:cs="Times New Roman"/>
          <w:b/>
          <w:kern w:val="0"/>
          <w:sz w:val="28"/>
          <w:szCs w:val="28"/>
          <w:lang w:val="nl-NL"/>
          <w14:ligatures w14:val="none"/>
        </w:rPr>
      </w:pPr>
      <w:r w:rsidRPr="004374BD">
        <w:rPr>
          <w:rFonts w:ascii="Times New Roman" w:eastAsia="Times New Roman" w:hAnsi="Times New Roman" w:cs="Times New Roman"/>
          <w:b/>
          <w:kern w:val="0"/>
          <w:sz w:val="28"/>
          <w:szCs w:val="28"/>
          <w:lang w:val="nl-NL"/>
          <w14:ligatures w14:val="none"/>
        </w:rPr>
        <w:t xml:space="preserve">1.10.1 </w:t>
      </w:r>
      <w:r w:rsidR="00623209" w:rsidRPr="00CD706D">
        <w:rPr>
          <w:rFonts w:ascii="Times New Roman" w:eastAsia="Times New Roman" w:hAnsi="Times New Roman" w:cs="Times New Roman"/>
          <w:b/>
          <w:iCs/>
          <w:kern w:val="0"/>
          <w:sz w:val="28"/>
          <w:szCs w:val="28"/>
          <w:lang w:val="vi-VN"/>
          <w14:ligatures w14:val="none"/>
        </w:rPr>
        <w:t>Xây dựng mới các trạm biến áp phân phối trên địa bàn thành phố Phúc Yên năm 2026 (HP1)</w:t>
      </w:r>
      <w:r w:rsidRPr="004374BD">
        <w:rPr>
          <w:rFonts w:ascii="Times New Roman" w:eastAsia="Times New Roman" w:hAnsi="Times New Roman" w:cs="Times New Roman"/>
          <w:b/>
          <w:iCs/>
          <w:kern w:val="0"/>
          <w:sz w:val="28"/>
          <w:szCs w:val="28"/>
          <w:lang w:val="nl-NL"/>
          <w14:ligatures w14:val="none"/>
        </w:rPr>
        <w:t>:</w:t>
      </w:r>
    </w:p>
    <w:p w14:paraId="2514D3E5" w14:textId="77777777" w:rsidR="00623209" w:rsidRPr="00885CB9" w:rsidRDefault="00623209" w:rsidP="00623209">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885CB9">
        <w:rPr>
          <w:rFonts w:ascii="Times New Roman" w:eastAsia="Times New Roman" w:hAnsi="Times New Roman" w:cs="Times New Roman"/>
          <w:bCs/>
          <w:iCs/>
          <w:color w:val="EE0000"/>
          <w:kern w:val="0"/>
          <w:sz w:val="28"/>
          <w:szCs w:val="28"/>
          <w:lang w:val="vi-VN"/>
          <w14:ligatures w14:val="none"/>
        </w:rPr>
        <w:t>- Xây dựng mới 0,306km cáp ngầm 35kV, sử dụng cáp ngầm loại Al/XLPE/PVC/DSTA/PVC-W 20/35(40,5)kV-3x95sqmm;</w:t>
      </w:r>
    </w:p>
    <w:p w14:paraId="2B11C6CB" w14:textId="77777777" w:rsidR="00623209" w:rsidRPr="00885CB9" w:rsidRDefault="00623209" w:rsidP="00623209">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885CB9">
        <w:rPr>
          <w:rFonts w:ascii="Times New Roman" w:eastAsia="Times New Roman" w:hAnsi="Times New Roman" w:cs="Times New Roman"/>
          <w:bCs/>
          <w:iCs/>
          <w:color w:val="EE0000"/>
          <w:kern w:val="0"/>
          <w:sz w:val="28"/>
          <w:szCs w:val="28"/>
          <w:lang w:val="vi-VN"/>
          <w14:ligatures w14:val="none"/>
        </w:rPr>
        <w:t>- Xây dựng mới 0,543km cáp ngầm 22kV, sử dụng cáp ngầm loại Al/XLPE/PVC/DSTA/PVC-W 12,7/22(24)kV-3x95sqmm;</w:t>
      </w:r>
    </w:p>
    <w:p w14:paraId="640421FA" w14:textId="77777777" w:rsidR="00623209" w:rsidRPr="00885CB9" w:rsidRDefault="00623209" w:rsidP="00623209">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885CB9">
        <w:rPr>
          <w:rFonts w:ascii="Times New Roman" w:eastAsia="Times New Roman" w:hAnsi="Times New Roman" w:cs="Times New Roman"/>
          <w:bCs/>
          <w:iCs/>
          <w:color w:val="EE0000"/>
          <w:kern w:val="0"/>
          <w:sz w:val="28"/>
          <w:szCs w:val="28"/>
          <w:lang w:val="vi-VN"/>
          <w14:ligatures w14:val="none"/>
        </w:rPr>
        <w:t>- Xây dựng mới 5 TBA bao gồm: 02 TBA 400kVA-22/0,4kV (trạm trụ); 02 TBA 400kVA-22/0,4kV (trạm treo); 01TBA 400kVA-35/0,4kV (trạm trụ) tận dụng MBA trong kho PCPT;</w:t>
      </w:r>
    </w:p>
    <w:p w14:paraId="0D98518F" w14:textId="77777777" w:rsidR="00623209" w:rsidRPr="00885CB9" w:rsidRDefault="00623209" w:rsidP="00623209">
      <w:pPr>
        <w:spacing w:after="0" w:line="240" w:lineRule="auto"/>
        <w:ind w:firstLine="709"/>
        <w:contextualSpacing/>
        <w:jc w:val="both"/>
        <w:rPr>
          <w:rFonts w:ascii="Times New Roman" w:eastAsia="Times New Roman" w:hAnsi="Times New Roman" w:cs="Times New Roman"/>
          <w:bCs/>
          <w:iCs/>
          <w:color w:val="EE0000"/>
          <w:kern w:val="0"/>
          <w:sz w:val="28"/>
          <w:szCs w:val="28"/>
          <w:lang w:val="vi-VN"/>
          <w14:ligatures w14:val="none"/>
        </w:rPr>
      </w:pPr>
      <w:r w:rsidRPr="00885CB9">
        <w:rPr>
          <w:rFonts w:ascii="Times New Roman" w:eastAsia="Times New Roman" w:hAnsi="Times New Roman" w:cs="Times New Roman"/>
          <w:bCs/>
          <w:iCs/>
          <w:color w:val="EE0000"/>
          <w:kern w:val="0"/>
          <w:sz w:val="28"/>
          <w:szCs w:val="28"/>
          <w:lang w:val="vi-VN"/>
          <w14:ligatures w14:val="none"/>
        </w:rPr>
        <w:t>- Xây dựng mới 1,031 km cáp ngầm 0,4kV, sử dụng cáp ngầm loại 0,6/1kV_Al/XLPE/PVC/DSTA/PVC (3x185+1x120)mm2;</w:t>
      </w:r>
    </w:p>
    <w:p w14:paraId="309E1272" w14:textId="77777777" w:rsidR="00623209" w:rsidRPr="00885CB9" w:rsidRDefault="00623209" w:rsidP="00623209">
      <w:pPr>
        <w:spacing w:after="0" w:line="240" w:lineRule="auto"/>
        <w:ind w:firstLine="709"/>
        <w:contextualSpacing/>
        <w:jc w:val="both"/>
        <w:rPr>
          <w:rFonts w:ascii="Times New Roman" w:eastAsia="Times New Roman" w:hAnsi="Times New Roman" w:cs="Times New Roman"/>
          <w:bCs/>
          <w:iCs/>
          <w:color w:val="EE0000"/>
          <w:kern w:val="0"/>
          <w:sz w:val="28"/>
          <w:szCs w:val="28"/>
          <w14:ligatures w14:val="none"/>
        </w:rPr>
      </w:pPr>
      <w:r w:rsidRPr="00885CB9">
        <w:rPr>
          <w:rFonts w:ascii="Times New Roman" w:eastAsia="Times New Roman" w:hAnsi="Times New Roman" w:cs="Times New Roman"/>
          <w:bCs/>
          <w:iCs/>
          <w:color w:val="EE0000"/>
          <w:kern w:val="0"/>
          <w:sz w:val="28"/>
          <w:szCs w:val="28"/>
          <w:lang w:val="vi-VN"/>
          <w14:ligatures w14:val="none"/>
        </w:rPr>
        <w:t>- Xây dựng mới 4,172km ĐZ 0,4kV, sử dụng cáp vặn xoắn 0,6/1kV-AL/XLPE tiết diện 120mm2 và 4x50mm2.</w:t>
      </w:r>
    </w:p>
    <w:p w14:paraId="2E608EA1" w14:textId="3D17921E" w:rsidR="004374BD" w:rsidRPr="00CD706D" w:rsidRDefault="004374BD" w:rsidP="00623209">
      <w:pPr>
        <w:spacing w:after="0" w:line="240" w:lineRule="auto"/>
        <w:ind w:firstLine="709"/>
        <w:contextualSpacing/>
        <w:jc w:val="both"/>
        <w:rPr>
          <w:rFonts w:ascii="Times New Roman" w:eastAsia="Times New Roman" w:hAnsi="Times New Roman" w:cs="Times New Roman"/>
          <w:b/>
          <w:iCs/>
          <w:kern w:val="0"/>
          <w:sz w:val="28"/>
          <w:szCs w:val="28"/>
          <w14:ligatures w14:val="none"/>
        </w:rPr>
      </w:pPr>
      <w:r w:rsidRPr="004374BD">
        <w:rPr>
          <w:rFonts w:ascii="Times New Roman" w:eastAsia="Times New Roman" w:hAnsi="Times New Roman" w:cs="Times New Roman"/>
          <w:b/>
          <w:kern w:val="0"/>
          <w:sz w:val="28"/>
          <w:szCs w:val="28"/>
          <w:lang w:val="it-IT"/>
          <w14:ligatures w14:val="none"/>
        </w:rPr>
        <w:t xml:space="preserve">1.10.2 </w:t>
      </w:r>
      <w:r w:rsidR="00623209" w:rsidRPr="00CD706D">
        <w:rPr>
          <w:rFonts w:ascii="Times New Roman" w:eastAsia="Times New Roman" w:hAnsi="Times New Roman" w:cs="Times New Roman"/>
          <w:b/>
          <w:iCs/>
          <w:kern w:val="0"/>
          <w:sz w:val="28"/>
          <w:szCs w:val="28"/>
          <w:lang w:val="vi-VN"/>
          <w14:ligatures w14:val="none"/>
        </w:rPr>
        <w:t>Xây dựng mới các trạm biến áp phân phối trên địa bàn thành phố Phúc Yên năm 2026 (HP2)</w:t>
      </w:r>
      <w:r w:rsidRPr="004374BD">
        <w:rPr>
          <w:rFonts w:ascii="Times New Roman" w:eastAsia="Times New Roman" w:hAnsi="Times New Roman" w:cs="Times New Roman"/>
          <w:b/>
          <w:iCs/>
          <w:kern w:val="0"/>
          <w:sz w:val="28"/>
          <w:szCs w:val="28"/>
          <w:lang w:val="vi-VN"/>
          <w14:ligatures w14:val="none"/>
        </w:rPr>
        <w:t>:</w:t>
      </w:r>
    </w:p>
    <w:p w14:paraId="07E7452D" w14:textId="77777777" w:rsidR="00CD706D" w:rsidRPr="00885CB9" w:rsidRDefault="00CD706D" w:rsidP="00CD706D">
      <w:pPr>
        <w:spacing w:after="0" w:line="240" w:lineRule="auto"/>
        <w:ind w:firstLine="709"/>
        <w:contextualSpacing/>
        <w:jc w:val="both"/>
        <w:rPr>
          <w:rFonts w:ascii="Times New Roman" w:eastAsia="Times New Roman" w:hAnsi="Times New Roman" w:cs="Times New Roman"/>
          <w:bCs/>
          <w:iCs/>
          <w:color w:val="EE0000"/>
          <w:kern w:val="0"/>
          <w:sz w:val="28"/>
          <w:szCs w:val="28"/>
          <w14:ligatures w14:val="none"/>
        </w:rPr>
      </w:pPr>
      <w:r w:rsidRPr="00885CB9">
        <w:rPr>
          <w:rFonts w:ascii="Times New Roman" w:eastAsia="Times New Roman" w:hAnsi="Times New Roman" w:cs="Times New Roman"/>
          <w:bCs/>
          <w:iCs/>
          <w:color w:val="EE0000"/>
          <w:kern w:val="0"/>
          <w:sz w:val="28"/>
          <w:szCs w:val="28"/>
          <w14:ligatures w14:val="none"/>
        </w:rPr>
        <w:t>- Xây dựng mới 0,67km cáp ngầm 35kV, sử dụng cáp ngầm loại Al/XLPE/PVC/DSTA/PVC-W 20/35(40,5)kV-3x95sqmm;</w:t>
      </w:r>
    </w:p>
    <w:p w14:paraId="4E5590B0" w14:textId="77777777" w:rsidR="00CD706D" w:rsidRPr="00885CB9" w:rsidRDefault="00CD706D" w:rsidP="00CD706D">
      <w:pPr>
        <w:spacing w:after="0" w:line="240" w:lineRule="auto"/>
        <w:ind w:firstLine="709"/>
        <w:contextualSpacing/>
        <w:jc w:val="both"/>
        <w:rPr>
          <w:rFonts w:ascii="Times New Roman" w:eastAsia="Times New Roman" w:hAnsi="Times New Roman" w:cs="Times New Roman"/>
          <w:bCs/>
          <w:iCs/>
          <w:color w:val="EE0000"/>
          <w:kern w:val="0"/>
          <w:sz w:val="28"/>
          <w:szCs w:val="28"/>
          <w14:ligatures w14:val="none"/>
        </w:rPr>
      </w:pPr>
      <w:r w:rsidRPr="00885CB9">
        <w:rPr>
          <w:rFonts w:ascii="Times New Roman" w:eastAsia="Times New Roman" w:hAnsi="Times New Roman" w:cs="Times New Roman"/>
          <w:bCs/>
          <w:iCs/>
          <w:color w:val="EE0000"/>
          <w:kern w:val="0"/>
          <w:sz w:val="28"/>
          <w:szCs w:val="28"/>
          <w14:ligatures w14:val="none"/>
        </w:rPr>
        <w:t>- Xây dựng mới 0,614km cáp ngầm 22kV, sử dụng cáp ngầm loại Al/XLPE/PVC/DSTA/PVC-W 12,7/22(24)kV-3x95sqmm;</w:t>
      </w:r>
    </w:p>
    <w:p w14:paraId="439C8965" w14:textId="77777777" w:rsidR="00CD706D" w:rsidRPr="00885CB9" w:rsidRDefault="00CD706D" w:rsidP="00CD706D">
      <w:pPr>
        <w:spacing w:after="0" w:line="240" w:lineRule="auto"/>
        <w:ind w:firstLine="709"/>
        <w:contextualSpacing/>
        <w:jc w:val="both"/>
        <w:rPr>
          <w:rFonts w:ascii="Times New Roman" w:eastAsia="Times New Roman" w:hAnsi="Times New Roman" w:cs="Times New Roman"/>
          <w:bCs/>
          <w:iCs/>
          <w:color w:val="EE0000"/>
          <w:kern w:val="0"/>
          <w:sz w:val="28"/>
          <w:szCs w:val="28"/>
          <w14:ligatures w14:val="none"/>
        </w:rPr>
      </w:pPr>
      <w:r w:rsidRPr="00885CB9">
        <w:rPr>
          <w:rFonts w:ascii="Times New Roman" w:eastAsia="Times New Roman" w:hAnsi="Times New Roman" w:cs="Times New Roman"/>
          <w:bCs/>
          <w:iCs/>
          <w:color w:val="EE0000"/>
          <w:kern w:val="0"/>
          <w:sz w:val="28"/>
          <w:szCs w:val="28"/>
          <w14:ligatures w14:val="none"/>
        </w:rPr>
        <w:t>- Xây dựng mới 5 TBA bao gồm: 04 TBA 400kVA-22/0,4kV (trạm trụ); 01 TBA 400kVA-35/0,4kV (trạm trụ) tận dụng MBA trong kho PCPT;</w:t>
      </w:r>
    </w:p>
    <w:p w14:paraId="674FAD99" w14:textId="77777777" w:rsidR="00CD706D" w:rsidRPr="00885CB9" w:rsidRDefault="00CD706D" w:rsidP="00CD706D">
      <w:pPr>
        <w:spacing w:after="0" w:line="240" w:lineRule="auto"/>
        <w:ind w:firstLine="709"/>
        <w:contextualSpacing/>
        <w:jc w:val="both"/>
        <w:rPr>
          <w:rFonts w:ascii="Times New Roman" w:eastAsia="Times New Roman" w:hAnsi="Times New Roman" w:cs="Times New Roman"/>
          <w:bCs/>
          <w:iCs/>
          <w:color w:val="EE0000"/>
          <w:kern w:val="0"/>
          <w:sz w:val="28"/>
          <w:szCs w:val="28"/>
          <w14:ligatures w14:val="none"/>
        </w:rPr>
      </w:pPr>
      <w:r w:rsidRPr="00885CB9">
        <w:rPr>
          <w:rFonts w:ascii="Times New Roman" w:eastAsia="Times New Roman" w:hAnsi="Times New Roman" w:cs="Times New Roman"/>
          <w:bCs/>
          <w:iCs/>
          <w:color w:val="EE0000"/>
          <w:kern w:val="0"/>
          <w:sz w:val="28"/>
          <w:szCs w:val="28"/>
          <w14:ligatures w14:val="none"/>
        </w:rPr>
        <w:t>- Xây dựng mới 0,786km cáp ngầm 0,4kV, sử dụng cáp ngầm loại 0,6/1kV_Al/XLPE/PVC/DSTA/PVC (3x185+1x120)mm2;</w:t>
      </w:r>
    </w:p>
    <w:p w14:paraId="5780A94F" w14:textId="76C3B27A" w:rsidR="00CD706D" w:rsidRPr="004374BD" w:rsidRDefault="00CD706D" w:rsidP="00CD706D">
      <w:pPr>
        <w:spacing w:after="0" w:line="240" w:lineRule="auto"/>
        <w:ind w:firstLine="709"/>
        <w:contextualSpacing/>
        <w:jc w:val="both"/>
        <w:rPr>
          <w:rFonts w:ascii="Times New Roman" w:eastAsia="Times New Roman" w:hAnsi="Times New Roman" w:cs="Times New Roman"/>
          <w:bCs/>
          <w:iCs/>
          <w:color w:val="EE0000"/>
          <w:kern w:val="0"/>
          <w:sz w:val="28"/>
          <w:szCs w:val="28"/>
          <w14:ligatures w14:val="none"/>
        </w:rPr>
      </w:pPr>
      <w:r w:rsidRPr="00885CB9">
        <w:rPr>
          <w:rFonts w:ascii="Times New Roman" w:eastAsia="Times New Roman" w:hAnsi="Times New Roman" w:cs="Times New Roman"/>
          <w:bCs/>
          <w:iCs/>
          <w:color w:val="EE0000"/>
          <w:kern w:val="0"/>
          <w:sz w:val="28"/>
          <w:szCs w:val="28"/>
          <w14:ligatures w14:val="none"/>
        </w:rPr>
        <w:t>- Xây dựng mới 5,09km ĐZ 0,4kV, sử dụng cáp vặn xoắn 0,6/1kV-AL/XLPE tiết diện 120mm2.</w:t>
      </w:r>
    </w:p>
    <w:p w14:paraId="6C725D45" w14:textId="77777777" w:rsidR="004374BD" w:rsidRPr="004374BD" w:rsidRDefault="004374BD" w:rsidP="004374BD">
      <w:pPr>
        <w:spacing w:after="0" w:line="240" w:lineRule="auto"/>
        <w:ind w:firstLine="709"/>
        <w:jc w:val="both"/>
        <w:rPr>
          <w:rFonts w:ascii="Times New Roman" w:eastAsia="Times New Roman" w:hAnsi="Times New Roman" w:cs="Times New Roman"/>
          <w:bCs/>
          <w:i/>
          <w:spacing w:val="-4"/>
          <w:kern w:val="0"/>
          <w:sz w:val="28"/>
          <w:szCs w:val="28"/>
          <w:lang w:val="vi-VN"/>
          <w14:ligatures w14:val="none"/>
        </w:rPr>
      </w:pPr>
      <w:r w:rsidRPr="004374BD">
        <w:rPr>
          <w:rFonts w:ascii="Times New Roman" w:eastAsia="Times New Roman" w:hAnsi="Times New Roman" w:cs="Times New Roman"/>
          <w:b/>
          <w:i/>
          <w:iCs/>
          <w:kern w:val="0"/>
          <w:sz w:val="28"/>
          <w:szCs w:val="28"/>
          <w:lang w:val="vi-VN"/>
          <w14:ligatures w14:val="none"/>
        </w:rPr>
        <w:t>2. Hình thức quản lý dự án</w:t>
      </w:r>
      <w:r w:rsidRPr="004374BD">
        <w:rPr>
          <w:rFonts w:ascii="Times New Roman" w:eastAsia="Times New Roman" w:hAnsi="Times New Roman" w:cs="Times New Roman"/>
          <w:bCs/>
          <w:kern w:val="0"/>
          <w:sz w:val="28"/>
          <w:szCs w:val="28"/>
          <w:lang w:val="vi-VN"/>
          <w14:ligatures w14:val="none"/>
        </w:rPr>
        <w:t xml:space="preserve">: </w:t>
      </w:r>
      <w:r w:rsidRPr="004374BD">
        <w:rPr>
          <w:rFonts w:ascii="Times New Roman" w:eastAsia="Times New Roman" w:hAnsi="Times New Roman" w:cs="Times New Roman"/>
          <w:bCs/>
          <w:spacing w:val="-4"/>
          <w:kern w:val="0"/>
          <w:sz w:val="28"/>
          <w:szCs w:val="28"/>
          <w:lang w:val="vi-VN"/>
          <w14:ligatures w14:val="none"/>
        </w:rPr>
        <w:t>Công ty Điện lực Phú Thọ trực tiếp quản lý và thực hiện dự án theo quy định của Nhà nước</w:t>
      </w:r>
      <w:r w:rsidRPr="004374BD">
        <w:rPr>
          <w:rFonts w:ascii="Times New Roman" w:eastAsia="Times New Roman" w:hAnsi="Times New Roman" w:cs="Times New Roman"/>
          <w:bCs/>
          <w:i/>
          <w:spacing w:val="-4"/>
          <w:kern w:val="0"/>
          <w:sz w:val="28"/>
          <w:szCs w:val="28"/>
          <w:lang w:val="vi-VN"/>
          <w14:ligatures w14:val="none"/>
        </w:rPr>
        <w:t>.</w:t>
      </w:r>
    </w:p>
    <w:p w14:paraId="7A710D4F" w14:textId="77777777" w:rsidR="004374BD" w:rsidRPr="004374BD" w:rsidRDefault="004374BD" w:rsidP="004374BD">
      <w:pPr>
        <w:spacing w:after="0" w:line="240" w:lineRule="auto"/>
        <w:ind w:firstLine="709"/>
        <w:jc w:val="both"/>
        <w:rPr>
          <w:rFonts w:ascii="Times New Roman" w:eastAsia="Times New Roman" w:hAnsi="Times New Roman" w:cs="Times New Roman"/>
          <w:b/>
          <w:i/>
          <w:spacing w:val="-4"/>
          <w:kern w:val="0"/>
          <w:sz w:val="28"/>
          <w:szCs w:val="28"/>
          <w:lang w:val="vi-VN"/>
          <w14:ligatures w14:val="none"/>
        </w:rPr>
      </w:pPr>
      <w:r w:rsidRPr="004374BD">
        <w:rPr>
          <w:rFonts w:ascii="Times New Roman" w:eastAsia="Times New Roman" w:hAnsi="Times New Roman" w:cs="Times New Roman"/>
          <w:b/>
          <w:i/>
          <w:spacing w:val="-4"/>
          <w:kern w:val="0"/>
          <w:sz w:val="28"/>
          <w:szCs w:val="28"/>
          <w:lang w:val="vi-VN"/>
          <w14:ligatures w14:val="none"/>
        </w:rPr>
        <w:t xml:space="preserve">5. Mục đích tuyển chọn nhà thầu tư vấn giám sát. </w:t>
      </w:r>
    </w:p>
    <w:p w14:paraId="5E18899B" w14:textId="77777777" w:rsidR="004374BD" w:rsidRPr="004374BD" w:rsidRDefault="004374BD" w:rsidP="004374BD">
      <w:pPr>
        <w:spacing w:after="0" w:line="240" w:lineRule="auto"/>
        <w:ind w:firstLine="709"/>
        <w:jc w:val="both"/>
        <w:rPr>
          <w:rFonts w:ascii="Times New Roman" w:eastAsia="Times New Roman" w:hAnsi="Times New Roman" w:cs="Times New Roman"/>
          <w:bCs/>
          <w:iCs/>
          <w:spacing w:val="-4"/>
          <w:kern w:val="0"/>
          <w:sz w:val="28"/>
          <w:szCs w:val="28"/>
          <w:lang w:val="vi-VN"/>
          <w14:ligatures w14:val="none"/>
        </w:rPr>
      </w:pPr>
      <w:r w:rsidRPr="004374BD">
        <w:rPr>
          <w:rFonts w:ascii="Times New Roman" w:eastAsia="Times New Roman" w:hAnsi="Times New Roman" w:cs="Times New Roman"/>
          <w:bCs/>
          <w:iCs/>
          <w:spacing w:val="-4"/>
          <w:kern w:val="0"/>
          <w:sz w:val="28"/>
          <w:szCs w:val="28"/>
          <w:lang w:val="vi-VN"/>
          <w14:ligatures w14:val="none"/>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6E63ED87" w14:textId="77777777" w:rsidR="004374BD" w:rsidRPr="004374BD" w:rsidRDefault="004374BD" w:rsidP="004374BD">
      <w:pPr>
        <w:spacing w:beforeLines="20" w:before="48" w:after="0" w:line="340" w:lineRule="atLeast"/>
        <w:ind w:firstLine="560"/>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II. PHẠM VI CÔNG VIỆC:</w:t>
      </w:r>
    </w:p>
    <w:p w14:paraId="0A9C354E" w14:textId="77777777" w:rsidR="004374BD" w:rsidRPr="004374BD" w:rsidRDefault="004374BD" w:rsidP="004374BD">
      <w:pPr>
        <w:spacing w:before="60" w:after="0" w:line="240" w:lineRule="auto"/>
        <w:ind w:firstLine="567"/>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1. Phạm vi công việc đối với nhà thầu tư vấn:</w:t>
      </w:r>
    </w:p>
    <w:p w14:paraId="25B59C1F" w14:textId="4D8FF853" w:rsidR="004374BD" w:rsidRPr="004374BD" w:rsidRDefault="004374BD" w:rsidP="004374BD">
      <w:pPr>
        <w:spacing w:after="0" w:line="240" w:lineRule="auto"/>
        <w:ind w:firstLine="709"/>
        <w:jc w:val="both"/>
        <w:rPr>
          <w:rFonts w:ascii="Times New Roman" w:eastAsia="Times New Roman" w:hAnsi="Times New Roman" w:cs="Times New Roman"/>
          <w:bCs/>
          <w:kern w:val="0"/>
          <w:sz w:val="28"/>
          <w:szCs w:val="28"/>
          <w:lang w:val="vi-VN"/>
          <w14:ligatures w14:val="none"/>
        </w:rPr>
      </w:pPr>
      <w:r w:rsidRPr="004374BD">
        <w:rPr>
          <w:rFonts w:ascii="Times New Roman" w:eastAsia="Times New Roman" w:hAnsi="Times New Roman" w:cs="Times New Roman"/>
          <w:bCs/>
          <w:kern w:val="0"/>
          <w:sz w:val="28"/>
          <w:szCs w:val="28"/>
          <w:lang w:val="vi-VN"/>
          <w14:ligatures w14:val="none"/>
        </w:rPr>
        <w:t>C</w:t>
      </w:r>
      <w:r w:rsidRPr="004374BD">
        <w:rPr>
          <w:rFonts w:ascii="Times New Roman" w:eastAsia="Times New Roman" w:hAnsi="Times New Roman" w:cs="Times New Roman" w:hint="eastAsia"/>
          <w:bCs/>
          <w:kern w:val="0"/>
          <w:sz w:val="28"/>
          <w:szCs w:val="28"/>
          <w:lang w:val="vi-VN"/>
          <w14:ligatures w14:val="none"/>
        </w:rPr>
        <w:t>ă</w:t>
      </w:r>
      <w:r w:rsidRPr="004374BD">
        <w:rPr>
          <w:rFonts w:ascii="Times New Roman" w:eastAsia="Times New Roman" w:hAnsi="Times New Roman" w:cs="Times New Roman"/>
          <w:bCs/>
          <w:kern w:val="0"/>
          <w:sz w:val="28"/>
          <w:szCs w:val="28"/>
          <w:lang w:val="vi-VN"/>
          <w14:ligatures w14:val="none"/>
        </w:rPr>
        <w:t xml:space="preserve">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(GSTCXD &amp;LĐTB) cho dự án/công trình: </w:t>
      </w:r>
      <w:r w:rsidRPr="004374BD">
        <w:rPr>
          <w:rFonts w:ascii="Times New Roman" w:eastAsia="Times New Roman" w:hAnsi="Times New Roman" w:cs="Times New Roman"/>
          <w:bCs/>
          <w:iCs/>
          <w:kern w:val="0"/>
          <w:sz w:val="28"/>
          <w:szCs w:val="28"/>
          <w:lang w:val="vi-VN"/>
          <w14:ligatures w14:val="none"/>
        </w:rPr>
        <w:t xml:space="preserve">1. </w:t>
      </w:r>
      <w:r w:rsidR="00623209">
        <w:rPr>
          <w:rFonts w:ascii="Times New Roman" w:eastAsia="Times New Roman" w:hAnsi="Times New Roman" w:cs="Times New Roman"/>
          <w:bCs/>
          <w:iCs/>
          <w:kern w:val="0"/>
          <w:sz w:val="28"/>
          <w:szCs w:val="28"/>
          <w:lang w:val="vi-VN"/>
          <w14:ligatures w14:val="none"/>
        </w:rPr>
        <w:t xml:space="preserve">Xây dựng mới các trạm biến áp phân </w:t>
      </w:r>
      <w:r w:rsidR="00623209">
        <w:rPr>
          <w:rFonts w:ascii="Times New Roman" w:eastAsia="Times New Roman" w:hAnsi="Times New Roman" w:cs="Times New Roman"/>
          <w:bCs/>
          <w:iCs/>
          <w:kern w:val="0"/>
          <w:sz w:val="28"/>
          <w:szCs w:val="28"/>
          <w:lang w:val="vi-VN"/>
          <w14:ligatures w14:val="none"/>
        </w:rPr>
        <w:lastRenderedPageBreak/>
        <w:t>phối trên địa bàn thành phố Phúc Yên năm 2026 (HP1)</w:t>
      </w:r>
      <w:r w:rsidRPr="004374BD">
        <w:rPr>
          <w:rFonts w:ascii="Times New Roman" w:eastAsia="Times New Roman" w:hAnsi="Times New Roman" w:cs="Times New Roman"/>
          <w:bCs/>
          <w:iCs/>
          <w:kern w:val="0"/>
          <w:sz w:val="28"/>
          <w:szCs w:val="28"/>
          <w:lang w:val="vi-VN"/>
          <w14:ligatures w14:val="none"/>
        </w:rPr>
        <w:t xml:space="preserve">; 2. </w:t>
      </w:r>
      <w:r w:rsidR="00623209">
        <w:rPr>
          <w:rFonts w:ascii="Times New Roman" w:eastAsia="Times New Roman" w:hAnsi="Times New Roman" w:cs="Times New Roman"/>
          <w:bCs/>
          <w:iCs/>
          <w:kern w:val="0"/>
          <w:sz w:val="28"/>
          <w:szCs w:val="28"/>
          <w:lang w:val="vi-VN"/>
          <w14:ligatures w14:val="none"/>
        </w:rPr>
        <w:t>Xây dựng mới các trạm biến áp phân phối trên địa bàn thành phố Phúc Yên năm 2026 (HP2)</w:t>
      </w:r>
      <w:r w:rsidRPr="004374BD">
        <w:rPr>
          <w:rFonts w:ascii="Times New Roman" w:eastAsia="Times New Roman" w:hAnsi="Times New Roman" w:cs="Times New Roman"/>
          <w:bCs/>
          <w:iCs/>
          <w:kern w:val="0"/>
          <w:sz w:val="28"/>
          <w:szCs w:val="28"/>
          <w:lang w:val="vi-VN"/>
          <w14:ligatures w14:val="none"/>
        </w:rPr>
        <w:t>.</w:t>
      </w:r>
    </w:p>
    <w:p w14:paraId="4333203C" w14:textId="77777777" w:rsidR="004374BD" w:rsidRPr="004374BD"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nl-NL"/>
          <w14:ligatures w14:val="none"/>
        </w:rPr>
      </w:pPr>
      <w:bookmarkStart w:id="6" w:name="_Hlk197543457"/>
      <w:r w:rsidRPr="004374BD">
        <w:rPr>
          <w:rFonts w:ascii="Times New Roman" w:eastAsia="Times New Roman" w:hAnsi="Times New Roman" w:cs="Times New Roman"/>
          <w:b/>
          <w:bCs/>
          <w:kern w:val="0"/>
          <w:sz w:val="26"/>
          <w:szCs w:val="26"/>
          <w:lang w:val="nl-NL"/>
          <w14:ligatures w14:val="none"/>
        </w:rPr>
        <w:t>1.1 Khối lượng công việc chính của nhà thầu thực hiện công tác tư vấn giám sát dựa trên giá trị chi phí xây dựng và chi phí thiết bị như sau:</w:t>
      </w:r>
    </w:p>
    <w:p w14:paraId="1B6888DF" w14:textId="36EDA7F1" w:rsidR="004374BD" w:rsidRPr="004374BD"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nl-NL"/>
          <w14:ligatures w14:val="none"/>
        </w:rPr>
      </w:pPr>
      <w:r w:rsidRPr="004374BD">
        <w:rPr>
          <w:rFonts w:ascii="Times New Roman" w:eastAsia="Times New Roman" w:hAnsi="Times New Roman" w:cs="Times New Roman"/>
          <w:b/>
          <w:bCs/>
          <w:kern w:val="0"/>
          <w:sz w:val="26"/>
          <w:szCs w:val="26"/>
          <w:lang w:val="nl-NL"/>
          <w14:ligatures w14:val="none"/>
        </w:rPr>
        <w:t xml:space="preserve">1.1.1 </w:t>
      </w:r>
      <w:r w:rsidR="00623209">
        <w:rPr>
          <w:rFonts w:ascii="Times New Roman" w:eastAsia="Times New Roman" w:hAnsi="Times New Roman" w:cs="Times New Roman"/>
          <w:bCs/>
          <w:iCs/>
          <w:kern w:val="0"/>
          <w:sz w:val="28"/>
          <w:szCs w:val="28"/>
          <w:lang w:val="vi-VN"/>
          <w14:ligatures w14:val="none"/>
        </w:rPr>
        <w:t>Xây dựng mới các trạm biến áp phân phối trên địa bàn thành phố Phúc Yên năm 2026 (HP1)</w:t>
      </w:r>
      <w:r w:rsidRPr="004374BD">
        <w:rPr>
          <w:rFonts w:ascii="Times New Roman" w:eastAsia="Times New Roman" w:hAnsi="Times New Roman" w:cs="Times New Roman"/>
          <w:bCs/>
          <w:iCs/>
          <w:kern w:val="0"/>
          <w:sz w:val="28"/>
          <w:szCs w:val="28"/>
          <w:lang w:val="nl-NL"/>
          <w14:ligatures w14:val="none"/>
        </w:rPr>
        <w:t>:</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29"/>
        <w:gridCol w:w="1480"/>
        <w:gridCol w:w="1313"/>
        <w:gridCol w:w="1497"/>
        <w:gridCol w:w="751"/>
      </w:tblGrid>
      <w:tr w:rsidR="004C208B" w:rsidRPr="004374BD" w14:paraId="60120457" w14:textId="77777777" w:rsidTr="004C208B">
        <w:trPr>
          <w:trHeight w:val="20"/>
        </w:trPr>
        <w:tc>
          <w:tcPr>
            <w:tcW w:w="305" w:type="pct"/>
            <w:vAlign w:val="center"/>
          </w:tcPr>
          <w:p w14:paraId="14579C25"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STT</w:t>
            </w:r>
          </w:p>
        </w:tc>
        <w:tc>
          <w:tcPr>
            <w:tcW w:w="1933" w:type="pct"/>
            <w:vAlign w:val="center"/>
          </w:tcPr>
          <w:p w14:paraId="000DF5B6"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Hạng mục công trình</w:t>
            </w:r>
          </w:p>
        </w:tc>
        <w:tc>
          <w:tcPr>
            <w:tcW w:w="828" w:type="pct"/>
            <w:vAlign w:val="center"/>
          </w:tcPr>
          <w:p w14:paraId="3297F86C"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Diễn giải</w:t>
            </w:r>
          </w:p>
        </w:tc>
        <w:tc>
          <w:tcPr>
            <w:tcW w:w="736" w:type="pct"/>
            <w:vAlign w:val="center"/>
          </w:tcPr>
          <w:p w14:paraId="34989507"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trước thuế</w:t>
            </w:r>
          </w:p>
        </w:tc>
        <w:tc>
          <w:tcPr>
            <w:tcW w:w="770" w:type="pct"/>
            <w:noWrap/>
            <w:vAlign w:val="center"/>
          </w:tcPr>
          <w:p w14:paraId="5C99F326"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Thuế GTGT 8%</w:t>
            </w:r>
          </w:p>
        </w:tc>
        <w:tc>
          <w:tcPr>
            <w:tcW w:w="428" w:type="pct"/>
            <w:vAlign w:val="center"/>
          </w:tcPr>
          <w:p w14:paraId="1911EF32"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sau thuế</w:t>
            </w:r>
          </w:p>
        </w:tc>
      </w:tr>
      <w:tr w:rsidR="004C208B" w:rsidRPr="004374BD" w14:paraId="07A51084" w14:textId="77777777" w:rsidTr="004C208B">
        <w:trPr>
          <w:trHeight w:val="20"/>
        </w:trPr>
        <w:tc>
          <w:tcPr>
            <w:tcW w:w="305" w:type="pct"/>
            <w:noWrap/>
            <w:vAlign w:val="center"/>
          </w:tcPr>
          <w:p w14:paraId="2E3D59C5"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w:t>
            </w:r>
          </w:p>
        </w:tc>
        <w:tc>
          <w:tcPr>
            <w:tcW w:w="1933" w:type="pct"/>
            <w:noWrap/>
            <w:vAlign w:val="center"/>
          </w:tcPr>
          <w:p w14:paraId="02A99E15"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XÂY DỰNG (Gxd):</w:t>
            </w:r>
          </w:p>
        </w:tc>
        <w:tc>
          <w:tcPr>
            <w:tcW w:w="828" w:type="pct"/>
            <w:noWrap/>
            <w:vAlign w:val="center"/>
          </w:tcPr>
          <w:p w14:paraId="402231FE"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736" w:type="pct"/>
            <w:noWrap/>
            <w:vAlign w:val="center"/>
          </w:tcPr>
          <w:p w14:paraId="3351BC36" w14:textId="2965B9A8" w:rsidR="004C208B" w:rsidRPr="004374BD" w:rsidRDefault="004C208B" w:rsidP="00885CB9">
            <w:pPr>
              <w:spacing w:after="0" w:line="240" w:lineRule="auto"/>
              <w:jc w:val="right"/>
              <w:rPr>
                <w:rFonts w:ascii="Times New Roman" w:eastAsia="Times New Roman" w:hAnsi="Times New Roman" w:cs="Times New Roman"/>
                <w:b/>
                <w:bCs/>
                <w:color w:val="EE0000"/>
                <w:kern w:val="0"/>
                <w:sz w:val="18"/>
                <w:szCs w:val="18"/>
                <w14:ligatures w14:val="none"/>
              </w:rPr>
            </w:pPr>
            <w:r w:rsidRPr="00DD60B5">
              <w:rPr>
                <w:rFonts w:ascii="Times New Roman" w:eastAsia="Times New Roman" w:hAnsi="Times New Roman" w:cs="Times New Roman"/>
                <w:b/>
                <w:bCs/>
                <w:color w:val="EE0000"/>
                <w:kern w:val="0"/>
                <w:sz w:val="18"/>
                <w:szCs w:val="18"/>
                <w14:ligatures w14:val="none"/>
              </w:rPr>
              <w:t>4.981.860.330</w:t>
            </w:r>
          </w:p>
        </w:tc>
        <w:tc>
          <w:tcPr>
            <w:tcW w:w="770" w:type="pct"/>
            <w:noWrap/>
            <w:vAlign w:val="center"/>
          </w:tcPr>
          <w:p w14:paraId="61AE3403"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428" w:type="pct"/>
            <w:noWrap/>
            <w:vAlign w:val="center"/>
          </w:tcPr>
          <w:p w14:paraId="730E5378" w14:textId="32F2468A"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p>
        </w:tc>
      </w:tr>
      <w:tr w:rsidR="004C208B" w:rsidRPr="004374BD" w14:paraId="71B26CF9" w14:textId="77777777" w:rsidTr="004C208B">
        <w:trPr>
          <w:trHeight w:val="227"/>
        </w:trPr>
        <w:tc>
          <w:tcPr>
            <w:tcW w:w="305" w:type="pct"/>
            <w:noWrap/>
            <w:vAlign w:val="center"/>
          </w:tcPr>
          <w:p w14:paraId="62775D69"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w:t>
            </w:r>
          </w:p>
        </w:tc>
        <w:tc>
          <w:tcPr>
            <w:tcW w:w="1933" w:type="pct"/>
            <w:noWrap/>
            <w:vAlign w:val="center"/>
          </w:tcPr>
          <w:p w14:paraId="18476D99"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THIẾT BỊ (Gtb):</w:t>
            </w:r>
          </w:p>
        </w:tc>
        <w:tc>
          <w:tcPr>
            <w:tcW w:w="828" w:type="pct"/>
            <w:noWrap/>
            <w:vAlign w:val="center"/>
          </w:tcPr>
          <w:p w14:paraId="07444201"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p>
        </w:tc>
        <w:tc>
          <w:tcPr>
            <w:tcW w:w="736" w:type="pct"/>
            <w:noWrap/>
            <w:vAlign w:val="center"/>
          </w:tcPr>
          <w:p w14:paraId="2E9C0E10" w14:textId="793015CE" w:rsidR="004C208B" w:rsidRPr="004374BD" w:rsidRDefault="004C208B" w:rsidP="00885CB9">
            <w:pPr>
              <w:spacing w:after="0" w:line="240" w:lineRule="auto"/>
              <w:jc w:val="right"/>
              <w:rPr>
                <w:rFonts w:ascii="Times New Roman" w:eastAsia="Times New Roman" w:hAnsi="Times New Roman" w:cs="Times New Roman"/>
                <w:b/>
                <w:bCs/>
                <w:color w:val="EE0000"/>
                <w:kern w:val="0"/>
                <w:sz w:val="18"/>
                <w:szCs w:val="18"/>
                <w14:ligatures w14:val="none"/>
              </w:rPr>
            </w:pPr>
            <w:r w:rsidRPr="005D7E22">
              <w:rPr>
                <w:rFonts w:ascii="Times New Roman" w:eastAsia="Times New Roman" w:hAnsi="Times New Roman" w:cs="Times New Roman"/>
                <w:b/>
                <w:bCs/>
                <w:color w:val="EE0000"/>
                <w:kern w:val="0"/>
                <w:sz w:val="18"/>
                <w:szCs w:val="18"/>
                <w14:ligatures w14:val="none"/>
              </w:rPr>
              <w:t>1.879.236.418</w:t>
            </w:r>
          </w:p>
        </w:tc>
        <w:tc>
          <w:tcPr>
            <w:tcW w:w="770" w:type="pct"/>
            <w:noWrap/>
            <w:vAlign w:val="center"/>
          </w:tcPr>
          <w:p w14:paraId="33D44B63"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428" w:type="pct"/>
            <w:noWrap/>
            <w:vAlign w:val="center"/>
          </w:tcPr>
          <w:p w14:paraId="725CEB0E" w14:textId="1388E664"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p>
        </w:tc>
      </w:tr>
      <w:tr w:rsidR="004C208B" w:rsidRPr="004374BD" w14:paraId="68CA0FA5" w14:textId="77777777" w:rsidTr="004C208B">
        <w:trPr>
          <w:trHeight w:val="20"/>
        </w:trPr>
        <w:tc>
          <w:tcPr>
            <w:tcW w:w="305" w:type="pct"/>
            <w:noWrap/>
            <w:vAlign w:val="center"/>
          </w:tcPr>
          <w:p w14:paraId="650B7415" w14:textId="77777777" w:rsidR="004C208B" w:rsidRPr="004374BD" w:rsidRDefault="004C208B"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1</w:t>
            </w:r>
          </w:p>
        </w:tc>
        <w:tc>
          <w:tcPr>
            <w:tcW w:w="1933" w:type="pct"/>
            <w:noWrap/>
            <w:vAlign w:val="center"/>
          </w:tcPr>
          <w:p w14:paraId="03712B90"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thi công xây dựng công trình</w:t>
            </w:r>
          </w:p>
        </w:tc>
        <w:tc>
          <w:tcPr>
            <w:tcW w:w="828" w:type="pct"/>
            <w:noWrap/>
            <w:vAlign w:val="center"/>
          </w:tcPr>
          <w:p w14:paraId="27A0F64D"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XD</w:t>
            </w:r>
            <w:r w:rsidRPr="004374BD">
              <w:rPr>
                <w:rFonts w:ascii="Times New Roman" w:eastAsia="Times New Roman" w:hAnsi="Times New Roman" w:cs="Times New Roman"/>
                <w:kern w:val="0"/>
                <w:sz w:val="18"/>
                <w:szCs w:val="18"/>
                <w14:ligatures w14:val="none"/>
              </w:rPr>
              <w:t>)  x</w:t>
            </w:r>
          </w:p>
        </w:tc>
        <w:tc>
          <w:tcPr>
            <w:tcW w:w="736" w:type="pct"/>
            <w:noWrap/>
            <w:vAlign w:val="center"/>
          </w:tcPr>
          <w:p w14:paraId="0B3282D9"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770" w:type="pct"/>
            <w:noWrap/>
            <w:vAlign w:val="center"/>
          </w:tcPr>
          <w:p w14:paraId="2BD26785"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428" w:type="pct"/>
            <w:noWrap/>
            <w:vAlign w:val="center"/>
          </w:tcPr>
          <w:p w14:paraId="41DA24FF"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r>
      <w:tr w:rsidR="004C208B" w:rsidRPr="004374BD" w14:paraId="1427F458" w14:textId="77777777" w:rsidTr="004C208B">
        <w:trPr>
          <w:trHeight w:val="20"/>
        </w:trPr>
        <w:tc>
          <w:tcPr>
            <w:tcW w:w="305" w:type="pct"/>
            <w:noWrap/>
            <w:vAlign w:val="center"/>
          </w:tcPr>
          <w:p w14:paraId="2AC711F2" w14:textId="77777777" w:rsidR="004C208B" w:rsidRPr="004374BD" w:rsidRDefault="004C208B"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2</w:t>
            </w:r>
          </w:p>
        </w:tc>
        <w:tc>
          <w:tcPr>
            <w:tcW w:w="1933" w:type="pct"/>
            <w:noWrap/>
            <w:vAlign w:val="center"/>
          </w:tcPr>
          <w:p w14:paraId="3208450F"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lắp đặt thiết bị công trình</w:t>
            </w:r>
          </w:p>
        </w:tc>
        <w:tc>
          <w:tcPr>
            <w:tcW w:w="828" w:type="pct"/>
            <w:noWrap/>
            <w:vAlign w:val="center"/>
          </w:tcPr>
          <w:p w14:paraId="024E299E"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TB</w:t>
            </w:r>
            <w:r w:rsidRPr="004374BD">
              <w:rPr>
                <w:rFonts w:ascii="Times New Roman" w:eastAsia="Times New Roman" w:hAnsi="Times New Roman" w:cs="Times New Roman"/>
                <w:kern w:val="0"/>
                <w:sz w:val="18"/>
                <w:szCs w:val="18"/>
                <w14:ligatures w14:val="none"/>
              </w:rPr>
              <w:t xml:space="preserve">)  x </w:t>
            </w:r>
          </w:p>
        </w:tc>
        <w:tc>
          <w:tcPr>
            <w:tcW w:w="736" w:type="pct"/>
            <w:noWrap/>
            <w:vAlign w:val="center"/>
          </w:tcPr>
          <w:p w14:paraId="7928A9F5"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770" w:type="pct"/>
            <w:noWrap/>
            <w:vAlign w:val="center"/>
          </w:tcPr>
          <w:p w14:paraId="280D2437"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428" w:type="pct"/>
            <w:noWrap/>
            <w:vAlign w:val="center"/>
          </w:tcPr>
          <w:p w14:paraId="1B33253A"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r>
      <w:tr w:rsidR="004C208B" w:rsidRPr="004374BD" w14:paraId="4042016E" w14:textId="77777777" w:rsidTr="004C208B">
        <w:trPr>
          <w:trHeight w:val="20"/>
        </w:trPr>
        <w:tc>
          <w:tcPr>
            <w:tcW w:w="305" w:type="pct"/>
            <w:noWrap/>
            <w:vAlign w:val="center"/>
          </w:tcPr>
          <w:p w14:paraId="5BD59860"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III</w:t>
            </w:r>
          </w:p>
        </w:tc>
        <w:tc>
          <w:tcPr>
            <w:tcW w:w="1933" w:type="pct"/>
            <w:noWrap/>
            <w:vAlign w:val="center"/>
          </w:tcPr>
          <w:p w14:paraId="2C4394DC"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xml:space="preserve">CHI PHÍ TƯ VẤN GIÁM SÁT </w:t>
            </w:r>
            <w:r w:rsidRPr="004374BD">
              <w:rPr>
                <w:rFonts w:ascii="Times New Roman" w:eastAsia="Times New Roman" w:hAnsi="Times New Roman" w:cs="Times New Roman"/>
                <w:b/>
                <w:bCs/>
                <w:i/>
                <w:iCs/>
                <w:kern w:val="0"/>
                <w:sz w:val="18"/>
                <w:szCs w:val="18"/>
                <w14:ligatures w14:val="none"/>
              </w:rPr>
              <w:t>(1+2)</w:t>
            </w:r>
          </w:p>
        </w:tc>
        <w:tc>
          <w:tcPr>
            <w:tcW w:w="828" w:type="pct"/>
            <w:noWrap/>
            <w:vAlign w:val="center"/>
          </w:tcPr>
          <w:p w14:paraId="37B28AAC"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p w14:paraId="577EBEA7"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736" w:type="pct"/>
            <w:noWrap/>
            <w:vAlign w:val="center"/>
          </w:tcPr>
          <w:p w14:paraId="1D452267"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p>
        </w:tc>
        <w:tc>
          <w:tcPr>
            <w:tcW w:w="770" w:type="pct"/>
            <w:noWrap/>
            <w:vAlign w:val="center"/>
          </w:tcPr>
          <w:p w14:paraId="0045854A"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p>
        </w:tc>
        <w:tc>
          <w:tcPr>
            <w:tcW w:w="428" w:type="pct"/>
            <w:noWrap/>
            <w:vAlign w:val="center"/>
          </w:tcPr>
          <w:p w14:paraId="06172062"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p>
        </w:tc>
      </w:tr>
    </w:tbl>
    <w:bookmarkEnd w:id="6"/>
    <w:p w14:paraId="3F3DB928" w14:textId="6FAFD888" w:rsidR="004374BD" w:rsidRPr="004374BD" w:rsidRDefault="004374BD" w:rsidP="004374BD">
      <w:pPr>
        <w:spacing w:beforeLines="20" w:before="48" w:after="0" w:line="340" w:lineRule="atLeast"/>
        <w:ind w:firstLine="560"/>
        <w:jc w:val="both"/>
        <w:rPr>
          <w:rFonts w:ascii="Times New Roman" w:eastAsia="Times New Roman" w:hAnsi="Times New Roman" w:cs="Times New Roman"/>
          <w:bCs/>
          <w:iCs/>
          <w:kern w:val="0"/>
          <w:sz w:val="28"/>
          <w:szCs w:val="28"/>
          <w14:ligatures w14:val="none"/>
        </w:rPr>
      </w:pPr>
      <w:r w:rsidRPr="004374BD">
        <w:rPr>
          <w:rFonts w:ascii="Times New Roman" w:eastAsia="Times New Roman" w:hAnsi="Times New Roman" w:cs="Times New Roman"/>
          <w:bCs/>
          <w:kern w:val="0"/>
          <w:sz w:val="28"/>
          <w:szCs w:val="28"/>
          <w14:ligatures w14:val="none"/>
        </w:rPr>
        <w:t xml:space="preserve">1.1.2 </w:t>
      </w:r>
      <w:r w:rsidR="00623209">
        <w:rPr>
          <w:rFonts w:ascii="Times New Roman" w:eastAsia="Times New Roman" w:hAnsi="Times New Roman" w:cs="Times New Roman"/>
          <w:bCs/>
          <w:iCs/>
          <w:kern w:val="0"/>
          <w:sz w:val="28"/>
          <w:szCs w:val="28"/>
          <w:lang w:val="vi-VN"/>
          <w14:ligatures w14:val="none"/>
        </w:rPr>
        <w:t>Xây dựng mới các trạm biến áp phân phối trên địa bàn thành phố Phúc Yên năm 2026 (HP2)</w:t>
      </w:r>
      <w:r w:rsidRPr="004374BD">
        <w:rPr>
          <w:rFonts w:ascii="Times New Roman" w:eastAsia="Times New Roman" w:hAnsi="Times New Roman" w:cs="Times New Roman"/>
          <w:bCs/>
          <w:iCs/>
          <w:kern w:val="0"/>
          <w:sz w:val="28"/>
          <w:szCs w:val="28"/>
          <w14:ligatures w14:val="none"/>
        </w:rPr>
        <w:t xml:space="preserve">: </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643"/>
        <w:gridCol w:w="1425"/>
        <w:gridCol w:w="1290"/>
        <w:gridCol w:w="1545"/>
        <w:gridCol w:w="644"/>
      </w:tblGrid>
      <w:tr w:rsidR="004C208B" w:rsidRPr="004374BD" w14:paraId="0A17ECBC" w14:textId="77777777" w:rsidTr="004C208B">
        <w:trPr>
          <w:trHeight w:val="20"/>
        </w:trPr>
        <w:tc>
          <w:tcPr>
            <w:tcW w:w="315" w:type="pct"/>
            <w:vAlign w:val="center"/>
          </w:tcPr>
          <w:p w14:paraId="3DF4FF36"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STT</w:t>
            </w:r>
          </w:p>
        </w:tc>
        <w:tc>
          <w:tcPr>
            <w:tcW w:w="1997" w:type="pct"/>
            <w:vAlign w:val="center"/>
          </w:tcPr>
          <w:p w14:paraId="7AEF7F9F"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Hạng mục công trình</w:t>
            </w:r>
          </w:p>
        </w:tc>
        <w:tc>
          <w:tcPr>
            <w:tcW w:w="781" w:type="pct"/>
            <w:vAlign w:val="center"/>
          </w:tcPr>
          <w:p w14:paraId="51000221"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Diễn giải</w:t>
            </w:r>
          </w:p>
        </w:tc>
        <w:tc>
          <w:tcPr>
            <w:tcW w:w="707" w:type="pct"/>
            <w:vAlign w:val="center"/>
          </w:tcPr>
          <w:p w14:paraId="2C667185" w14:textId="77777777" w:rsidR="004C208B" w:rsidRPr="004374BD" w:rsidRDefault="004C208B" w:rsidP="004374BD">
            <w:pPr>
              <w:spacing w:after="0" w:line="240" w:lineRule="auto"/>
              <w:jc w:val="center"/>
              <w:rPr>
                <w:rFonts w:ascii="Times New Roman" w:eastAsia="Times New Roman" w:hAnsi="Times New Roman" w:cs="Times New Roman"/>
                <w:b/>
                <w:bCs/>
                <w:color w:val="EE0000"/>
                <w:kern w:val="0"/>
                <w:sz w:val="18"/>
                <w:szCs w:val="18"/>
                <w14:ligatures w14:val="none"/>
              </w:rPr>
            </w:pPr>
            <w:r w:rsidRPr="004374BD">
              <w:rPr>
                <w:rFonts w:ascii="Times New Roman" w:eastAsia="Times New Roman" w:hAnsi="Times New Roman" w:cs="Times New Roman"/>
                <w:b/>
                <w:bCs/>
                <w:color w:val="EE0000"/>
                <w:kern w:val="0"/>
                <w:sz w:val="18"/>
                <w:szCs w:val="18"/>
                <w14:ligatures w14:val="none"/>
              </w:rPr>
              <w:t>Chi phí trước thuế</w:t>
            </w:r>
          </w:p>
        </w:tc>
        <w:tc>
          <w:tcPr>
            <w:tcW w:w="847" w:type="pct"/>
            <w:noWrap/>
            <w:vAlign w:val="center"/>
          </w:tcPr>
          <w:p w14:paraId="711DB4A2"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Thuế GTGT 8%</w:t>
            </w:r>
          </w:p>
        </w:tc>
        <w:tc>
          <w:tcPr>
            <w:tcW w:w="354" w:type="pct"/>
            <w:vAlign w:val="center"/>
          </w:tcPr>
          <w:p w14:paraId="1BA7A955" w14:textId="77777777" w:rsidR="004C208B" w:rsidRPr="004374BD" w:rsidRDefault="004C208B"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sau thuế</w:t>
            </w:r>
          </w:p>
        </w:tc>
      </w:tr>
      <w:tr w:rsidR="004C208B" w:rsidRPr="004374BD" w14:paraId="45E7CB94" w14:textId="77777777" w:rsidTr="004C208B">
        <w:trPr>
          <w:trHeight w:val="20"/>
        </w:trPr>
        <w:tc>
          <w:tcPr>
            <w:tcW w:w="315" w:type="pct"/>
            <w:noWrap/>
            <w:vAlign w:val="center"/>
          </w:tcPr>
          <w:p w14:paraId="52E1AD61"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w:t>
            </w:r>
          </w:p>
        </w:tc>
        <w:tc>
          <w:tcPr>
            <w:tcW w:w="1997" w:type="pct"/>
            <w:noWrap/>
            <w:vAlign w:val="center"/>
          </w:tcPr>
          <w:p w14:paraId="36C54E36"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XÂY DỰNG (Gxd):</w:t>
            </w:r>
          </w:p>
        </w:tc>
        <w:tc>
          <w:tcPr>
            <w:tcW w:w="781" w:type="pct"/>
            <w:noWrap/>
            <w:vAlign w:val="center"/>
          </w:tcPr>
          <w:p w14:paraId="4A563DA4"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707" w:type="pct"/>
            <w:noWrap/>
            <w:vAlign w:val="center"/>
          </w:tcPr>
          <w:p w14:paraId="1196D910" w14:textId="5C5D2A1C" w:rsidR="004C208B" w:rsidRPr="004374BD" w:rsidRDefault="004C208B" w:rsidP="00885CB9">
            <w:pPr>
              <w:spacing w:after="0" w:line="240" w:lineRule="auto"/>
              <w:jc w:val="right"/>
              <w:rPr>
                <w:rFonts w:ascii="Times New Roman" w:eastAsia="Times New Roman" w:hAnsi="Times New Roman" w:cs="Times New Roman"/>
                <w:color w:val="EE0000"/>
                <w:kern w:val="0"/>
                <w:sz w:val="18"/>
                <w:szCs w:val="18"/>
                <w:highlight w:val="yellow"/>
                <w14:ligatures w14:val="none"/>
              </w:rPr>
            </w:pPr>
            <w:r w:rsidRPr="002F4CD1">
              <w:rPr>
                <w:rFonts w:ascii="Times New Roman" w:eastAsia="Times New Roman" w:hAnsi="Times New Roman" w:cs="Times New Roman"/>
                <w:color w:val="EE0000"/>
                <w:kern w:val="0"/>
                <w:sz w:val="18"/>
                <w:szCs w:val="18"/>
                <w14:ligatures w14:val="none"/>
              </w:rPr>
              <w:t>5.702.016.126</w:t>
            </w:r>
          </w:p>
        </w:tc>
        <w:tc>
          <w:tcPr>
            <w:tcW w:w="847" w:type="pct"/>
            <w:noWrap/>
            <w:vAlign w:val="center"/>
          </w:tcPr>
          <w:p w14:paraId="6311FE52"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354" w:type="pct"/>
            <w:noWrap/>
            <w:vAlign w:val="center"/>
          </w:tcPr>
          <w:p w14:paraId="445682E1" w14:textId="15316606"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p>
        </w:tc>
      </w:tr>
      <w:tr w:rsidR="004C208B" w:rsidRPr="004374BD" w14:paraId="2B0AAC81" w14:textId="77777777" w:rsidTr="004C208B">
        <w:trPr>
          <w:trHeight w:val="20"/>
        </w:trPr>
        <w:tc>
          <w:tcPr>
            <w:tcW w:w="315" w:type="pct"/>
            <w:noWrap/>
            <w:vAlign w:val="center"/>
          </w:tcPr>
          <w:p w14:paraId="6879BE6F"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w:t>
            </w:r>
          </w:p>
        </w:tc>
        <w:tc>
          <w:tcPr>
            <w:tcW w:w="1997" w:type="pct"/>
            <w:noWrap/>
            <w:vAlign w:val="center"/>
          </w:tcPr>
          <w:p w14:paraId="218BA814"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THIẾT BỊ (Gtb):</w:t>
            </w:r>
          </w:p>
        </w:tc>
        <w:tc>
          <w:tcPr>
            <w:tcW w:w="781" w:type="pct"/>
            <w:noWrap/>
            <w:vAlign w:val="center"/>
          </w:tcPr>
          <w:p w14:paraId="05BBD57F"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p>
        </w:tc>
        <w:tc>
          <w:tcPr>
            <w:tcW w:w="707" w:type="pct"/>
            <w:noWrap/>
            <w:vAlign w:val="center"/>
          </w:tcPr>
          <w:p w14:paraId="410C1D05" w14:textId="4C203278" w:rsidR="004C208B" w:rsidRPr="004374BD" w:rsidRDefault="004C208B" w:rsidP="00885CB9">
            <w:pPr>
              <w:spacing w:after="0" w:line="240" w:lineRule="auto"/>
              <w:jc w:val="right"/>
              <w:rPr>
                <w:rFonts w:ascii="Times New Roman" w:eastAsia="Times New Roman" w:hAnsi="Times New Roman" w:cs="Times New Roman"/>
                <w:color w:val="EE0000"/>
                <w:kern w:val="0"/>
                <w:sz w:val="18"/>
                <w:szCs w:val="18"/>
                <w:highlight w:val="yellow"/>
                <w14:ligatures w14:val="none"/>
              </w:rPr>
            </w:pPr>
            <w:r w:rsidRPr="00681F2A">
              <w:rPr>
                <w:rFonts w:ascii="Times New Roman" w:eastAsia="Times New Roman" w:hAnsi="Times New Roman" w:cs="Times New Roman"/>
                <w:color w:val="EE0000"/>
                <w:kern w:val="0"/>
                <w:sz w:val="18"/>
                <w:szCs w:val="18"/>
                <w14:ligatures w14:val="none"/>
              </w:rPr>
              <w:t>2.209.861.166</w:t>
            </w:r>
          </w:p>
        </w:tc>
        <w:tc>
          <w:tcPr>
            <w:tcW w:w="847" w:type="pct"/>
            <w:noWrap/>
            <w:vAlign w:val="center"/>
          </w:tcPr>
          <w:p w14:paraId="08C229B4"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354" w:type="pct"/>
            <w:noWrap/>
            <w:vAlign w:val="center"/>
          </w:tcPr>
          <w:p w14:paraId="1BC68C8D" w14:textId="2323BC90"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p>
        </w:tc>
      </w:tr>
      <w:tr w:rsidR="004C208B" w:rsidRPr="004374BD" w14:paraId="4BC3A852" w14:textId="77777777" w:rsidTr="004C208B">
        <w:trPr>
          <w:trHeight w:val="20"/>
        </w:trPr>
        <w:tc>
          <w:tcPr>
            <w:tcW w:w="315" w:type="pct"/>
            <w:noWrap/>
            <w:vAlign w:val="center"/>
          </w:tcPr>
          <w:p w14:paraId="53889BF1" w14:textId="77777777" w:rsidR="004C208B" w:rsidRPr="004374BD" w:rsidRDefault="004C208B"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1</w:t>
            </w:r>
          </w:p>
        </w:tc>
        <w:tc>
          <w:tcPr>
            <w:tcW w:w="1997" w:type="pct"/>
            <w:noWrap/>
            <w:vAlign w:val="center"/>
          </w:tcPr>
          <w:p w14:paraId="3AD3468A"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thi công xây dựng công trình</w:t>
            </w:r>
          </w:p>
        </w:tc>
        <w:tc>
          <w:tcPr>
            <w:tcW w:w="781" w:type="pct"/>
            <w:noWrap/>
            <w:vAlign w:val="center"/>
          </w:tcPr>
          <w:p w14:paraId="5645FBBE"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XD</w:t>
            </w:r>
            <w:r w:rsidRPr="004374BD">
              <w:rPr>
                <w:rFonts w:ascii="Times New Roman" w:eastAsia="Times New Roman" w:hAnsi="Times New Roman" w:cs="Times New Roman"/>
                <w:kern w:val="0"/>
                <w:sz w:val="18"/>
                <w:szCs w:val="18"/>
                <w14:ligatures w14:val="none"/>
              </w:rPr>
              <w:t>)  x</w:t>
            </w:r>
          </w:p>
        </w:tc>
        <w:tc>
          <w:tcPr>
            <w:tcW w:w="707" w:type="pct"/>
            <w:noWrap/>
            <w:vAlign w:val="center"/>
          </w:tcPr>
          <w:p w14:paraId="46505BF5"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847" w:type="pct"/>
            <w:noWrap/>
            <w:vAlign w:val="center"/>
          </w:tcPr>
          <w:p w14:paraId="13E4B114"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354" w:type="pct"/>
            <w:noWrap/>
            <w:vAlign w:val="center"/>
          </w:tcPr>
          <w:p w14:paraId="476A1565"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r>
      <w:tr w:rsidR="004C208B" w:rsidRPr="004374BD" w14:paraId="1187B9CB" w14:textId="77777777" w:rsidTr="004C208B">
        <w:trPr>
          <w:trHeight w:val="20"/>
        </w:trPr>
        <w:tc>
          <w:tcPr>
            <w:tcW w:w="315" w:type="pct"/>
            <w:noWrap/>
            <w:vAlign w:val="center"/>
          </w:tcPr>
          <w:p w14:paraId="2C1D2975" w14:textId="77777777" w:rsidR="004C208B" w:rsidRPr="004374BD" w:rsidRDefault="004C208B"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2</w:t>
            </w:r>
          </w:p>
        </w:tc>
        <w:tc>
          <w:tcPr>
            <w:tcW w:w="1997" w:type="pct"/>
            <w:noWrap/>
            <w:vAlign w:val="center"/>
          </w:tcPr>
          <w:p w14:paraId="75CC34E8"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lắp đặt thiết bị công trình</w:t>
            </w:r>
          </w:p>
        </w:tc>
        <w:tc>
          <w:tcPr>
            <w:tcW w:w="781" w:type="pct"/>
            <w:noWrap/>
            <w:vAlign w:val="center"/>
          </w:tcPr>
          <w:p w14:paraId="3616AC75" w14:textId="77777777" w:rsidR="004C208B" w:rsidRPr="004374BD" w:rsidRDefault="004C208B"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TB</w:t>
            </w:r>
            <w:r w:rsidRPr="004374BD">
              <w:rPr>
                <w:rFonts w:ascii="Times New Roman" w:eastAsia="Times New Roman" w:hAnsi="Times New Roman" w:cs="Times New Roman"/>
                <w:kern w:val="0"/>
                <w:sz w:val="18"/>
                <w:szCs w:val="18"/>
                <w14:ligatures w14:val="none"/>
              </w:rPr>
              <w:t xml:space="preserve">)  x </w:t>
            </w:r>
          </w:p>
        </w:tc>
        <w:tc>
          <w:tcPr>
            <w:tcW w:w="707" w:type="pct"/>
            <w:noWrap/>
            <w:vAlign w:val="center"/>
          </w:tcPr>
          <w:p w14:paraId="7D1A4E6F"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847" w:type="pct"/>
            <w:noWrap/>
            <w:vAlign w:val="center"/>
          </w:tcPr>
          <w:p w14:paraId="754000C4"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c>
          <w:tcPr>
            <w:tcW w:w="354" w:type="pct"/>
            <w:noWrap/>
            <w:vAlign w:val="center"/>
          </w:tcPr>
          <w:p w14:paraId="336A5691" w14:textId="77777777" w:rsidR="004C208B" w:rsidRPr="004374BD" w:rsidRDefault="004C208B" w:rsidP="00885CB9">
            <w:pPr>
              <w:spacing w:after="0" w:line="240" w:lineRule="auto"/>
              <w:jc w:val="right"/>
              <w:rPr>
                <w:rFonts w:ascii="Times New Roman" w:eastAsia="Times New Roman" w:hAnsi="Times New Roman" w:cs="Times New Roman"/>
                <w:kern w:val="0"/>
                <w:sz w:val="18"/>
                <w:szCs w:val="18"/>
                <w14:ligatures w14:val="none"/>
              </w:rPr>
            </w:pPr>
          </w:p>
        </w:tc>
      </w:tr>
      <w:tr w:rsidR="004C208B" w:rsidRPr="004374BD" w14:paraId="7BC4EA3D" w14:textId="77777777" w:rsidTr="004C208B">
        <w:trPr>
          <w:trHeight w:val="20"/>
        </w:trPr>
        <w:tc>
          <w:tcPr>
            <w:tcW w:w="315" w:type="pct"/>
            <w:noWrap/>
            <w:vAlign w:val="center"/>
          </w:tcPr>
          <w:p w14:paraId="1EEF4E4E"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III</w:t>
            </w:r>
          </w:p>
        </w:tc>
        <w:tc>
          <w:tcPr>
            <w:tcW w:w="1997" w:type="pct"/>
            <w:noWrap/>
            <w:vAlign w:val="center"/>
          </w:tcPr>
          <w:p w14:paraId="5D9BCA98" w14:textId="77777777" w:rsidR="004C208B" w:rsidRPr="004374BD" w:rsidRDefault="004C208B"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xml:space="preserve">CHI PHÍ TƯ VẤN GIÁM SÁT </w:t>
            </w:r>
            <w:r w:rsidRPr="004374BD">
              <w:rPr>
                <w:rFonts w:ascii="Times New Roman" w:eastAsia="Times New Roman" w:hAnsi="Times New Roman" w:cs="Times New Roman"/>
                <w:b/>
                <w:bCs/>
                <w:i/>
                <w:iCs/>
                <w:kern w:val="0"/>
                <w:sz w:val="18"/>
                <w:szCs w:val="18"/>
                <w14:ligatures w14:val="none"/>
              </w:rPr>
              <w:t>(1+2)</w:t>
            </w:r>
          </w:p>
        </w:tc>
        <w:tc>
          <w:tcPr>
            <w:tcW w:w="781" w:type="pct"/>
            <w:noWrap/>
            <w:vAlign w:val="center"/>
          </w:tcPr>
          <w:p w14:paraId="3CB81544"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p w14:paraId="7D14A8B1" w14:textId="77777777" w:rsidR="004C208B" w:rsidRPr="004374BD" w:rsidRDefault="004C208B"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707" w:type="pct"/>
            <w:noWrap/>
            <w:vAlign w:val="center"/>
          </w:tcPr>
          <w:p w14:paraId="22F6242B"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p>
        </w:tc>
        <w:tc>
          <w:tcPr>
            <w:tcW w:w="847" w:type="pct"/>
            <w:noWrap/>
            <w:vAlign w:val="center"/>
          </w:tcPr>
          <w:p w14:paraId="57D6459C"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p>
        </w:tc>
        <w:tc>
          <w:tcPr>
            <w:tcW w:w="354" w:type="pct"/>
            <w:noWrap/>
            <w:vAlign w:val="center"/>
          </w:tcPr>
          <w:p w14:paraId="52395028" w14:textId="77777777" w:rsidR="004C208B" w:rsidRPr="004374BD" w:rsidRDefault="004C208B" w:rsidP="00885CB9">
            <w:pPr>
              <w:spacing w:after="0" w:line="240" w:lineRule="auto"/>
              <w:jc w:val="right"/>
              <w:rPr>
                <w:rFonts w:ascii="Times New Roman" w:eastAsia="Times New Roman" w:hAnsi="Times New Roman" w:cs="Times New Roman"/>
                <w:b/>
                <w:bCs/>
                <w:kern w:val="0"/>
                <w:sz w:val="18"/>
                <w:szCs w:val="18"/>
                <w14:ligatures w14:val="none"/>
              </w:rPr>
            </w:pPr>
          </w:p>
        </w:tc>
      </w:tr>
    </w:tbl>
    <w:p w14:paraId="4C5B32F3" w14:textId="77777777" w:rsidR="004374BD" w:rsidRPr="004374BD" w:rsidRDefault="004374BD"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r w:rsidRPr="004374BD">
        <w:rPr>
          <w:rFonts w:ascii="Times New Roman" w:eastAsia="Times New Roman" w:hAnsi="Times New Roman" w:cs="Times New Roman"/>
          <w:bCs/>
          <w:kern w:val="0"/>
          <w:sz w:val="28"/>
          <w:szCs w:val="28"/>
          <w14:ligatures w14:val="none"/>
        </w:rPr>
        <w:t>1.2. Lập đề cương chi tiết thực hiện giám sát thi công xây dựng công trình.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61BE79CE" w14:textId="77777777" w:rsidR="004374BD" w:rsidRPr="004374BD" w:rsidRDefault="004374BD" w:rsidP="004374BD">
      <w:pPr>
        <w:spacing w:before="120" w:after="120" w:line="240" w:lineRule="auto"/>
        <w:ind w:firstLine="567"/>
        <w:jc w:val="both"/>
        <w:rPr>
          <w:rFonts w:ascii="Times New Roman" w:eastAsia="Times New Roman" w:hAnsi="Times New Roman" w:cs="Times New Roman"/>
          <w:b/>
          <w:kern w:val="0"/>
          <w:sz w:val="28"/>
          <w:szCs w:val="28"/>
          <w14:ligatures w14:val="none"/>
        </w:rPr>
      </w:pPr>
      <w:r w:rsidRPr="004374BD">
        <w:rPr>
          <w:rFonts w:ascii="Times New Roman" w:eastAsia="Times New Roman" w:hAnsi="Times New Roman" w:cs="Times New Roman"/>
          <w:b/>
          <w:kern w:val="0"/>
          <w:sz w:val="28"/>
          <w:szCs w:val="28"/>
          <w:lang w:val="vi-VN"/>
          <w14:ligatures w14:val="none"/>
        </w:rPr>
        <w:t xml:space="preserve">2. </w:t>
      </w:r>
      <w:r w:rsidRPr="004374BD">
        <w:rPr>
          <w:rFonts w:ascii="Times New Roman" w:eastAsia="Times New Roman" w:hAnsi="Times New Roman" w:cs="Times New Roman"/>
          <w:b/>
          <w:kern w:val="0"/>
          <w:sz w:val="28"/>
          <w:szCs w:val="28"/>
          <w14:ligatures w14:val="none"/>
        </w:rPr>
        <w:t>C</w:t>
      </w:r>
      <w:r w:rsidRPr="004374BD">
        <w:rPr>
          <w:rFonts w:ascii="Times New Roman" w:eastAsia="Times New Roman" w:hAnsi="Times New Roman" w:cs="Times New Roman"/>
          <w:b/>
          <w:kern w:val="0"/>
          <w:sz w:val="28"/>
          <w:szCs w:val="28"/>
          <w:lang w:val="vi-VN"/>
          <w14:ligatures w14:val="none"/>
        </w:rPr>
        <w:t>ác nhiệm vụ cụ thể do nhà thầu tư vấn phải tiến hành trong thời gian thực hiện hợp đồng tư vấn bao gồm, nh</w:t>
      </w:r>
      <w:r w:rsidRPr="004374BD">
        <w:rPr>
          <w:rFonts w:ascii="Times New Roman" w:eastAsia="Times New Roman" w:hAnsi="Times New Roman" w:cs="Times New Roman" w:hint="eastAsia"/>
          <w:b/>
          <w:kern w:val="0"/>
          <w:sz w:val="28"/>
          <w:szCs w:val="28"/>
          <w:lang w:val="vi-VN"/>
          <w14:ligatures w14:val="none"/>
        </w:rPr>
        <w:t>ư</w:t>
      </w:r>
      <w:r w:rsidRPr="004374BD">
        <w:rPr>
          <w:rFonts w:ascii="Times New Roman" w:eastAsia="Times New Roman" w:hAnsi="Times New Roman" w:cs="Times New Roman"/>
          <w:b/>
          <w:kern w:val="0"/>
          <w:sz w:val="28"/>
          <w:szCs w:val="28"/>
          <w:lang w:val="vi-VN"/>
          <w14:ligatures w14:val="none"/>
        </w:rPr>
        <w:t xml:space="preserve">ng không giới hạn: </w:t>
      </w:r>
    </w:p>
    <w:p w14:paraId="6353B26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1CEFAF6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3227B1D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37DD84C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483AB4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trình tự các bước giám sát.</w:t>
      </w:r>
    </w:p>
    <w:p w14:paraId="0F1F414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khởi công theo Luật xây dựng</w:t>
      </w:r>
    </w:p>
    <w:p w14:paraId="3D17D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năng lực của nhà thầu.</w:t>
      </w:r>
    </w:p>
    <w:p w14:paraId="56C15D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khi đưa vào công trình.</w:t>
      </w:r>
    </w:p>
    <w:p w14:paraId="533683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chất lượng của nhà thầu thi công.</w:t>
      </w:r>
    </w:p>
    <w:p w14:paraId="6D5F2C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máy móc, thiết bị, vật tư có yêu cầu phục vụ thi công xây dựng công trình.</w:t>
      </w:r>
    </w:p>
    <w:p w14:paraId="772BA5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chất lượng vật tư, thiết bị lắp đặt vào công trình, ghi chép nhật ký điện tử và biên bản nghiệm thu điện tử.</w:t>
      </w:r>
    </w:p>
    <w:p w14:paraId="606CB75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 biện pháp an toàn trên công trường và bảo vệ môi trường trong quá trình thi công.</w:t>
      </w:r>
    </w:p>
    <w:p w14:paraId="45C278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hồ sơ, tài liệu, quản lý chất lượng công trình để phục vụ cho việc thanh quyết toán.</w:t>
      </w:r>
      <w:r w:rsidRPr="004374BD">
        <w:rPr>
          <w:rFonts w:ascii="Times New Roman" w:eastAsia="Times New Roman" w:hAnsi="Times New Roman" w:cs="Times New Roman"/>
          <w:kern w:val="0"/>
          <w:sz w:val="28"/>
          <w:szCs w:val="28"/>
          <w14:ligatures w14:val="none"/>
        </w:rPr>
        <w:tab/>
      </w:r>
    </w:p>
    <w:p w14:paraId="509660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cùng chủ đầu tư, đơn vị thi công giải quyết những vướng mắc khó khăn ngoài công trường.</w:t>
      </w:r>
    </w:p>
    <w:p w14:paraId="33F0D05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Tham gia, hướng dẫn và cùng chủ đầu tư trong việc báo cáo quá trình thi công để phục vụ công tác nghiệm thu.</w:t>
      </w:r>
    </w:p>
    <w:p w14:paraId="38752A6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chủ đầu tư nghiệm thu quyết toán công trình.</w:t>
      </w:r>
    </w:p>
    <w:p w14:paraId="01E80C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tiến độ thi công theo yêu cầu của Chủ đầu tư.</w:t>
      </w:r>
    </w:p>
    <w:p w14:paraId="3E280F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2.2. Nhà thầu tư vấn phải lập và trình sản phẩm của hợp đồng tư vấn giám sát thi công xây dựng công trình bao gồm: </w:t>
      </w:r>
    </w:p>
    <w:p w14:paraId="21FA172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định phân công nhiệm vụ giám sát.</w:t>
      </w:r>
    </w:p>
    <w:p w14:paraId="125643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Nhật ký giám sát, bao gồm: </w:t>
      </w:r>
    </w:p>
    <w:p w14:paraId="1255341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69BB14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Nhật ký giám sát an toàn lao động, đảm bảo sức khỏe và vệ sinh môi trường (do nhà thầu TVGS trên phần mềm IMIS 2.0 theo quy định của EVN và EVNNPC, </w:t>
      </w:r>
      <w:r w:rsidRPr="004374BD">
        <w:rPr>
          <w:rFonts w:ascii="Times New Roman" w:eastAsia="Times New Roman" w:hAnsi="Times New Roman" w:cs="Times New Roman"/>
          <w:kern w:val="0"/>
          <w:sz w:val="28"/>
          <w:szCs w:val="28"/>
          <w14:ligatures w14:val="none"/>
        </w:rPr>
        <w:lastRenderedPageBreak/>
        <w:t>nhà thầu phải in và đóng dấu treo khi nộp báo cáo giám sát, hồ sơ nghiệm thu thanh, quyết toán hợp đồng; tài liệu này do Chủ đầu tư kiểm soát trên phần mềm IMIS 2.0).</w:t>
      </w:r>
    </w:p>
    <w:p w14:paraId="490369F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305A0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29EBDC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58674D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hoàn thành công tác giám sát thi công xây dựng gói thầu, giai đoạn, hạng mục công trình, công trình xây dựng theo quy định tại Phụ lục IVB Nghị định số 06/2021/NĐ-CP. </w:t>
      </w:r>
    </w:p>
    <w:p w14:paraId="0E02C3E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đột xuất theo yêu cầu của Chủ đầu tư (nếu có).</w:t>
      </w:r>
    </w:p>
    <w:p w14:paraId="1B2193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toán tư vấn giám sát (có công văn xin thanh toán và hóa đơn kèm theo).</w:t>
      </w:r>
    </w:p>
    <w:p w14:paraId="722D7CF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2.3 Nhiệm vụ cụ thể của Nhà thầu tư vấn giám sát thi công xây dựng công trình:</w:t>
      </w:r>
    </w:p>
    <w:p w14:paraId="561F2E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 Tổ chức quản lý điều phối:</w:t>
      </w:r>
    </w:p>
    <w:p w14:paraId="05385B5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cam kết và trách nhiệm của nhà thầu với chủ đầu tư, thiết lập chính sách chất lượng, an toàn và môi trường cho dự án.</w:t>
      </w:r>
    </w:p>
    <w:p w14:paraId="5E15AF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chất lượng và xác lập trách nhiệm và quyền hạn của các bên liên quan.</w:t>
      </w:r>
    </w:p>
    <w:p w14:paraId="010B6A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tổ chức trong phạm vị hoạt động của dự án.</w:t>
      </w:r>
    </w:p>
    <w:p w14:paraId="2DEF2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trao đổi thông tin.</w:t>
      </w:r>
    </w:p>
    <w:p w14:paraId="4AD958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hệ thống tài liệu, hồ sơ, các quy trình quy phạm.</w:t>
      </w:r>
    </w:p>
    <w:p w14:paraId="0F29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viết biên bản các cuộc họp điều phối, ghi nhận thông tin.</w:t>
      </w:r>
    </w:p>
    <w:p w14:paraId="503C530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hoặc thu thập các tài liệu cần thiết và cùng tham gia các cuộc họp, ra quyết định, nhắc nhở kiểm điểm các nhà thầu cũng như đề ra các chế tài cần thiết để răn đe.</w:t>
      </w:r>
    </w:p>
    <w:p w14:paraId="354AAA4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2.3.2 Hoạch định dự án:</w:t>
      </w:r>
    </w:p>
    <w:p w14:paraId="0C736B7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nhà thầu.</w:t>
      </w:r>
    </w:p>
    <w:p w14:paraId="42EE8F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quản lý vật tư, bảo vệ tài sản, an toàn công trường.</w:t>
      </w:r>
    </w:p>
    <w:p w14:paraId="5512171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thay đổi bao gồm cả thay đổi về thiết kế.</w:t>
      </w:r>
    </w:p>
    <w:p w14:paraId="320D506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kế hoạch kiểm tra, đánh giá theo các giai đoạn của dự án. Xác lập các tiêu chí cơ bản để đánh giá chất lượng của từng giai đoạn.</w:t>
      </w:r>
    </w:p>
    <w:p w14:paraId="43D196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kênh tiếp nhận thông tin, phản hồi, khiếu nại… phương thức giải quyết xung đột.</w:t>
      </w:r>
    </w:p>
    <w:p w14:paraId="5A93BA3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2.3.3 Quản lý hợp đồng:</w:t>
      </w:r>
    </w:p>
    <w:p w14:paraId="705CF9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thay đổi trong phạm vị hợp đồng.</w:t>
      </w:r>
    </w:p>
    <w:p w14:paraId="39D98BB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bất khả kháng.</w:t>
      </w:r>
    </w:p>
    <w:p w14:paraId="69D199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điều kiện trong tranh chấp hợp đồng, vi phạm hợp đồng.</w:t>
      </w:r>
    </w:p>
    <w:p w14:paraId="28EBB8C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công việc thực hiện không có hợp đồng.</w:t>
      </w:r>
    </w:p>
    <w:p w14:paraId="761BF8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hợp đồng từ lúc phát hành cho đến khi thanh lý.</w:t>
      </w:r>
    </w:p>
    <w:p w14:paraId="2A234E9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việc thực hiện thanh toán cho nhà thầu, đảm bảo nhà thầu thực hiện đúng nghĩa vụ về phạm vi, kế hoạch và chất lượng.</w:t>
      </w:r>
    </w:p>
    <w:p w14:paraId="278A091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758B66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hợp lý trong các đề nghị thanh toán giữa kỳ, các hạng mục phát sinh và tiến độ thanh toán liên quan đến thời hạn của nhà thầu thông qua giám sát xây dựng.</w:t>
      </w:r>
    </w:p>
    <w:p w14:paraId="7FF5E5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2.3.4 Quản lý chất lượng:</w:t>
      </w:r>
    </w:p>
    <w:p w14:paraId="1781C2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Căn cứ vào kế hoạch chất lượng, kế hoạch an toàn, môi trường đã được hoạch định về chi tiết gồm:</w:t>
      </w:r>
    </w:p>
    <w:p w14:paraId="6821FE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a) Kiểm tra và giám sát trong quá trình thi công xây dựng công trình bao gồm:</w:t>
      </w:r>
    </w:p>
    <w:p w14:paraId="7B3EEC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hành quy trình quản lý chất lượng của dự án, kiểm tra quy trình chất lượng của nhà thầu, nghiệm thu hệ thống chất lượng của nhà thầu.</w:t>
      </w:r>
    </w:p>
    <w:p w14:paraId="380F284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khối lượng đảm bảo đúng theo yêu cầu thi công xây dựng lắp đặt thiết bị kỹ thuật và các hạng mục công trình.</w:t>
      </w:r>
    </w:p>
    <w:p w14:paraId="3887E68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các điều kiện khởi công công trình xây dựng theo qui định của pháp luật.</w:t>
      </w:r>
    </w:p>
    <w:p w14:paraId="50A2D9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 bao gồm:</w:t>
      </w:r>
    </w:p>
    <w:p w14:paraId="126F860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công trình đưa vào công trường;</w:t>
      </w:r>
    </w:p>
    <w:p w14:paraId="5B765E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671E47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giấy phép sử dụng các máy móc, thiết bị, vật tư có yêu cầu an toàn phục vụ thi công xây dựng công trình; </w:t>
      </w:r>
    </w:p>
    <w:p w14:paraId="0FBBA2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2C55E53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7646305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kế để điều chỉnh hoặc yêu cầu nhà thầu thiết kế điều chỉnh (thông qua chủ đầu tư).</w:t>
      </w:r>
    </w:p>
    <w:p w14:paraId="7DBA36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kiểm định lại chất lượng bộ phận công trình, hạng mục công trình và công trình xây dựng khi có nghi ngờ về chất lượng.</w:t>
      </w:r>
    </w:p>
    <w:p w14:paraId="6BB787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các bên liên quan giải quyết các vướng mắc phát sinh trong thi công xây dựng công trình.</w:t>
      </w:r>
    </w:p>
    <w:p w14:paraId="7AC5F0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các phát sinh, sự thay đổi.</w:t>
      </w:r>
    </w:p>
    <w:p w14:paraId="16AF9BD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b) Tổ chức nghiệm thu bàn giao công trình:</w:t>
      </w:r>
    </w:p>
    <w:p w14:paraId="69F9F2A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34DEB3F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hệ thống nghiệm thu nội bộ của các nhà thầu.</w:t>
      </w:r>
    </w:p>
    <w:p w14:paraId="5EAA75D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2.3.5  Quản lý tiến độ:</w:t>
      </w:r>
    </w:p>
    <w:p w14:paraId="4C7705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tiến độ tổng thể và đánh giá sự khác biệt với kế hoạch thi công để đạt được yêu cầu về tiến độ thi công.</w:t>
      </w:r>
    </w:p>
    <w:p w14:paraId="0D2873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biểu cấu trúc phân chia công việc bằng cách phân chia theo từng gói công việc.</w:t>
      </w:r>
    </w:p>
    <w:p w14:paraId="63D4B6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danh sách chính vật liệu và thiết bị.</w:t>
      </w:r>
    </w:p>
    <w:p w14:paraId="72743C8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thường xuyên và cập nhật tiến độ tổng thể, ghi chú bất kỳ những bên liên quan nào làm chậm tiến độ và báo cáo chủ đầu tư.</w:t>
      </w:r>
    </w:p>
    <w:p w14:paraId="704280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quản lý phát sinh, chế độ phạt hợp đồng, nhà thầu không đủ năng lực…</w:t>
      </w:r>
    </w:p>
    <w:p w14:paraId="424696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Mức độ cần thiết có sự can thiệp và hỗ trợ của chủ đầu tư.</w:t>
      </w:r>
    </w:p>
    <w:p w14:paraId="28FD9F1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thi công xây dựng:</w:t>
      </w:r>
    </w:p>
    <w:p w14:paraId="24CDD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Làm rõ các yêu cầu hậu cần, cung ứng cho việc thi công.</w:t>
      </w:r>
    </w:p>
    <w:p w14:paraId="0854833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cập nhật kế hoạch kiểm tra mốc thời hạn và cập nhật tiến độ thi công tổng thể của dự án.</w:t>
      </w:r>
    </w:p>
    <w:p w14:paraId="2D3A11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tổng thể các hoạt động xây dựng, đề xuất và thống nhất các biện pháp kiểm soát.</w:t>
      </w:r>
    </w:p>
    <w:p w14:paraId="27CB6E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những trì hoãn có thể xảy ra và đề xuất khắc phục.</w:t>
      </w:r>
    </w:p>
    <w:p w14:paraId="426A48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kế hoạch tiến độ với chủ đầu tư.</w:t>
      </w:r>
    </w:p>
    <w:p w14:paraId="02785C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2.3.6 Quản lý an toàn lao động:</w:t>
      </w:r>
    </w:p>
    <w:p w14:paraId="5E9108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Chính sách an toàn, phát hành những yêu cầu an toàn của dự án, xem xét kế hoạch an toàn của nhà thầu, kiểm tra tổ chức an toàn của nhà thầu.</w:t>
      </w:r>
    </w:p>
    <w:p w14:paraId="7CF07C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Tất cả các công việc phải được đánh giá rủi ro.</w:t>
      </w:r>
    </w:p>
    <w:p w14:paraId="30E24E2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nguyên tắc các công việc phải được đánh giá rủi ro và kiểm soát ngăn chặn những ảnh hưởng tiến độ.</w:t>
      </w:r>
    </w:p>
    <w:p w14:paraId="74DDA91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danh mục luật định phải tuân thủ.</w:t>
      </w:r>
    </w:p>
    <w:p w14:paraId="76AD305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Thẩm quyền của chủ đầu tư trong việc đình chỉ thi công.</w:t>
      </w:r>
    </w:p>
    <w:p w14:paraId="6D24A15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rủi ro, tai nạn.</w:t>
      </w:r>
    </w:p>
    <w:p w14:paraId="314F87A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việc đánh giá sự tuân thủ.</w:t>
      </w:r>
    </w:p>
    <w:p w14:paraId="5314499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Các phương án đối phó các tình huống khẩn cấp.</w:t>
      </w:r>
    </w:p>
    <w:p w14:paraId="4C5909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Chủ trì ủy ban an toàn hàng tháng trên cơ sở xem xét thực hiện an toàn.</w:t>
      </w:r>
    </w:p>
    <w:p w14:paraId="0ECCF69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Đảm bảo nhà thầu thi công xây dựng phải lập các biện pháp an toàn cho người, công trình và xử lý sự cố trên công trường xây dựng.</w:t>
      </w:r>
    </w:p>
    <w:p w14:paraId="681DE3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w:t>
      </w:r>
      <w:r w:rsidRPr="004374BD">
        <w:rPr>
          <w:rFonts w:ascii="Times New Roman" w:eastAsia="Times New Roman" w:hAnsi="Times New Roman" w:cs="Times New Roman"/>
          <w:kern w:val="0"/>
          <w:sz w:val="28"/>
          <w:szCs w:val="28"/>
          <w14:ligatures w14:val="none"/>
        </w:rPr>
        <w:lastRenderedPageBreak/>
        <w:t>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5DB989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31D4B6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2.3.7 Quản lý môi trường:</w:t>
      </w:r>
    </w:p>
    <w:p w14:paraId="487769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282804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2241034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2.3.8 Quản lý rủi ro:</w:t>
      </w:r>
    </w:p>
    <w:p w14:paraId="3326B84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Nhận dạng rủi ro.</w:t>
      </w:r>
    </w:p>
    <w:p w14:paraId="6F77F8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Đánh giá rủi ro.</w:t>
      </w:r>
    </w:p>
    <w:p w14:paraId="689359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Giải quyết, sử lý rủi ro.</w:t>
      </w:r>
    </w:p>
    <w:p w14:paraId="77E24E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rủi ro: Trong quản lý rủi ro cần lưu ý sự thay đổi do thiết kế và các ảnh hưởng đến công trình.</w:t>
      </w:r>
    </w:p>
    <w:p w14:paraId="3FE79C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2.3.9. Tiến độ công việc và nhân sự:</w:t>
      </w:r>
    </w:p>
    <w:p w14:paraId="3374E3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đánh giá tiến độ và báo cáo hàng tuần.</w:t>
      </w:r>
    </w:p>
    <w:p w14:paraId="2640658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độ thi công.</w:t>
      </w:r>
    </w:p>
    <w:p w14:paraId="0F8499A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tiến độ thi công của nhà thầu và cập nhật tiến độ thi công của tổng thể dự án.</w:t>
      </w:r>
    </w:p>
    <w:p w14:paraId="6D06934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trình thi công và mua sắm, xác định những trì hoãn có thể xảy ra và đề xuất khắc phục.</w:t>
      </w:r>
    </w:p>
    <w:p w14:paraId="304DB45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Cập nhật định kỳ phân tích rủi ro và kiểm soát ngăn chặn những sự việc có khả năng ảnh hưởng đến tiến độ.</w:t>
      </w:r>
    </w:p>
    <w:p w14:paraId="300C06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thường xuyên việc bố trí nhân lực của nhà thầu đúng năng lực và kinh nghiệm theo hợp đồng và theo quy định của pháp luật</w:t>
      </w:r>
    </w:p>
    <w:p w14:paraId="585322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2.3.10. Báo cáo:</w:t>
      </w:r>
    </w:p>
    <w:p w14:paraId="086D1EB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Lập và đệ trình đến chủ đầu tư báo cáo tháng thể hiện rõ những điểm nổi bật của quá trình thi công, cập nhật tiến độ tổng thể của dự án, những vấn đề liên quan, </w:t>
      </w:r>
      <w:r w:rsidRPr="004374BD">
        <w:rPr>
          <w:rFonts w:ascii="Times New Roman" w:eastAsia="Times New Roman" w:hAnsi="Times New Roman" w:cs="Times New Roman"/>
          <w:kern w:val="0"/>
          <w:sz w:val="28"/>
          <w:szCs w:val="28"/>
          <w14:ligatures w14:val="none"/>
        </w:rPr>
        <w:lastRenderedPageBreak/>
        <w:t>ảnh hưởng đến tiến độ của dự án; cập nhật báo cáo lên hệ thống phần mềm quản lý ĐTXD của dự án theo quy định.</w:t>
      </w:r>
    </w:p>
    <w:p w14:paraId="5D40800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thực hiện gói thầu kể từ khi hợp đồng có hiệu lực, biện pháp và phương án giảm tiến độ, bù tiến độ nếu có.</w:t>
      </w:r>
    </w:p>
    <w:p w14:paraId="0E7BE7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Họp giao ban tuần, quý, tháng. Bàn bạc đưa ra giải pháp.</w:t>
      </w:r>
    </w:p>
    <w:p w14:paraId="4259EB2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giám sát tổng thể quá trình giám sát thi công dự án cho Chủ đầu tư theo quy định.</w:t>
      </w:r>
    </w:p>
    <w:p w14:paraId="0E9E1BB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2.3.11 Phạm vi công việc của nhà thầu tư vấn giám sát trong từng giai đoạn của dự án:</w:t>
      </w:r>
    </w:p>
    <w:p w14:paraId="629932C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đối chiếu hồ sơ bản vẽ thi công với thiết kế kỹ thuật, TKBVTC được phê duyệt và các tiêu chuẩn, quy chuẩn hiện hành được áp dụng trong thiết kế cho công trình.</w:t>
      </w:r>
    </w:p>
    <w:p w14:paraId="2A3F236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các điều kiện khởi công công trình xây dựng theo quy định của pháp luật, lệnh khởi công, tim mốc tọa độ, …. </w:t>
      </w:r>
    </w:p>
    <w:p w14:paraId="533E68C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đảm bảo an toàn vệ sinh môi trường của công trình.</w:t>
      </w:r>
    </w:p>
    <w:p w14:paraId="1C46A13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w:t>
      </w:r>
    </w:p>
    <w:p w14:paraId="5CA4802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đưa vào công trường.</w:t>
      </w:r>
    </w:p>
    <w:p w14:paraId="2DD5D7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7FC2AA5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các máy móc, thiết bị, vật tư có yêu cầu an toàn phục vụ thi công xây dựng công trình.</w:t>
      </w:r>
    </w:p>
    <w:p w14:paraId="6A0D409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1973C63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hệ thống trắc đạc cho công trình như: tọa độ, cao độ, lưới khống chế, hệ thống quan trắc…</w:t>
      </w:r>
    </w:p>
    <w:p w14:paraId="0988BC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5DB13F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73E9304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Trường hợp nghi ngờ các kết quả kiểm tra chất lượng vật tư thiết bị, vật liệu, lắp đặt vào công trình do nhà thầu thi công xây dựng, nhà thầu cung cấp thiết bị thực </w:t>
      </w:r>
      <w:r w:rsidRPr="004374BD">
        <w:rPr>
          <w:rFonts w:ascii="Times New Roman" w:eastAsia="Times New Roman" w:hAnsi="Times New Roman" w:cs="Times New Roman"/>
          <w:kern w:val="0"/>
          <w:sz w:val="28"/>
          <w:szCs w:val="28"/>
          <w14:ligatures w14:val="none"/>
        </w:rPr>
        <w:lastRenderedPageBreak/>
        <w:t>hiện thì tư vấn giám sat báo cáo chủ đầu tư để tiến hành thực hiện kiểm tra trực tiếp vật tư thiết bị, vật liệu lắp đặt trong công trình xây dựng.</w:t>
      </w:r>
    </w:p>
    <w:p w14:paraId="53EEE6D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trong quá trình thi công xây dựng công trình:</w:t>
      </w:r>
    </w:p>
    <w:p w14:paraId="0F1A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các cuộc họp trước khi thi công và kiểm tra tập kết vật tư thiết bị của nhà thầu.</w:t>
      </w:r>
    </w:p>
    <w:p w14:paraId="10C95B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w:t>
      </w:r>
    </w:p>
    <w:p w14:paraId="17BFDC0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3669EB7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187A06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1C4BA1B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bị để đề nghị chủ đầu tư điều chỉnh hoặc yêu cầu nhà thầu thiết kế điều chỉnh.</w:t>
      </w:r>
    </w:p>
    <w:p w14:paraId="1C8710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kiểm định lại chất lượng bộ phận công trình, hạng mục công trình và công trình khi có nghi ngờ về chất lượng hoặc theo các văn bản pháp luật quy định.</w:t>
      </w:r>
    </w:p>
    <w:p w14:paraId="04812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các bên liên quan giải quyết những vướng mắc, phát sinh trong quá trình thi công xây dựng.</w:t>
      </w:r>
    </w:p>
    <w:p w14:paraId="69E10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bản vẽ hoàn công.</w:t>
      </w:r>
    </w:p>
    <w:p w14:paraId="78F4B72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công trình vào sử dụng:</w:t>
      </w:r>
    </w:p>
    <w:p w14:paraId="5F2468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sổ sách kế toán cuối cùng và hoàn toàn chịu trách nhiệm trước chủ đầu tư và pháp luật về tính chính xác, hợp lý của khối lượng và giá trị thanh toán.</w:t>
      </w:r>
    </w:p>
    <w:p w14:paraId="12B6D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tổ chức quy trình vận hành chạy thử của nhà thầu.</w:t>
      </w:r>
    </w:p>
    <w:p w14:paraId="0B8129A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hoàn thành các tồn tại.</w:t>
      </w:r>
    </w:p>
    <w:p w14:paraId="75282A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giai đoạn hoàn thành sau cùng và bàn giao bản vẽ hoàn công, hồ sơ pháp lý và sổ tay vận hành (nếu có), bảo hành công trình.</w:t>
      </w:r>
    </w:p>
    <w:p w14:paraId="2104EE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thanh quyết toán cho nhà thầu.</w:t>
      </w:r>
    </w:p>
    <w:p w14:paraId="5549A9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sau cùng cho dự án.</w:t>
      </w:r>
    </w:p>
    <w:p w14:paraId="0607D9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2.3.12 Các lưu ý khác: </w:t>
      </w:r>
    </w:p>
    <w:p w14:paraId="7636F57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chuẩn bị nhân lực và trang bị thiết bị công nghệ thông tin để kết nối với hệ thống quản lý dự án IMIS2.0 của Tập đoàn Điện lực Việt Nam và sử dụng </w:t>
      </w:r>
      <w:r w:rsidRPr="004374BD">
        <w:rPr>
          <w:rFonts w:ascii="Times New Roman" w:eastAsia="Times New Roman" w:hAnsi="Times New Roman" w:cs="Times New Roman"/>
          <w:kern w:val="0"/>
          <w:sz w:val="28"/>
          <w:szCs w:val="28"/>
          <w14:ligatures w14:val="none"/>
        </w:rPr>
        <w:lastRenderedPageBreak/>
        <w:t xml:space="preserve">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357325A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w:t>
      </w:r>
    </w:p>
    <w:p w14:paraId="1D7943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500F18F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6E3D157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386C70D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3332757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31D17CB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có trách nhiệm: </w:t>
      </w:r>
    </w:p>
    <w:p w14:paraId="4CAA8F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465FBB2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hình ảnh bổ sung để đối chiếu so sánh (nếu có) trong quá trình giám sát thi công xây dựng công trình, giám sát lắp đặt thiết bị công trinh; </w:t>
      </w:r>
    </w:p>
    <w:p w14:paraId="619BBB6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2E706DE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2A340A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2995380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Tư vấn cho Chủ đầu tư các nội dung cần thiết hoặc phát sinh khi thực hiện công tác giám sát, chịu hoàn toàn trách nhiệm của bên giám sát về các nội dung giám sát. </w:t>
      </w:r>
    </w:p>
    <w:p w14:paraId="5C92B1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2.4. Yêu cầu về chất lượng, số lượng sản phẩm tư vấn xây dựng:</w:t>
      </w:r>
    </w:p>
    <w:p w14:paraId="02A57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21699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2.5. Tiến độ thực hiện Hợp đồng:</w:t>
      </w:r>
    </w:p>
    <w:p w14:paraId="6AF1C5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5832C6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Tiến độ chi tiết: Theo tiến độ thi công của các nhà thầu (thi công xây dựng, lắp đặt thiết bị, thí nghiệm hiệu chỉnh);</w:t>
      </w:r>
    </w:p>
    <w:p w14:paraId="2EF6C2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B8E58F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gia hạn thời gian thực hiện hợp đồng không được phép làm tăng giá hợp đồng nếu việc chậm trễ do lỗi của nhà thầu.</w:t>
      </w:r>
    </w:p>
    <w:p w14:paraId="2EF8F05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2.6. Chi phí thực hiện hợp đồng:</w:t>
      </w:r>
    </w:p>
    <w:p w14:paraId="1F296BA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131315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5E3AD4B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374BD">
        <w:rPr>
          <w:rFonts w:ascii="Times New Roman" w:eastAsia="Times New Roman" w:hAnsi="Times New Roman" w:cs="Times New Roman"/>
          <w:b/>
          <w:bCs/>
          <w:kern w:val="0"/>
          <w:sz w:val="28"/>
          <w:szCs w:val="28"/>
          <w:lang w:val="vi-VN"/>
          <w14:ligatures w14:val="none"/>
        </w:rPr>
        <w:t>3. Dự kiến thời gian chuyên gia bắt đầu thực hiện dịch vụ tư vấn</w:t>
      </w:r>
      <w:r w:rsidRPr="004374BD">
        <w:rPr>
          <w:rFonts w:ascii="Times New Roman" w:eastAsia="Times New Roman" w:hAnsi="Times New Roman" w:cs="Times New Roman"/>
          <w:kern w:val="0"/>
          <w:sz w:val="28"/>
          <w:szCs w:val="28"/>
          <w:lang w:val="vi-VN"/>
          <w14:ligatures w14:val="none"/>
        </w:rPr>
        <w:t xml:space="preserve">: Ngay sau khi hai bên ký kết hợp đồng tư vấn. </w:t>
      </w:r>
    </w:p>
    <w:p w14:paraId="11FE6B7C" w14:textId="77777777" w:rsidR="004374BD" w:rsidRPr="004374BD"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de-DE"/>
          <w14:ligatures w14:val="none"/>
        </w:rPr>
      </w:pPr>
      <w:r w:rsidRPr="004374BD">
        <w:rPr>
          <w:rFonts w:ascii="Times New Roman" w:eastAsia="Times New Roman" w:hAnsi="Times New Roman" w:cs="Times New Roman"/>
          <w:b/>
          <w:bCs/>
          <w:smallCaps/>
          <w:kern w:val="0"/>
          <w:sz w:val="28"/>
          <w:szCs w:val="28"/>
          <w:lang w:val="de-DE"/>
          <w14:ligatures w14:val="none"/>
        </w:rPr>
        <w:t>III. BÁO CÁO VÀ THỜI GIAN THỰC HIỆN</w:t>
      </w:r>
    </w:p>
    <w:p w14:paraId="686E3E1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68504A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 xml:space="preserve">2. Báo cáo tuần đầu tiên sẽ là báo cáo khởi đầu bao gồm cả kế hoạch thực hiện, kế hoạch đảm bảo chất lượng. </w:t>
      </w:r>
    </w:p>
    <w:p w14:paraId="6B44042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3. Nội dung chủ yếu của báo cáo bao gồm:</w:t>
      </w:r>
    </w:p>
    <w:p w14:paraId="2B60FE4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a) Đánh giá sự phù hợp về năng lực của nhà thầu thi công xây dựng so với hồ sơ dự thầu và hợp đồng xây dựng;</w:t>
      </w:r>
    </w:p>
    <w:p w14:paraId="4306B73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b) Đánh giá về khối lượng, tiến độ công việc đã hoàn thành, công tác tổ chức thi công và đảm bảo an toàn lao động trong thi công xây dựng công trình;</w:t>
      </w:r>
    </w:p>
    <w:p w14:paraId="73B07EC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c) Đánh giá công tác kiểm tra vật liệu, sản phẩm xây dựng, cấu kiện, thiết bị lắp đặt vào công trình;</w:t>
      </w:r>
    </w:p>
    <w:p w14:paraId="54FC1CB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lastRenderedPageBreak/>
        <w:t>d) Đánh giá về công tác tổ chức và kết quả kiểm định, quan trắc, thí nghiệm đối chứng (nếu có);</w:t>
      </w:r>
    </w:p>
    <w:p w14:paraId="66E6678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đ) Đánh giá về công tác tổ chức nghiệm thu công việc xây dựng, nghiệm thu giai đoạn (nếu có), điều kiện nghiệm thu hoàn thành hạng mục công trình, công trình xây dựng;</w:t>
      </w:r>
    </w:p>
    <w:p w14:paraId="301E981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e) Các thay đổi thiết kế và việc thẩm định, phê duyệt thiết kế điều chỉnh trong quá trình thi công xây dựng (nếu có);</w:t>
      </w:r>
    </w:p>
    <w:p w14:paraId="20BD49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g) Những tồn tại, khiếm khuyết về chất lượng, sự cố công trình trong quá trình thi công xây dựng công trình (nếu có) và đánh giá nguyên nhân, biện pháp, kết quả khắc phục theo quy định;</w:t>
      </w:r>
    </w:p>
    <w:p w14:paraId="18A66A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h) Đánh giá về sự phù hợp của hồ sơ quản lý chất lượng thi công xây dựng công trình, quy trình vận hành, quy trình bảo trì công trình xây dựng theo quy định;</w:t>
      </w:r>
    </w:p>
    <w:p w14:paraId="433D7C8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i) Đánh giá về sự tuân thủ các quy định của pháp luật về môi trường, pháp luật về phòng cháy chữa cháy và các quy định khác của pháp luật có liên quan;</w:t>
      </w:r>
    </w:p>
    <w:p w14:paraId="28DE606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k) Kết luận về điều kiện nghiệm thu (đủ điều kiện hoặc không đủ điều kiện nghiệm thu) hoàn thành hạng mục công trình, công trình xây dựng</w:t>
      </w:r>
    </w:p>
    <w:p w14:paraId="7624BC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 xml:space="preserve">4. Hình thức gửi báo cáo: </w:t>
      </w:r>
    </w:p>
    <w:p w14:paraId="7A4D973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Thông qua E-mail hoặc điện thoại, hoặc zalo hoặc trên phần mềm IMIS2.0 trong quá trình thực hiện hợp đồng. Nhà thầu gửi cho Chủ đầu tư File mềm (Dưới định dạng: Word, Exell, File PDF, hình ảnh ...).</w:t>
      </w:r>
    </w:p>
    <w:p w14:paraId="0DAE971C" w14:textId="77777777" w:rsidR="004374BD" w:rsidRPr="004374BD" w:rsidRDefault="004374BD" w:rsidP="004374BD">
      <w:pPr>
        <w:spacing w:before="60" w:after="60" w:line="264" w:lineRule="auto"/>
        <w:ind w:firstLine="567"/>
        <w:jc w:val="both"/>
        <w:outlineLvl w:val="3"/>
        <w:rPr>
          <w:rFonts w:ascii="Times New Roman" w:eastAsia="Times New Roman" w:hAnsi="Times New Roman" w:cs="Times New Roman"/>
          <w:b/>
          <w:kern w:val="0"/>
          <w:sz w:val="28"/>
          <w:szCs w:val="28"/>
          <w:lang w:val="de-DE"/>
          <w14:ligatures w14:val="none"/>
        </w:rPr>
      </w:pPr>
      <w:bookmarkStart w:id="7" w:name="_Toc106099922"/>
      <w:r w:rsidRPr="004374BD">
        <w:rPr>
          <w:rFonts w:ascii="Times New Roman" w:eastAsia="Times New Roman" w:hAnsi="Times New Roman" w:cs="Times New Roman"/>
          <w:b/>
          <w:kern w:val="0"/>
          <w:sz w:val="28"/>
          <w:szCs w:val="28"/>
          <w:lang w:val="de-DE"/>
          <w14:ligatures w14:val="none"/>
        </w:rPr>
        <w:t xml:space="preserve">IV. </w:t>
      </w:r>
      <w:bookmarkEnd w:id="7"/>
      <w:r w:rsidRPr="004374BD">
        <w:rPr>
          <w:rFonts w:ascii="Times New Roman" w:eastAsia="Times New Roman" w:hAnsi="Times New Roman" w:cs="Times New Roman"/>
          <w:b/>
          <w:kern w:val="0"/>
          <w:sz w:val="28"/>
          <w:szCs w:val="28"/>
          <w:lang w:val="de-DE"/>
          <w14:ligatures w14:val="none"/>
        </w:rPr>
        <w:t>KINH NGHIỆM VÀ NHÂN SỰ CỦA NHÀ THẦU</w:t>
      </w:r>
    </w:p>
    <w:p w14:paraId="7DE7D254" w14:textId="77777777" w:rsidR="004374BD" w:rsidRPr="004374BD" w:rsidRDefault="004374BD" w:rsidP="004374BD">
      <w:pPr>
        <w:spacing w:after="0" w:line="240" w:lineRule="auto"/>
        <w:ind w:firstLine="567"/>
        <w:jc w:val="both"/>
        <w:rPr>
          <w:rFonts w:ascii="Times New Roman" w:eastAsia="Times New Roman" w:hAnsi="Times New Roman" w:cs="Times New Roman"/>
          <w:kern w:val="0"/>
          <w:sz w:val="28"/>
          <w:szCs w:val="28"/>
          <w:lang w:val="de-DE"/>
          <w14:ligatures w14:val="none"/>
        </w:rPr>
      </w:pPr>
      <w:r w:rsidRPr="004374BD">
        <w:rPr>
          <w:rFonts w:ascii="Times New Roman" w:eastAsia="Times New Roman" w:hAnsi="Times New Roman" w:cs="Times New Roman"/>
          <w:kern w:val="0"/>
          <w:sz w:val="28"/>
          <w:szCs w:val="28"/>
          <w:lang w:val="de-DE"/>
          <w14:ligatures w14:val="non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17CD375" w14:textId="77777777" w:rsidR="004374BD" w:rsidRPr="004374BD" w:rsidRDefault="004374BD" w:rsidP="004374BD">
      <w:pPr>
        <w:spacing w:after="0" w:line="240" w:lineRule="auto"/>
        <w:ind w:firstLine="720"/>
        <w:jc w:val="both"/>
        <w:rPr>
          <w:rFonts w:ascii="Times New Roman" w:eastAsia="Times New Roman" w:hAnsi="Times New Roman" w:cs="Times New Roman"/>
          <w:i/>
          <w:iCs/>
          <w:kern w:val="0"/>
          <w:sz w:val="28"/>
          <w:szCs w:val="28"/>
          <w:lang w:val="de-DE"/>
          <w14:ligatures w14:val="none"/>
        </w:rPr>
      </w:pPr>
      <w:r w:rsidRPr="004374BD">
        <w:rPr>
          <w:rFonts w:ascii="Times New Roman" w:eastAsia="Times New Roman" w:hAnsi="Times New Roman" w:cs="Times New Roman"/>
          <w:i/>
          <w:iCs/>
          <w:kern w:val="0"/>
          <w:sz w:val="28"/>
          <w:szCs w:val="28"/>
          <w:lang w:val="de-DE"/>
          <w14:ligatures w14:val="none"/>
        </w:rPr>
        <w:t>Nhân sự phải đáp ứng tiêu chí đánh giá tại chương III trong mục 2 Tiêu chuẩn đánh giá về kỹ thuật, Nhà thầu cần bố trí tối thiểu các chuyên gia như sau:</w:t>
      </w:r>
    </w:p>
    <w:p w14:paraId="6CC8FB8E" w14:textId="77777777" w:rsidR="004374BD" w:rsidRPr="004374BD" w:rsidRDefault="004374BD" w:rsidP="004374BD">
      <w:pPr>
        <w:spacing w:after="0" w:line="240" w:lineRule="auto"/>
        <w:ind w:firstLine="720"/>
        <w:jc w:val="both"/>
        <w:rPr>
          <w:rFonts w:ascii="Times New Roman" w:eastAsia="Times New Roman" w:hAnsi="Times New Roman" w:cs="Times New Roman"/>
          <w:i/>
          <w:iCs/>
          <w:kern w:val="0"/>
          <w:sz w:val="28"/>
          <w:szCs w:val="28"/>
          <w:lang w:val="de-DE"/>
          <w14:ligatures w14:val="none"/>
        </w:rPr>
      </w:pPr>
      <w:r w:rsidRPr="004374BD">
        <w:rPr>
          <w:rFonts w:ascii="Times New Roman" w:eastAsia="Times New Roman" w:hAnsi="Times New Roman" w:cs="Times New Roman"/>
          <w:i/>
          <w:iCs/>
          <w:kern w:val="0"/>
          <w:sz w:val="28"/>
          <w:szCs w:val="28"/>
          <w:lang w:val="de-DE"/>
          <w14:ligatures w14:val="none"/>
        </w:rPr>
        <w:t>+ Giám sát trưởng 01 người</w:t>
      </w:r>
    </w:p>
    <w:p w14:paraId="75675E6F" w14:textId="77777777" w:rsidR="004374BD" w:rsidRPr="004374BD" w:rsidRDefault="004374BD" w:rsidP="004374BD">
      <w:pPr>
        <w:spacing w:after="0" w:line="240" w:lineRule="auto"/>
        <w:ind w:firstLine="720"/>
        <w:jc w:val="both"/>
        <w:rPr>
          <w:rFonts w:ascii="Times New Roman" w:eastAsia="Times New Roman" w:hAnsi="Times New Roman" w:cs="Times New Roman"/>
          <w:i/>
          <w:iCs/>
          <w:kern w:val="0"/>
          <w:sz w:val="28"/>
          <w:szCs w:val="28"/>
          <w:lang w:val="de-DE"/>
          <w14:ligatures w14:val="none"/>
        </w:rPr>
      </w:pPr>
      <w:r w:rsidRPr="004374BD">
        <w:rPr>
          <w:rFonts w:ascii="Times New Roman" w:eastAsia="Times New Roman" w:hAnsi="Times New Roman" w:cs="Times New Roman"/>
          <w:i/>
          <w:iCs/>
          <w:kern w:val="0"/>
          <w:sz w:val="28"/>
          <w:szCs w:val="28"/>
          <w:lang w:val="de-DE"/>
          <w14:ligatures w14:val="none"/>
        </w:rPr>
        <w:t>+ Các cán bộ chủ trì giám sát khác: 03 người</w:t>
      </w:r>
    </w:p>
    <w:p w14:paraId="199EBF3D" w14:textId="77777777" w:rsidR="004374BD" w:rsidRPr="004374BD"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de-DE"/>
          <w14:ligatures w14:val="none"/>
        </w:rPr>
      </w:pPr>
      <w:r w:rsidRPr="004374BD">
        <w:rPr>
          <w:rFonts w:ascii="Times New Roman" w:eastAsia="Times New Roman" w:hAnsi="Times New Roman" w:cs="Times New Roman"/>
          <w:b/>
          <w:bCs/>
          <w:smallCaps/>
          <w:kern w:val="0"/>
          <w:sz w:val="28"/>
          <w:szCs w:val="28"/>
          <w:lang w:val="de-DE"/>
          <w14:ligatures w14:val="none"/>
        </w:rPr>
        <w:t>IV. TRÁCH NHIỆM BÊN MỜI THẦU.</w:t>
      </w:r>
    </w:p>
    <w:p w14:paraId="7A1B44D3"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1) Cung cấp cho Nhà thầu:</w:t>
      </w:r>
    </w:p>
    <w:p w14:paraId="032C3F4D"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- 01 bộ hồ sơ thiết kế được chủ đầu tư phê duyệt cùng Quyết định phê duyệt thiết kế bản vẽ thi công. </w:t>
      </w:r>
    </w:p>
    <w:p w14:paraId="53852F22"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376E141B"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150617BE"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Bố trí 01 cán bộ kỹ thuật để phối hợp cùng Nhà thầu giám sát giải quyết các vướng mắc phát sinh về kỹ thuật trong quá trình thi công. </w:t>
      </w:r>
    </w:p>
    <w:p w14:paraId="25C995E3"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4187F257" w14:textId="77777777" w:rsidR="004374BD" w:rsidRPr="004374BD" w:rsidRDefault="004374BD" w:rsidP="004374BD">
      <w:pPr>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Xử lý kịp thời những </w:t>
      </w:r>
      <w:r w:rsidRPr="004374BD">
        <w:rPr>
          <w:rFonts w:ascii="Times New Roman" w:eastAsia="Times New Roman" w:hAnsi="Times New Roman" w:cs="Times New Roman" w:hint="eastAsia"/>
          <w:kern w:val="0"/>
          <w:sz w:val="28"/>
          <w:szCs w:val="28"/>
          <w14:ligatures w14:val="none"/>
        </w:rPr>
        <w:t>đ</w:t>
      </w:r>
      <w:r w:rsidRPr="004374BD">
        <w:rPr>
          <w:rFonts w:ascii="Times New Roman" w:eastAsia="Times New Roman" w:hAnsi="Times New Roman" w:cs="Times New Roman"/>
          <w:kern w:val="0"/>
          <w:sz w:val="28"/>
          <w:szCs w:val="28"/>
          <w14:ligatures w14:val="none"/>
        </w:rPr>
        <w:t>ề xuất của ng</w:t>
      </w:r>
      <w:r w:rsidRPr="004374BD">
        <w:rPr>
          <w:rFonts w:ascii="Times New Roman" w:eastAsia="Times New Roman" w:hAnsi="Times New Roman" w:cs="Times New Roman" w:hint="eastAsia"/>
          <w:kern w:val="0"/>
          <w:sz w:val="28"/>
          <w:szCs w:val="28"/>
          <w14:ligatures w14:val="none"/>
        </w:rPr>
        <w:t>ư</w:t>
      </w:r>
      <w:r w:rsidRPr="004374BD">
        <w:rPr>
          <w:rFonts w:ascii="Times New Roman" w:eastAsia="Times New Roman" w:hAnsi="Times New Roman" w:cs="Times New Roman"/>
          <w:kern w:val="0"/>
          <w:sz w:val="28"/>
          <w:szCs w:val="28"/>
          <w14:ligatures w14:val="none"/>
        </w:rPr>
        <w:t>ời giám sát.</w:t>
      </w:r>
    </w:p>
    <w:bookmarkEnd w:id="1"/>
    <w:bookmarkEnd w:id="2"/>
    <w:bookmarkEnd w:id="3"/>
    <w:bookmarkEnd w:id="4"/>
    <w:p w14:paraId="101D8FC4" w14:textId="77777777" w:rsidR="0021758E" w:rsidRDefault="0021758E"/>
    <w:sectPr w:rsidR="0021758E">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A6A2" w14:textId="77777777" w:rsidR="00C00092" w:rsidRDefault="00C00092">
      <w:pPr>
        <w:spacing w:after="0" w:line="240" w:lineRule="auto"/>
      </w:pPr>
      <w:r>
        <w:separator/>
      </w:r>
    </w:p>
  </w:endnote>
  <w:endnote w:type="continuationSeparator" w:id="0">
    <w:p w14:paraId="36D9B090" w14:textId="77777777" w:rsidR="00C00092" w:rsidRDefault="00C0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F85" w14:textId="77777777" w:rsidR="004374BD" w:rsidRDefault="004374BD">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B692" w14:textId="77777777" w:rsidR="00C00092" w:rsidRDefault="00C00092">
      <w:pPr>
        <w:spacing w:after="0" w:line="240" w:lineRule="auto"/>
      </w:pPr>
      <w:r>
        <w:separator/>
      </w:r>
    </w:p>
  </w:footnote>
  <w:footnote w:type="continuationSeparator" w:id="0">
    <w:p w14:paraId="62FF8621" w14:textId="77777777" w:rsidR="00C00092" w:rsidRDefault="00C00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C25" w14:textId="77777777" w:rsidR="004374BD" w:rsidRDefault="004374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1D49551C" w14:textId="77777777" w:rsidR="004374BD" w:rsidRDefault="0043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D"/>
    <w:rsid w:val="00017851"/>
    <w:rsid w:val="00047FE7"/>
    <w:rsid w:val="00051BF0"/>
    <w:rsid w:val="0021758E"/>
    <w:rsid w:val="002342DE"/>
    <w:rsid w:val="0028413F"/>
    <w:rsid w:val="002F4CD1"/>
    <w:rsid w:val="00435BFC"/>
    <w:rsid w:val="004374BD"/>
    <w:rsid w:val="004C208B"/>
    <w:rsid w:val="005D7E22"/>
    <w:rsid w:val="005F3135"/>
    <w:rsid w:val="005F4556"/>
    <w:rsid w:val="00623209"/>
    <w:rsid w:val="00673731"/>
    <w:rsid w:val="00681F2A"/>
    <w:rsid w:val="008237F9"/>
    <w:rsid w:val="00885CB9"/>
    <w:rsid w:val="008B63BF"/>
    <w:rsid w:val="00A07258"/>
    <w:rsid w:val="00A47281"/>
    <w:rsid w:val="00C00092"/>
    <w:rsid w:val="00C6720D"/>
    <w:rsid w:val="00CD706D"/>
    <w:rsid w:val="00DD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8592"/>
  <w15:chartTrackingRefBased/>
  <w15:docId w15:val="{A468C2B0-DAE5-4E5F-87F2-27952AFB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BD"/>
    <w:rPr>
      <w:rFonts w:eastAsiaTheme="majorEastAsia" w:cstheme="majorBidi"/>
      <w:color w:val="272727" w:themeColor="text1" w:themeTint="D8"/>
    </w:rPr>
  </w:style>
  <w:style w:type="paragraph" w:styleId="Title">
    <w:name w:val="Title"/>
    <w:basedOn w:val="Normal"/>
    <w:next w:val="Normal"/>
    <w:link w:val="TitleChar"/>
    <w:uiPriority w:val="10"/>
    <w:qFormat/>
    <w:rsid w:val="0043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BD"/>
    <w:pPr>
      <w:spacing w:before="160"/>
      <w:jc w:val="center"/>
    </w:pPr>
    <w:rPr>
      <w:i/>
      <w:iCs/>
      <w:color w:val="404040" w:themeColor="text1" w:themeTint="BF"/>
    </w:rPr>
  </w:style>
  <w:style w:type="character" w:customStyle="1" w:styleId="QuoteChar">
    <w:name w:val="Quote Char"/>
    <w:basedOn w:val="DefaultParagraphFont"/>
    <w:link w:val="Quote"/>
    <w:uiPriority w:val="29"/>
    <w:rsid w:val="004374BD"/>
    <w:rPr>
      <w:i/>
      <w:iCs/>
      <w:color w:val="404040" w:themeColor="text1" w:themeTint="BF"/>
    </w:rPr>
  </w:style>
  <w:style w:type="paragraph" w:styleId="ListParagraph">
    <w:name w:val="List Paragraph"/>
    <w:basedOn w:val="Normal"/>
    <w:uiPriority w:val="34"/>
    <w:qFormat/>
    <w:rsid w:val="004374BD"/>
    <w:pPr>
      <w:ind w:left="720"/>
      <w:contextualSpacing/>
    </w:pPr>
  </w:style>
  <w:style w:type="character" w:styleId="IntenseEmphasis">
    <w:name w:val="Intense Emphasis"/>
    <w:basedOn w:val="DefaultParagraphFont"/>
    <w:uiPriority w:val="21"/>
    <w:qFormat/>
    <w:rsid w:val="004374BD"/>
    <w:rPr>
      <w:i/>
      <w:iCs/>
      <w:color w:val="0F4761" w:themeColor="accent1" w:themeShade="BF"/>
    </w:rPr>
  </w:style>
  <w:style w:type="paragraph" w:styleId="IntenseQuote">
    <w:name w:val="Intense Quote"/>
    <w:basedOn w:val="Normal"/>
    <w:next w:val="Normal"/>
    <w:link w:val="IntenseQuoteChar"/>
    <w:uiPriority w:val="30"/>
    <w:qFormat/>
    <w:rsid w:val="0043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BD"/>
    <w:rPr>
      <w:i/>
      <w:iCs/>
      <w:color w:val="0F4761" w:themeColor="accent1" w:themeShade="BF"/>
    </w:rPr>
  </w:style>
  <w:style w:type="character" w:styleId="IntenseReference">
    <w:name w:val="Intense Reference"/>
    <w:basedOn w:val="DefaultParagraphFont"/>
    <w:uiPriority w:val="32"/>
    <w:qFormat/>
    <w:rsid w:val="004374BD"/>
    <w:rPr>
      <w:b/>
      <w:bCs/>
      <w:smallCaps/>
      <w:color w:val="0F4761" w:themeColor="accent1" w:themeShade="BF"/>
      <w:spacing w:val="5"/>
    </w:rPr>
  </w:style>
  <w:style w:type="paragraph" w:styleId="Footer">
    <w:name w:val="footer"/>
    <w:basedOn w:val="Normal"/>
    <w:link w:val="Foot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4374BD"/>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4374BD"/>
    <w:rPr>
      <w:rFonts w:ascii="Times New Roman" w:eastAsia="Times New Roman" w:hAnsi="Times New Roman" w:cs="Times New Roman"/>
      <w:kern w:val="0"/>
      <w14:ligatures w14:val="none"/>
    </w:rPr>
  </w:style>
  <w:style w:type="character" w:styleId="PageNumber">
    <w:name w:val="page number"/>
    <w:rsid w:val="0043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5103</Words>
  <Characters>29090</Characters>
  <Application>Microsoft Office Word</Application>
  <DocSecurity>0</DocSecurity>
  <Lines>242</Lines>
  <Paragraphs>68</Paragraphs>
  <ScaleCrop>false</ScaleCrop>
  <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Tung Phan</dc:creator>
  <cp:keywords/>
  <dc:description/>
  <cp:lastModifiedBy>Duy Tung Phan</cp:lastModifiedBy>
  <cp:revision>21</cp:revision>
  <dcterms:created xsi:type="dcterms:W3CDTF">2025-10-24T02:17:00Z</dcterms:created>
  <dcterms:modified xsi:type="dcterms:W3CDTF">2025-10-24T13:40:00Z</dcterms:modified>
</cp:coreProperties>
</file>