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06E" w:rsidRPr="009E306E" w:rsidRDefault="009E306E" w:rsidP="009E306E">
      <w:pPr>
        <w:tabs>
          <w:tab w:val="right" w:leader="dot" w:pos="9062"/>
        </w:tabs>
        <w:spacing w:before="80" w:after="80" w:line="240" w:lineRule="auto"/>
        <w:ind w:firstLine="567"/>
        <w:jc w:val="both"/>
        <w:outlineLvl w:val="2"/>
        <w:rPr>
          <w:rFonts w:eastAsia="Batang" w:cs="Times New Roman"/>
          <w:iCs/>
          <w:noProof/>
          <w:color w:val="000000" w:themeColor="text1"/>
          <w:kern w:val="36"/>
          <w:sz w:val="26"/>
          <w:szCs w:val="28"/>
        </w:rPr>
      </w:pPr>
      <w:bookmarkStart w:id="0" w:name="_GoBack"/>
      <w:r w:rsidRPr="009E306E">
        <w:rPr>
          <w:rFonts w:eastAsia="Batang" w:cs="Times New Roman"/>
          <w:iCs/>
          <w:noProof/>
          <w:color w:val="000000" w:themeColor="text1"/>
          <w:kern w:val="36"/>
          <w:sz w:val="26"/>
          <w:szCs w:val="28"/>
        </w:rPr>
        <w:t>Mục 3. Tiêu chuẩn đánh giá về kỹ thuật</w:t>
      </w:r>
    </w:p>
    <w:p w:rsidR="009E306E" w:rsidRPr="009E306E" w:rsidRDefault="009E306E" w:rsidP="009E306E">
      <w:pPr>
        <w:spacing w:before="0" w:after="80" w:line="240" w:lineRule="auto"/>
        <w:ind w:firstLine="567"/>
        <w:jc w:val="both"/>
        <w:rPr>
          <w:rFonts w:eastAsia="Times New Roman" w:cs="Times New Roman"/>
          <w:b w:val="0"/>
          <w:bCs w:val="0"/>
          <w:color w:val="000000" w:themeColor="text1"/>
          <w:sz w:val="26"/>
          <w:szCs w:val="26"/>
        </w:rPr>
      </w:pPr>
      <w:r w:rsidRPr="009E306E">
        <w:rPr>
          <w:rFonts w:eastAsia="Times New Roman" w:cs="Times New Roman"/>
          <w:b w:val="0"/>
          <w:bCs w:val="0"/>
          <w:iCs/>
          <w:color w:val="000000" w:themeColor="text1"/>
          <w:sz w:val="26"/>
          <w:szCs w:val="26"/>
        </w:rPr>
        <w:t>Đánh giá theo phương pháp</w:t>
      </w:r>
      <w:r w:rsidRPr="009E306E" w:rsidDel="00BE4476">
        <w:rPr>
          <w:rFonts w:eastAsia="Times New Roman" w:cs="Times New Roman"/>
          <w:b w:val="0"/>
          <w:bCs w:val="0"/>
          <w:iCs/>
          <w:color w:val="000000" w:themeColor="text1"/>
          <w:sz w:val="26"/>
          <w:szCs w:val="26"/>
        </w:rPr>
        <w:t xml:space="preserve"> </w:t>
      </w:r>
      <w:r w:rsidRPr="009E306E">
        <w:rPr>
          <w:rFonts w:eastAsia="Times New Roman" w:cs="Times New Roman"/>
          <w:b w:val="0"/>
          <w:bCs w:val="0"/>
          <w:iCs/>
          <w:color w:val="000000" w:themeColor="text1"/>
          <w:sz w:val="26"/>
          <w:szCs w:val="26"/>
        </w:rPr>
        <w:t>đạt/không đạt</w:t>
      </w:r>
      <w:r w:rsidRPr="009E306E">
        <w:rPr>
          <w:rFonts w:eastAsia="Times New Roman" w:cs="Times New Roman"/>
          <w:b w:val="0"/>
          <w:bCs w:val="0"/>
          <w:color w:val="000000" w:themeColor="text1"/>
          <w:sz w:val="26"/>
          <w:szCs w:val="26"/>
        </w:rPr>
        <w:t>. Chi tiết tiêu chuẩn đánh giá về kỹ thuật như sau:</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4448"/>
        <w:gridCol w:w="1447"/>
      </w:tblGrid>
      <w:tr w:rsidR="009E306E" w:rsidRPr="009E306E" w:rsidTr="00D364ED">
        <w:trPr>
          <w:tblHeader/>
          <w:jc w:val="center"/>
        </w:trPr>
        <w:tc>
          <w:tcPr>
            <w:tcW w:w="4201" w:type="pct"/>
            <w:gridSpan w:val="2"/>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Nội dung đánh giá</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Sử dụng tiêu chí đạt, không đạt</w:t>
            </w:r>
          </w:p>
        </w:tc>
      </w:tr>
      <w:tr w:rsidR="009E306E" w:rsidRPr="009E306E" w:rsidTr="00D364ED">
        <w:trPr>
          <w:trHeight w:val="148"/>
          <w:jc w:val="center"/>
        </w:trPr>
        <w:tc>
          <w:tcPr>
            <w:tcW w:w="5000" w:type="pct"/>
            <w:gridSpan w:val="3"/>
            <w:vAlign w:val="center"/>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1. Đặc tính, thông số kỹ thuật của hàng hóa, tiêu chuẩn sản xuất, tiêu chuẩn chế tạo và công nghệ</w:t>
            </w:r>
          </w:p>
        </w:tc>
      </w:tr>
      <w:tr w:rsidR="009E306E" w:rsidRPr="009E306E" w:rsidTr="00D364ED">
        <w:trPr>
          <w:trHeight w:val="148"/>
          <w:jc w:val="center"/>
        </w:trPr>
        <w:tc>
          <w:tcPr>
            <w:tcW w:w="1774" w:type="pct"/>
            <w:vMerge w:val="restar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a. Đặc tính, thông số kỹ thuật của hàng hóa</w:t>
            </w: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Đáp ứng toàn bộ các yêu cầu sau:</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 Cam kết hàng hóa thuộc gói thầu mới 100%, chưa qua sử dụng, có nguồn gốc, xuất xứ rõ ràng, đối với phần mềm chào thầu là phiên bản mới nhất, đối với các hàng hóa, thiết bị được sản xuất không trước năm 2024 (trừ trường hợp có yêu cầu khác quy định trong E-HSMT này), đã bao gồm đầy đủ các vật tư, phụ kiện và dịch vụ kỹ thuật kèm theo để lắp đặt hoàn chỉnh, vận hành theo yêu cầu của chủ đầu tư.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 Nhà thầu phải cung cấp bảng chào kỹ thuật hàng hóa, phần mềm dự thầu có thể hiện đầy đủ các nội dung: Tên hàng hóa, model (hoặc ký mã hiệu nếu có), hãng sản xuất, xuất xứ (không bắt buộc xuất xứ đối với phần mềm, phụ kiện đi kèm), đặc tính kỹ thuật.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Đặc tính, thông số kỹ thuật của hàng hóa, phần mềm được chào thầu phải đáp ứng các yêu cầu của E-HSMT, có đầy đủ các tài liệu chứng minh theo yêu cầu tại E-CDNT 10.8 Chương II, Chương V và các yêu cầu khác của E-HSMT này.</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toàn bộ hoặc một trong các các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1774" w:type="pct"/>
            <w:vMerge w:val="restart"/>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b. Tiêu chuẩn sản xuất, tiêu chuẩn chế tạo và công nghệ </w:t>
            </w: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Đối với nội dung công việc Xây dựng Phần mềm Quản lý Cơ sở dữ liệu học bạ số và Xây dựng Phần mềm nghiệp vụ và nền tảng dùng chung học bạ số quốc gia: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lang w:val="nl-NL"/>
              </w:rPr>
            </w:pPr>
            <w:r w:rsidRPr="009E306E">
              <w:rPr>
                <w:rFonts w:eastAsia="Times New Roman" w:cs="Times New Roman"/>
                <w:b w:val="0"/>
                <w:bCs w:val="0"/>
                <w:color w:val="000000" w:themeColor="text1"/>
                <w:sz w:val="26"/>
                <w:szCs w:val="26"/>
              </w:rPr>
              <w:t xml:space="preserve">- </w:t>
            </w:r>
            <w:r w:rsidRPr="009E306E">
              <w:rPr>
                <w:rFonts w:eastAsia="Times New Roman" w:cs="Times New Roman"/>
                <w:b w:val="0"/>
                <w:bCs w:val="0"/>
                <w:color w:val="000000" w:themeColor="text1"/>
                <w:sz w:val="26"/>
                <w:szCs w:val="26"/>
                <w:lang w:val="nl-NL"/>
              </w:rPr>
              <w:t xml:space="preserve">Nhà thầu phải cam kết các phần mềm được xây dựng và triển khai theo quy trình đảm bảo chất lượng ISO 9001:2015 về phát triển phần mềm (tương đương hoặc cao hơn) và ISO 27001:2022 về </w:t>
            </w:r>
            <w:r w:rsidRPr="009E306E">
              <w:rPr>
                <w:rFonts w:eastAsia="Times New Roman" w:cs="Times New Roman"/>
                <w:b w:val="0"/>
                <w:bCs w:val="0"/>
                <w:color w:val="000000" w:themeColor="text1"/>
                <w:sz w:val="26"/>
                <w:szCs w:val="26"/>
                <w:lang w:val="nl-NL"/>
              </w:rPr>
              <w:lastRenderedPageBreak/>
              <w:t>phát triển phần mềm (tương đương hoặc cao hơn).</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lang w:val="nl-NL"/>
              </w:rPr>
            </w:pPr>
            <w:r w:rsidRPr="009E306E">
              <w:rPr>
                <w:rFonts w:eastAsia="Times New Roman" w:cs="Times New Roman"/>
                <w:b w:val="0"/>
                <w:bCs w:val="0"/>
                <w:color w:val="000000" w:themeColor="text1"/>
                <w:sz w:val="26"/>
                <w:szCs w:val="26"/>
                <w:lang w:val="nl-NL"/>
              </w:rPr>
              <w:t>- Nhà sản xuất các phần mềm đạt tiêu chuẩn Hệ thống quản lý an toàn thông tin tương đương ISO/IEC 27001:2022 về lĩnh vực phát triển phần mềm, còn hiệu lực tối thiểu tính đến thời điểm đóng thầu.</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lastRenderedPageBreak/>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5000" w:type="pct"/>
            <w:gridSpan w:val="3"/>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2. Tính hợp lý và hiệu quả kinh tế của các giải pháp kỹ thuật, biện pháp tổ chức cung cấp, lắp đặt, đào tạo hướng dẫn sử dụng hàng hóa</w:t>
            </w:r>
          </w:p>
        </w:tc>
      </w:tr>
      <w:tr w:rsidR="009E306E" w:rsidRPr="009E306E" w:rsidTr="00D364ED">
        <w:trPr>
          <w:trHeight w:val="148"/>
          <w:jc w:val="center"/>
        </w:trPr>
        <w:tc>
          <w:tcPr>
            <w:tcW w:w="1774" w:type="pct"/>
            <w:vMerge w:val="restar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Giải pháp kỹ thuật, biện pháp tổ chức cung cấp, lắp đặt hàng hóa, phần mềm</w:t>
            </w: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Đáp ứng toàn bộ các yêu cầu sau:</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1.</w:t>
            </w:r>
            <w:r w:rsidRPr="009E306E">
              <w:rPr>
                <w:rFonts w:eastAsia="Times New Roman" w:cs="Times New Roman"/>
                <w:b w:val="0"/>
                <w:bCs w:val="0"/>
                <w:color w:val="000000" w:themeColor="text1"/>
                <w:sz w:val="26"/>
                <w:szCs w:val="26"/>
              </w:rPr>
              <w:t xml:space="preserve"> Có thuyết minh rõ ràng, chi tiết biện pháp tổ chức thực hiện cung cấp hàng hóa, phần mềm gồm: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 Đối với nội dung cung cấp, lắp đặt trang thiết bị, phần mềm thương mại: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cung cấp thiết bị, phần mềm, vận chuyển và phương tiện vận chuyển đến địa điểm lắp đặt;</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kiểm tra nghiệm thu hàng hóa trước khi lắp đặt;</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quy trình thi công lắp đặt hàng hóa, phần mềm;</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bảo quản hàng hóa trước khi lắp đặt và bảo quản hàng hóa sau khi lắp đặt chờ nghiệm thu bàn giao đưa vào sử dụng;</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 Biện pháp, quy trình chạy thử/vận hành thử;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 Biện pháp phối hợp với chủ đầu tư; Biện pháp giảm thiểu các tác động trong quá trình thi công đến công tác chuyên môn của Chủ đầu tư;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an toàn lao động: Biện pháp đảm bảo an toàn cho người và thiết bị trong quá trình thi công; Biện pháp an toàn điện, phòng chống cháy nổ trong quá trình thi công; Biện pháp đảm bảo vệ sinh môi trường.</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lastRenderedPageBreak/>
              <w:t>- Đối với nội dung Xây dựng Phần mềm Quản lý Cơ sở dữ liệu học bạ số và Xây dựng Phần mềm nghiệp vụ và nền tảng dùng chung học bạ số quốc gia:</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tổ chức triển khai thực hiện công việc;</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quy trình chạy thử/vận hành thử;</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xử lý sự cố trong quá trình khai thác, sử dụng.</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Biện pháp phối hợp với chủ đầu tư và các đơn vị có liên quan (tư vấn kiểm thử, đơn vị thụ hưởng)</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Đối với nội dung Rà quét, đánh giá an toàn thông tin và cập nhật, hoàn thiện các hồ sơ đề xuất cấp độ ATTT các hệ thống thông tin có nhu cầu kết nối với các CSDL quốc gia đảm bảo đáp ứng đủ điều kiện kết nối: Nhà thầu trình bày giải pháp triển khai thực hiện phù hợp với các yêu cầu của E-HSMT</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2.</w:t>
            </w:r>
            <w:r w:rsidRPr="009E306E">
              <w:rPr>
                <w:rFonts w:eastAsia="Times New Roman" w:cs="Times New Roman"/>
                <w:b w:val="0"/>
                <w:bCs w:val="0"/>
                <w:color w:val="000000" w:themeColor="text1"/>
                <w:sz w:val="26"/>
                <w:szCs w:val="26"/>
              </w:rPr>
              <w:t xml:space="preserve"> Có trình bày kế hoạch đào tạo hướng dẫn sử dụng/vận hành được đánh giá là khả thi và phù hợp với đề xuất về kỹ thuật, tiến độ thực hiện gói thầu và yêu cầu của E-HSMT. Đồng thời nhà thầu phải cam kết kết thúc quá trình đào tạo thì cán bộ được đào tạo sẽ sử dụng thành thạo toàn bộ hàng hóa, phần mềm của gói thầu. </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3.</w:t>
            </w:r>
            <w:r w:rsidRPr="009E306E">
              <w:rPr>
                <w:rFonts w:eastAsia="Times New Roman" w:cs="Times New Roman"/>
                <w:b w:val="0"/>
                <w:bCs w:val="0"/>
                <w:color w:val="000000" w:themeColor="text1"/>
                <w:sz w:val="26"/>
                <w:szCs w:val="26"/>
              </w:rPr>
              <w:t xml:space="preserve"> Đối với đơn vị thực hiện cung cấp dịch vụ rà quét, đánh giá an toàn thông tin và cập nhật, hoàn thiện các hồ sơ đề xuất cấp độ ATTT các hệ thống thông tin do Bộ GDĐT quản lý có nhu cầu kết nối với các CSDL quốc gia đảm bảo đáp ứng đủ điều kiện kết nối:</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 Nhà cung cấp dịch vụ có giấy phép cung cấp dịch vụ kiểm tra, đánh giá an toàn thông tin mạng do cơ quan có thẩm quyền cấp còn hiệu lực trong thời gian </w:t>
            </w:r>
            <w:r w:rsidRPr="009E306E">
              <w:rPr>
                <w:rFonts w:eastAsia="Times New Roman" w:cs="Times New Roman"/>
                <w:b w:val="0"/>
                <w:bCs w:val="0"/>
                <w:color w:val="000000" w:themeColor="text1"/>
                <w:sz w:val="26"/>
                <w:szCs w:val="26"/>
              </w:rPr>
              <w:lastRenderedPageBreak/>
              <w:t>thực hiện dịch vụ</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lang w:val="nl-NL"/>
              </w:rPr>
            </w:pPr>
            <w:r w:rsidRPr="009E306E">
              <w:rPr>
                <w:rFonts w:eastAsia="Times New Roman" w:cs="Times New Roman"/>
                <w:b w:val="0"/>
                <w:bCs w:val="0"/>
                <w:color w:val="000000" w:themeColor="text1"/>
                <w:sz w:val="26"/>
                <w:szCs w:val="26"/>
              </w:rPr>
              <w:t>- Nhà cung cấp dịch vụ có cam kết bảo đảm an toàn, bảo mật và tính riêng tư về thông tin, dữ liệu của cơ quan nhà nước; tuân thủ quy định của pháp luật về an toàn, an ninh thông tin, cơ yếu và Pháp lệnh bảo vệ bí mật nhà nước. Máy chủ lưu trữ thông tin, dữ liệu của cơ quan nhà nước phải được đặt trên lãnh thổ Việt Nam. Nhà nước sở hữu các thông tin, dữ liệu liên quan được hình thành trong quá trình cung cấp dịch vụ.</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lastRenderedPageBreak/>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toàn bộ hoặc một trong các các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5000" w:type="pct"/>
            <w:gridSpan w:val="3"/>
            <w:vAlign w:val="center"/>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3. Tiến độ thực hiện gói thầu</w:t>
            </w:r>
          </w:p>
        </w:tc>
      </w:tr>
      <w:tr w:rsidR="009E306E" w:rsidRPr="009E306E" w:rsidTr="00D364ED">
        <w:trPr>
          <w:trHeight w:val="148"/>
          <w:jc w:val="center"/>
        </w:trPr>
        <w:tc>
          <w:tcPr>
            <w:tcW w:w="1774" w:type="pct"/>
            <w:vMerge w:val="restar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Tiến độ thực hiện gói thầu</w:t>
            </w:r>
          </w:p>
        </w:tc>
        <w:tc>
          <w:tcPr>
            <w:tcW w:w="2427" w:type="pct"/>
          </w:tcPr>
          <w:p w:rsidR="009E306E" w:rsidRPr="009E306E" w:rsidRDefault="009E306E" w:rsidP="009E306E">
            <w:pPr>
              <w:widowControl w:val="0"/>
              <w:tabs>
                <w:tab w:val="left" w:pos="851"/>
              </w:tabs>
              <w:spacing w:before="0" w:after="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Tổng tiến độ thực hiện gói thầu ≤ 150 ngày.</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5000" w:type="pct"/>
            <w:gridSpan w:val="3"/>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4. Khả năng thích ứng về địa lý và tác động đối với môi trường</w:t>
            </w:r>
          </w:p>
        </w:tc>
      </w:tr>
      <w:tr w:rsidR="009E306E" w:rsidRPr="009E306E" w:rsidTr="00D364ED">
        <w:trPr>
          <w:trHeight w:val="148"/>
          <w:jc w:val="center"/>
        </w:trPr>
        <w:tc>
          <w:tcPr>
            <w:tcW w:w="1774" w:type="pct"/>
            <w:vMerge w:val="restar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a. Khả năng thích ứng về địa lý.</w:t>
            </w:r>
          </w:p>
        </w:tc>
        <w:tc>
          <w:tcPr>
            <w:tcW w:w="2427" w:type="pct"/>
          </w:tcPr>
          <w:p w:rsidR="009E306E" w:rsidRPr="009E306E" w:rsidRDefault="009E306E" w:rsidP="009E306E">
            <w:pPr>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Đạt</w:t>
            </w:r>
          </w:p>
        </w:tc>
      </w:tr>
      <w:tr w:rsidR="009E306E" w:rsidRPr="009E306E" w:rsidTr="00D364ED">
        <w:trPr>
          <w:trHeight w:val="148"/>
          <w:jc w:val="center"/>
        </w:trPr>
        <w:tc>
          <w:tcPr>
            <w:tcW w:w="1774" w:type="pct"/>
            <w:vMerge/>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p>
        </w:tc>
        <w:tc>
          <w:tcPr>
            <w:tcW w:w="2427" w:type="pct"/>
          </w:tcPr>
          <w:p w:rsidR="009E306E" w:rsidRPr="009E306E" w:rsidRDefault="009E306E" w:rsidP="009E306E">
            <w:pPr>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Chấp nhận được</w:t>
            </w:r>
          </w:p>
        </w:tc>
      </w:tr>
      <w:tr w:rsidR="009E306E" w:rsidRPr="009E306E" w:rsidTr="00D364ED">
        <w:trPr>
          <w:trHeight w:val="148"/>
          <w:jc w:val="center"/>
        </w:trPr>
        <w:tc>
          <w:tcPr>
            <w:tcW w:w="1774" w:type="pct"/>
            <w:vMerge/>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một trong các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1774" w:type="pct"/>
            <w:vMerge w:val="restar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b. Tác động đối với môi trường và biện pháp giải quyết</w:t>
            </w:r>
          </w:p>
        </w:tc>
        <w:tc>
          <w:tcPr>
            <w:tcW w:w="2427" w:type="pct"/>
          </w:tcPr>
          <w:p w:rsidR="009E306E" w:rsidRPr="009E306E" w:rsidRDefault="009E306E" w:rsidP="009E306E">
            <w:pPr>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Có cam kết và chịu trách nhiệm về việc hàng hóa được cung cấp cho gói thầu không có ảnh hưởng tác động đến môi trường.</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tcPr>
          <w:p w:rsidR="009E306E" w:rsidRPr="009E306E" w:rsidRDefault="009E306E" w:rsidP="009E306E">
            <w:pPr>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xml:space="preserve">Trường hợp hàng hóa được cung cấp có ảnh hưởng tác động đến môi trường, nhà thầu có đề xuất biện pháp giải quyết. Các biện pháp giải quyết phải đảm bảo hàng </w:t>
            </w:r>
            <w:r w:rsidRPr="009E306E">
              <w:rPr>
                <w:rFonts w:eastAsia="Times New Roman" w:cs="Times New Roman"/>
                <w:b w:val="0"/>
                <w:bCs w:val="0"/>
                <w:color w:val="000000" w:themeColor="text1"/>
                <w:sz w:val="26"/>
                <w:szCs w:val="26"/>
              </w:rPr>
              <w:lastRenderedPageBreak/>
              <w:t>hóa hoạt động ổn định, không làm phát sinh chi phí cho Chủ đầu tư trong quá trình sử dụng.</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lastRenderedPageBreak/>
              <w:t>Chấp nhận được</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tcPr>
          <w:p w:rsidR="009E306E" w:rsidRPr="009E306E" w:rsidRDefault="009E306E" w:rsidP="009E306E">
            <w:pPr>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một trong các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5000" w:type="pct"/>
            <w:gridSpan w:val="3"/>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5. Bảo hành, bảo trì</w:t>
            </w:r>
          </w:p>
        </w:tc>
      </w:tr>
      <w:tr w:rsidR="009E306E" w:rsidRPr="009E306E" w:rsidTr="00D364ED">
        <w:trPr>
          <w:trHeight w:val="148"/>
          <w:jc w:val="center"/>
        </w:trPr>
        <w:tc>
          <w:tcPr>
            <w:tcW w:w="1774" w:type="pct"/>
            <w:vMerge w:val="restar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Thời gian bảo hành, bảo trì</w:t>
            </w:r>
          </w:p>
        </w:tc>
        <w:tc>
          <w:tcPr>
            <w:tcW w:w="2427" w:type="pct"/>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Đáp ứng toàn bộ các yêu cầu sau:</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Thời gian bảo hành và hỗ trợ kỹ thuật: tối thiểu 12 tháng cho toàn bộ hàng hóa, phần mềm của gói thầu (trừ trường hợp có yêu cầu về thời gian bảo hành riêng được quy định tại Chương V của E-HSMT này).</w:t>
            </w:r>
          </w:p>
          <w:p w:rsidR="009E306E" w:rsidRPr="009E306E" w:rsidRDefault="009E306E" w:rsidP="009E306E">
            <w:pPr>
              <w:widowControl w:val="0"/>
              <w:tabs>
                <w:tab w:val="left" w:pos="851"/>
              </w:tabs>
              <w:spacing w:before="0" w:after="80" w:line="240" w:lineRule="auto"/>
              <w:jc w:val="both"/>
              <w:rPr>
                <w:rFonts w:eastAsia="Calibri" w:cs="Times New Roman"/>
                <w:b w:val="0"/>
                <w:bCs w:val="0"/>
                <w:color w:val="000000" w:themeColor="text1"/>
                <w:sz w:val="26"/>
                <w:szCs w:val="26"/>
              </w:rPr>
            </w:pPr>
            <w:r w:rsidRPr="009E306E">
              <w:rPr>
                <w:rFonts w:eastAsia="Calibri" w:cs="Times New Roman"/>
                <w:b w:val="0"/>
                <w:bCs w:val="0"/>
                <w:color w:val="000000" w:themeColor="text1"/>
                <w:sz w:val="26"/>
                <w:szCs w:val="26"/>
              </w:rPr>
              <w:t>- Thời gian bảo trì trong thời gian bảo hành đối với thiết bị phần cứng tối thiểu 02 lần/năm.</w:t>
            </w:r>
          </w:p>
          <w:p w:rsidR="009E306E" w:rsidRPr="009E306E" w:rsidRDefault="009E306E" w:rsidP="009E306E">
            <w:pPr>
              <w:widowControl w:val="0"/>
              <w:tabs>
                <w:tab w:val="left" w:pos="851"/>
              </w:tabs>
              <w:spacing w:before="0" w:after="80" w:line="240" w:lineRule="auto"/>
              <w:jc w:val="both"/>
              <w:rPr>
                <w:rFonts w:eastAsia="Calibri" w:cs="Times New Roman"/>
                <w:b w:val="0"/>
                <w:bCs w:val="0"/>
                <w:color w:val="000000" w:themeColor="text1"/>
                <w:sz w:val="26"/>
                <w:szCs w:val="26"/>
              </w:rPr>
            </w:pPr>
            <w:r w:rsidRPr="009E306E">
              <w:rPr>
                <w:rFonts w:eastAsia="Calibri" w:cs="Times New Roman"/>
                <w:b w:val="0"/>
                <w:bCs w:val="0"/>
                <w:color w:val="000000" w:themeColor="text1"/>
                <w:sz w:val="26"/>
                <w:szCs w:val="26"/>
              </w:rPr>
              <w:t>- Đối với phần mềm: Nhà thầu cam kết luôn sẵn sàng bố trí nhân sự trong 24/24 giờ và 07 ngày/tuần để hỗ trợ kỹ thuật, khắc phục sự cố cho Chủ đầu tư khi có yêu cầu trong suốt thời gian bảo hành</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Calibri" w:cs="Times New Roman"/>
                <w:b w:val="0"/>
                <w:bCs w:val="0"/>
                <w:color w:val="000000" w:themeColor="text1"/>
                <w:sz w:val="26"/>
                <w:szCs w:val="26"/>
              </w:rPr>
              <w:t>- Có cam kết trong thời gian bảo hành nếu hàng hóa gặp sự cố mà trong vòng 20 ngày không khắc phục được phải đổi thiết bị mới.</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toàn bộ hoặc một trong các các yêu cầu nêu trên.</w:t>
            </w:r>
          </w:p>
        </w:tc>
        <w:tc>
          <w:tcPr>
            <w:tcW w:w="799" w:type="pct"/>
            <w:vAlign w:val="center"/>
          </w:tcPr>
          <w:p w:rsidR="009E306E" w:rsidRPr="009E306E" w:rsidRDefault="009E306E" w:rsidP="009E306E">
            <w:pPr>
              <w:widowControl w:val="0"/>
              <w:tabs>
                <w:tab w:val="left" w:pos="851"/>
              </w:tabs>
              <w:spacing w:before="0" w:after="80" w:line="240" w:lineRule="auto"/>
              <w:jc w:val="center"/>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trHeight w:val="148"/>
          <w:jc w:val="center"/>
        </w:trPr>
        <w:tc>
          <w:tcPr>
            <w:tcW w:w="5000" w:type="pct"/>
            <w:gridSpan w:val="3"/>
            <w:tcBorders>
              <w:bottom w:val="single" w:sz="4" w:space="0" w:color="auto"/>
            </w:tcBorders>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6. Kết quả thực hiện hợp đồng của nhà thầu</w:t>
            </w:r>
          </w:p>
        </w:tc>
      </w:tr>
      <w:tr w:rsidR="009E306E" w:rsidRPr="009E306E" w:rsidTr="00D364ED">
        <w:trPr>
          <w:trHeight w:val="1071"/>
          <w:jc w:val="center"/>
        </w:trPr>
        <w:tc>
          <w:tcPr>
            <w:tcW w:w="1774" w:type="pct"/>
            <w:vMerge w:val="restart"/>
            <w:tcBorders>
              <w:top w:val="single" w:sz="4" w:space="0" w:color="auto"/>
              <w:left w:val="single" w:sz="4" w:space="0" w:color="auto"/>
              <w:bottom w:val="single" w:sz="4" w:space="0" w:color="auto"/>
              <w:right w:val="single" w:sz="4" w:space="0" w:color="auto"/>
            </w:tcBorders>
            <w:vAlign w:val="center"/>
          </w:tcPr>
          <w:p w:rsidR="009E306E" w:rsidRPr="009E306E" w:rsidRDefault="009E306E" w:rsidP="009E306E">
            <w:pPr>
              <w:widowControl w:val="0"/>
              <w:spacing w:before="0" w:after="80" w:line="240" w:lineRule="auto"/>
              <w:jc w:val="both"/>
              <w:rPr>
                <w:rFonts w:eastAsia="Calibri" w:cs="Times New Roman"/>
                <w:b w:val="0"/>
                <w:bCs w:val="0"/>
                <w:color w:val="000000" w:themeColor="text1"/>
                <w:sz w:val="26"/>
                <w:szCs w:val="26"/>
              </w:rPr>
            </w:pPr>
            <w:r w:rsidRPr="009E306E">
              <w:rPr>
                <w:rFonts w:eastAsia="Calibri" w:cs="Times New Roman"/>
                <w:b w:val="0"/>
                <w:bCs w:val="0"/>
                <w:color w:val="000000" w:themeColor="text1"/>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9E306E" w:rsidRPr="009E306E" w:rsidRDefault="009E306E" w:rsidP="009E306E">
            <w:pPr>
              <w:widowControl w:val="0"/>
              <w:spacing w:before="0" w:after="80" w:line="240" w:lineRule="auto"/>
              <w:jc w:val="both"/>
              <w:rPr>
                <w:rFonts w:eastAsia="Times New Roman" w:cs="Times New Roman"/>
                <w:b w:val="0"/>
                <w:bCs w:val="0"/>
                <w:i/>
                <w:color w:val="000000" w:themeColor="text1"/>
                <w:sz w:val="26"/>
                <w:szCs w:val="26"/>
              </w:rPr>
            </w:pPr>
            <w:r w:rsidRPr="009E306E">
              <w:rPr>
                <w:rFonts w:eastAsia="Calibri" w:cs="Times New Roman"/>
                <w:b w:val="0"/>
                <w:bCs w:val="0"/>
                <w:i/>
                <w:color w:val="000000" w:themeColor="text1"/>
                <w:sz w:val="26"/>
                <w:szCs w:val="26"/>
              </w:rPr>
              <w:t xml:space="preserve"> (Tiêu chí này được đánh giá trong thời gian 03 năm gần </w:t>
            </w:r>
            <w:r w:rsidRPr="009E306E">
              <w:rPr>
                <w:rFonts w:eastAsia="Calibri" w:cs="Times New Roman"/>
                <w:b w:val="0"/>
                <w:bCs w:val="0"/>
                <w:i/>
                <w:color w:val="000000" w:themeColor="text1"/>
                <w:sz w:val="26"/>
                <w:szCs w:val="26"/>
              </w:rPr>
              <w:lastRenderedPageBreak/>
              <w:t>đây, tính đến thời điểm đóng thầu và dựa trên thông tin công bố tại hệ thống mạng đấu thầu quốc gia  (</w:t>
            </w:r>
            <w:hyperlink r:id="rId4" w:history="1">
              <w:r w:rsidRPr="009E306E">
                <w:rPr>
                  <w:rFonts w:eastAsia="Calibri" w:cs="Times New Roman"/>
                  <w:b w:val="0"/>
                  <w:bCs w:val="0"/>
                  <w:i/>
                  <w:color w:val="000000" w:themeColor="text1"/>
                  <w:sz w:val="26"/>
                  <w:szCs w:val="26"/>
                  <w:u w:val="single"/>
                </w:rPr>
                <w:t xml:space="preserve">https://muasamcong.gov.vn/) </w:t>
              </w:r>
            </w:hyperlink>
            <w:r w:rsidRPr="009E306E">
              <w:rPr>
                <w:rFonts w:eastAsia="Calibri" w:cs="Times New Roman"/>
                <w:b w:val="0"/>
                <w:bCs w:val="0"/>
                <w:i/>
                <w:color w:val="000000" w:themeColor="text1"/>
                <w:sz w:val="26"/>
                <w:szCs w:val="26"/>
              </w:rPr>
              <w:t xml:space="preserve">  và các nguồn thông tin khác tính đến thời điểm đóng thầu.)</w:t>
            </w:r>
          </w:p>
        </w:tc>
        <w:tc>
          <w:tcPr>
            <w:tcW w:w="2427" w:type="pct"/>
            <w:tcBorders>
              <w:top w:val="single" w:sz="4" w:space="0" w:color="auto"/>
              <w:left w:val="single" w:sz="4" w:space="0" w:color="auto"/>
              <w:bottom w:val="single" w:sz="4" w:space="0" w:color="auto"/>
              <w:right w:val="single" w:sz="4" w:space="0" w:color="auto"/>
            </w:tcBorders>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lastRenderedPageBreak/>
              <w:t>Không nhiều hơn 2 trường hợp bị xử lý vi phạm</w:t>
            </w:r>
          </w:p>
        </w:tc>
        <w:tc>
          <w:tcPr>
            <w:tcW w:w="799" w:type="pct"/>
            <w:tcBorders>
              <w:top w:val="single" w:sz="4" w:space="0" w:color="auto"/>
              <w:left w:val="single" w:sz="4" w:space="0" w:color="auto"/>
              <w:bottom w:val="single" w:sz="4" w:space="0" w:color="auto"/>
              <w:right w:val="single" w:sz="4" w:space="0" w:color="auto"/>
            </w:tcBorders>
            <w:vAlign w:val="center"/>
          </w:tcPr>
          <w:p w:rsidR="009E306E" w:rsidRPr="009E306E" w:rsidRDefault="009E306E" w:rsidP="009E306E">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9E306E">
              <w:rPr>
                <w:rFonts w:eastAsia="Calibri" w:cs="Times New Roman"/>
                <w:bCs w:val="0"/>
                <w:color w:val="000000" w:themeColor="text1"/>
                <w:sz w:val="26"/>
                <w:szCs w:val="26"/>
              </w:rPr>
              <w:t>Đạt</w:t>
            </w:r>
          </w:p>
        </w:tc>
      </w:tr>
      <w:tr w:rsidR="009E306E" w:rsidRPr="009E306E" w:rsidTr="00D364ED">
        <w:trPr>
          <w:trHeight w:val="148"/>
          <w:jc w:val="center"/>
        </w:trPr>
        <w:tc>
          <w:tcPr>
            <w:tcW w:w="1774" w:type="pct"/>
            <w:vMerge/>
            <w:tcBorders>
              <w:top w:val="single" w:sz="4" w:space="0" w:color="auto"/>
            </w:tcBorders>
          </w:tcPr>
          <w:p w:rsidR="009E306E" w:rsidRPr="009E306E" w:rsidRDefault="009E306E" w:rsidP="009E306E">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p>
        </w:tc>
        <w:tc>
          <w:tcPr>
            <w:tcW w:w="2427" w:type="pct"/>
            <w:tcBorders>
              <w:top w:val="single" w:sz="4" w:space="0" w:color="auto"/>
            </w:tcBorders>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Có &gt; 2 trường hợp bị xử lý vi phạm (trừ các trường hợp nhà thầu bị xử lý chấm dứt hợp đồng mà nguyên nhân được xác định lỗi khách quan, bất khả kháng gây ra).</w:t>
            </w:r>
          </w:p>
        </w:tc>
        <w:tc>
          <w:tcPr>
            <w:tcW w:w="799" w:type="pct"/>
            <w:tcBorders>
              <w:top w:val="single" w:sz="4" w:space="0" w:color="auto"/>
            </w:tcBorders>
            <w:vAlign w:val="center"/>
          </w:tcPr>
          <w:p w:rsidR="009E306E" w:rsidRPr="009E306E" w:rsidRDefault="009E306E" w:rsidP="009E306E">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9E306E">
              <w:rPr>
                <w:rFonts w:eastAsia="Calibri" w:cs="Times New Roman"/>
                <w:bCs w:val="0"/>
                <w:color w:val="000000" w:themeColor="text1"/>
                <w:sz w:val="26"/>
                <w:szCs w:val="26"/>
              </w:rPr>
              <w:t>Không đạt</w:t>
            </w:r>
          </w:p>
        </w:tc>
      </w:tr>
      <w:tr w:rsidR="009E306E" w:rsidRPr="009E306E" w:rsidTr="00D364ED">
        <w:trPr>
          <w:trHeight w:val="148"/>
          <w:jc w:val="center"/>
        </w:trPr>
        <w:tc>
          <w:tcPr>
            <w:tcW w:w="5000" w:type="pct"/>
            <w:gridSpan w:val="3"/>
            <w:tcBorders>
              <w:top w:val="single" w:sz="4" w:space="0" w:color="auto"/>
            </w:tcBorders>
          </w:tcPr>
          <w:p w:rsidR="009E306E" w:rsidRPr="009E306E" w:rsidRDefault="009E306E" w:rsidP="009E306E">
            <w:pPr>
              <w:widowControl w:val="0"/>
              <w:tabs>
                <w:tab w:val="left" w:pos="851"/>
              </w:tabs>
              <w:spacing w:before="0" w:after="80" w:line="240" w:lineRule="auto"/>
              <w:jc w:val="both"/>
              <w:outlineLvl w:val="2"/>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lastRenderedPageBreak/>
              <w:t>7. Các yếu tố về điều kiện thương mại và các yêu cầu khác</w:t>
            </w:r>
          </w:p>
        </w:tc>
      </w:tr>
      <w:tr w:rsidR="009E306E" w:rsidRPr="009E306E" w:rsidTr="00D364ED">
        <w:trPr>
          <w:trHeight w:val="148"/>
          <w:jc w:val="center"/>
        </w:trPr>
        <w:tc>
          <w:tcPr>
            <w:tcW w:w="1774" w:type="pct"/>
            <w:vMerge w:val="restart"/>
            <w:tcBorders>
              <w:top w:val="single" w:sz="4" w:space="0" w:color="auto"/>
            </w:tcBorders>
            <w:vAlign w:val="center"/>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Các yếu tố về điều kiện thương mại và các yêu cầu khác</w:t>
            </w:r>
          </w:p>
        </w:tc>
        <w:tc>
          <w:tcPr>
            <w:tcW w:w="2427" w:type="pct"/>
            <w:tcBorders>
              <w:top w:val="single" w:sz="4" w:space="0" w:color="auto"/>
            </w:tcBorders>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Đáp ứng toàn bộ các yêu cầu sau:</w:t>
            </w:r>
          </w:p>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Cam kết giá hàng hóa chào thầu phải bao gồm thuế, phí và các chi phí khác có liên quan.</w:t>
            </w:r>
          </w:p>
          <w:p w:rsidR="009E306E" w:rsidRPr="009E306E" w:rsidRDefault="009E306E" w:rsidP="009E306E">
            <w:pPr>
              <w:widowControl w:val="0"/>
              <w:tabs>
                <w:tab w:val="left" w:pos="851"/>
              </w:tabs>
              <w:spacing w:before="0" w:after="80" w:line="240" w:lineRule="auto"/>
              <w:jc w:val="both"/>
              <w:outlineLvl w:val="2"/>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 Có đề xuất điều kiện thương mại rõ ràng và phù hợp với các yêu cầu của E-HSMT, bao gồm nhưng không giới hạn các nội dung sau: đề xuất cụ thể về tạm ứng, đề xuất cụ thể về thanh toán (số lần thanh toán, tiến độ thanh toán,….).</w:t>
            </w:r>
          </w:p>
          <w:p w:rsidR="009E306E" w:rsidRPr="009E306E" w:rsidRDefault="009E306E" w:rsidP="009E306E">
            <w:pPr>
              <w:widowControl w:val="0"/>
              <w:tabs>
                <w:tab w:val="left" w:pos="851"/>
              </w:tabs>
              <w:spacing w:before="0" w:after="80" w:line="240" w:lineRule="auto"/>
              <w:jc w:val="both"/>
              <w:outlineLvl w:val="2"/>
              <w:rPr>
                <w:rFonts w:eastAsia="Calibri" w:cs="Times New Roman"/>
                <w:b w:val="0"/>
                <w:bCs w:val="0"/>
                <w:color w:val="000000" w:themeColor="text1"/>
                <w:sz w:val="26"/>
                <w:szCs w:val="26"/>
              </w:rPr>
            </w:pPr>
            <w:r w:rsidRPr="009E306E">
              <w:rPr>
                <w:rFonts w:eastAsia="Calibri" w:cs="Times New Roman"/>
                <w:b w:val="0"/>
                <w:bCs w:val="0"/>
                <w:color w:val="000000" w:themeColor="text1"/>
                <w:sz w:val="26"/>
                <w:szCs w:val="26"/>
              </w:rPr>
              <w:t>- Nhà thầu cam kết sẽ ký hợp đồng bảo trì cho hàng hóa với mức phí ưu đãi nếu chủ đầu tư có nhu cầu sau khi kết thúc thời gian bảo hành hàng hóa.</w:t>
            </w:r>
          </w:p>
        </w:tc>
        <w:tc>
          <w:tcPr>
            <w:tcW w:w="799" w:type="pct"/>
            <w:tcBorders>
              <w:top w:val="single" w:sz="4" w:space="0" w:color="auto"/>
            </w:tcBorders>
            <w:vAlign w:val="center"/>
          </w:tcPr>
          <w:p w:rsidR="009E306E" w:rsidRPr="009E306E" w:rsidRDefault="009E306E" w:rsidP="009E306E">
            <w:pPr>
              <w:widowControl w:val="0"/>
              <w:tabs>
                <w:tab w:val="left" w:pos="851"/>
              </w:tabs>
              <w:spacing w:before="0" w:after="80" w:line="240" w:lineRule="auto"/>
              <w:jc w:val="center"/>
              <w:outlineLvl w:val="2"/>
              <w:rPr>
                <w:rFonts w:eastAsia="Times New Roman" w:cs="Times New Roman"/>
                <w:b w:val="0"/>
                <w:bCs w:val="0"/>
                <w:color w:val="000000" w:themeColor="text1"/>
                <w:sz w:val="26"/>
                <w:szCs w:val="26"/>
              </w:rPr>
            </w:pPr>
            <w:r w:rsidRPr="009E306E">
              <w:rPr>
                <w:rFonts w:eastAsia="Times New Roman" w:cs="Times New Roman"/>
                <w:bCs w:val="0"/>
                <w:color w:val="000000" w:themeColor="text1"/>
                <w:sz w:val="26"/>
                <w:szCs w:val="26"/>
              </w:rPr>
              <w:t>Đạt</w:t>
            </w:r>
          </w:p>
        </w:tc>
      </w:tr>
      <w:tr w:rsidR="009E306E" w:rsidRPr="009E306E" w:rsidTr="00D364ED">
        <w:trPr>
          <w:trHeight w:val="148"/>
          <w:jc w:val="center"/>
        </w:trPr>
        <w:tc>
          <w:tcPr>
            <w:tcW w:w="1774" w:type="pct"/>
            <w:vMerge/>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p>
        </w:tc>
        <w:tc>
          <w:tcPr>
            <w:tcW w:w="2427" w:type="pct"/>
            <w:tcBorders>
              <w:top w:val="single" w:sz="4" w:space="0" w:color="auto"/>
            </w:tcBorders>
          </w:tcPr>
          <w:p w:rsidR="009E306E" w:rsidRPr="009E306E" w:rsidRDefault="009E306E" w:rsidP="009E306E">
            <w:pPr>
              <w:widowControl w:val="0"/>
              <w:tabs>
                <w:tab w:val="left" w:pos="851"/>
              </w:tabs>
              <w:spacing w:before="0" w:after="80" w:line="240" w:lineRule="auto"/>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Không đáp ứng toàn bộ hoặc một trong các các yêu cầu nêu trên.</w:t>
            </w:r>
          </w:p>
        </w:tc>
        <w:tc>
          <w:tcPr>
            <w:tcW w:w="799" w:type="pct"/>
            <w:tcBorders>
              <w:top w:val="single" w:sz="4" w:space="0" w:color="auto"/>
            </w:tcBorders>
            <w:vAlign w:val="center"/>
          </w:tcPr>
          <w:p w:rsidR="009E306E" w:rsidRPr="009E306E" w:rsidRDefault="009E306E" w:rsidP="009E306E">
            <w:pPr>
              <w:widowControl w:val="0"/>
              <w:tabs>
                <w:tab w:val="left" w:pos="851"/>
              </w:tabs>
              <w:spacing w:before="0" w:after="80" w:line="240" w:lineRule="auto"/>
              <w:jc w:val="center"/>
              <w:outlineLvl w:val="2"/>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Không đạt</w:t>
            </w:r>
          </w:p>
        </w:tc>
      </w:tr>
      <w:tr w:rsidR="009E306E" w:rsidRPr="009E306E" w:rsidTr="00D364ED">
        <w:trPr>
          <w:jc w:val="center"/>
        </w:trPr>
        <w:tc>
          <w:tcPr>
            <w:tcW w:w="4201" w:type="pct"/>
            <w:gridSpan w:val="2"/>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vertAlign w:val="superscript"/>
              </w:rPr>
            </w:pPr>
            <w:r w:rsidRPr="009E306E">
              <w:rPr>
                <w:rFonts w:eastAsia="Times New Roman" w:cs="Times New Roman"/>
                <w:bCs w:val="0"/>
                <w:color w:val="000000" w:themeColor="text1"/>
                <w:sz w:val="26"/>
                <w:szCs w:val="26"/>
              </w:rPr>
              <w:t>Kết luận</w:t>
            </w:r>
            <w:r w:rsidRPr="009E306E">
              <w:rPr>
                <w:rFonts w:eastAsia="Times New Roman" w:cs="Times New Roman"/>
                <w:bCs w:val="0"/>
                <w:color w:val="000000" w:themeColor="text1"/>
                <w:sz w:val="26"/>
                <w:szCs w:val="26"/>
                <w:vertAlign w:val="superscript"/>
              </w:rPr>
              <w:t>(1)</w:t>
            </w:r>
          </w:p>
        </w:tc>
        <w:tc>
          <w:tcPr>
            <w:tcW w:w="799" w:type="pct"/>
          </w:tcPr>
          <w:p w:rsidR="009E306E" w:rsidRPr="009E306E" w:rsidRDefault="009E306E" w:rsidP="009E306E">
            <w:pPr>
              <w:widowControl w:val="0"/>
              <w:tabs>
                <w:tab w:val="left" w:pos="851"/>
              </w:tabs>
              <w:spacing w:before="0" w:after="80" w:line="240" w:lineRule="auto"/>
              <w:jc w:val="both"/>
              <w:rPr>
                <w:rFonts w:eastAsia="Times New Roman" w:cs="Times New Roman"/>
                <w:bCs w:val="0"/>
                <w:color w:val="000000" w:themeColor="text1"/>
                <w:sz w:val="26"/>
                <w:szCs w:val="26"/>
              </w:rPr>
            </w:pPr>
            <w:r w:rsidRPr="009E306E">
              <w:rPr>
                <w:rFonts w:eastAsia="Times New Roman" w:cs="Times New Roman"/>
                <w:bCs w:val="0"/>
                <w:color w:val="000000" w:themeColor="text1"/>
                <w:sz w:val="26"/>
                <w:szCs w:val="26"/>
              </w:rPr>
              <w:t>------------</w:t>
            </w:r>
          </w:p>
        </w:tc>
      </w:tr>
    </w:tbl>
    <w:p w:rsidR="009E306E" w:rsidRPr="009E306E" w:rsidRDefault="009E306E" w:rsidP="009E306E">
      <w:pPr>
        <w:spacing w:before="0" w:after="80" w:line="240" w:lineRule="auto"/>
        <w:ind w:right="43" w:firstLine="567"/>
        <w:jc w:val="both"/>
        <w:rPr>
          <w:rFonts w:eastAsia="Times New Roman" w:cs="Times New Roman"/>
          <w:color w:val="000000" w:themeColor="text1"/>
          <w:sz w:val="26"/>
          <w:szCs w:val="26"/>
        </w:rPr>
      </w:pPr>
      <w:r w:rsidRPr="009E306E">
        <w:rPr>
          <w:rFonts w:eastAsia="Times New Roman" w:cs="Times New Roman"/>
          <w:color w:val="000000" w:themeColor="text1"/>
          <w:sz w:val="26"/>
          <w:szCs w:val="26"/>
        </w:rPr>
        <w:t xml:space="preserve">Ghi chú: </w:t>
      </w:r>
    </w:p>
    <w:p w:rsidR="009E306E" w:rsidRPr="009E306E" w:rsidRDefault="009E306E" w:rsidP="009E306E">
      <w:pPr>
        <w:spacing w:before="0" w:after="80" w:line="240" w:lineRule="auto"/>
        <w:ind w:right="43" w:firstLine="567"/>
        <w:jc w:val="both"/>
        <w:rPr>
          <w:rFonts w:eastAsia="Times New Roman" w:cs="Times New Roman"/>
          <w:b w:val="0"/>
          <w:bCs w:val="0"/>
          <w:color w:val="000000" w:themeColor="text1"/>
          <w:sz w:val="26"/>
          <w:szCs w:val="26"/>
        </w:rPr>
      </w:pPr>
      <w:r w:rsidRPr="009E306E">
        <w:rPr>
          <w:rFonts w:eastAsia="Times New Roman" w:cs="Times New Roman"/>
          <w:b w:val="0"/>
          <w:bCs w:val="0"/>
          <w:color w:val="000000" w:themeColor="text1"/>
          <w:sz w:val="26"/>
          <w:szCs w:val="26"/>
        </w:rPr>
        <w:t>(1):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ở bước tiếp theo.</w:t>
      </w:r>
    </w:p>
    <w:bookmarkEnd w:id="0"/>
    <w:p w:rsidR="000D253C" w:rsidRPr="009E306E" w:rsidRDefault="000D253C" w:rsidP="009E306E">
      <w:pPr>
        <w:rPr>
          <w:color w:val="000000" w:themeColor="text1"/>
        </w:rPr>
      </w:pPr>
    </w:p>
    <w:sectPr w:rsidR="000D253C" w:rsidRPr="009E306E"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AC"/>
    <w:rsid w:val="000D253C"/>
    <w:rsid w:val="00355897"/>
    <w:rsid w:val="006F09E9"/>
    <w:rsid w:val="006F6A20"/>
    <w:rsid w:val="008B7694"/>
    <w:rsid w:val="00995675"/>
    <w:rsid w:val="009E306E"/>
    <w:rsid w:val="00A5275C"/>
    <w:rsid w:val="00BC4383"/>
    <w:rsid w:val="00D46DCE"/>
    <w:rsid w:val="00E2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EA88A-85A4-45EF-BAE2-5249F3C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gov.v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1337</Words>
  <Characters>7626</Characters>
  <Application>Microsoft Office Word</Application>
  <DocSecurity>0</DocSecurity>
  <Lines>63</Lines>
  <Paragraphs>17</Paragraphs>
  <ScaleCrop>false</ScaleCrop>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2025-08-07T03:23:00Z</dcterms:created>
  <dcterms:modified xsi:type="dcterms:W3CDTF">2025-10-22T02:33:00Z</dcterms:modified>
</cp:coreProperties>
</file>