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8C883" w14:textId="1CB9382B" w:rsidR="00E04C33" w:rsidRPr="00AE1046" w:rsidRDefault="00E04C33" w:rsidP="00E04C33">
      <w:pPr>
        <w:spacing w:before="120" w:after="120"/>
        <w:jc w:val="center"/>
        <w:outlineLvl w:val="0"/>
        <w:rPr>
          <w:b/>
          <w:bCs/>
          <w:sz w:val="28"/>
          <w:szCs w:val="28"/>
        </w:rPr>
      </w:pPr>
      <w:bookmarkStart w:id="0" w:name="_Toc104800535"/>
      <w:r w:rsidRPr="00AE1046">
        <w:rPr>
          <w:b/>
          <w:bCs/>
          <w:sz w:val="28"/>
          <w:szCs w:val="28"/>
        </w:rPr>
        <w:t>Chương V. YÊU CẦU VỀ KỸ THUẬT</w:t>
      </w:r>
      <w:bookmarkEnd w:id="0"/>
    </w:p>
    <w:p w14:paraId="1F79971D" w14:textId="77777777" w:rsidR="003151A8" w:rsidRDefault="003151A8" w:rsidP="008561B5">
      <w:pPr>
        <w:spacing w:before="60" w:after="60" w:line="288" w:lineRule="auto"/>
        <w:ind w:firstLine="567"/>
        <w:rPr>
          <w:b/>
          <w:sz w:val="26"/>
          <w:szCs w:val="26"/>
          <w:lang w:val="nl-NL"/>
        </w:rPr>
      </w:pPr>
      <w:r>
        <w:rPr>
          <w:b/>
          <w:sz w:val="26"/>
          <w:szCs w:val="26"/>
          <w:lang w:val="nl-NL"/>
        </w:rPr>
        <w:t xml:space="preserve">Mục 1. </w:t>
      </w:r>
      <w:r w:rsidRPr="007C3A62">
        <w:rPr>
          <w:b/>
          <w:sz w:val="28"/>
          <w:szCs w:val="28"/>
          <w:lang w:val="nl-NL"/>
        </w:rPr>
        <w:t>Yêu cầu về kỹ thuật</w:t>
      </w:r>
    </w:p>
    <w:p w14:paraId="16A6F9E5" w14:textId="77777777" w:rsidR="003151A8" w:rsidRPr="00AE1046" w:rsidRDefault="003151A8" w:rsidP="008561B5">
      <w:pPr>
        <w:spacing w:before="60" w:after="60" w:line="288" w:lineRule="auto"/>
        <w:ind w:firstLine="567"/>
        <w:rPr>
          <w:b/>
          <w:sz w:val="26"/>
          <w:szCs w:val="26"/>
          <w:lang w:val="nl-NL"/>
        </w:rPr>
      </w:pPr>
      <w:r>
        <w:rPr>
          <w:b/>
          <w:sz w:val="26"/>
          <w:szCs w:val="26"/>
          <w:lang w:val="nl-NL"/>
        </w:rPr>
        <w:t>1.</w:t>
      </w:r>
      <w:r w:rsidRPr="00AE1046">
        <w:rPr>
          <w:b/>
          <w:sz w:val="26"/>
          <w:szCs w:val="26"/>
          <w:lang w:val="nl-NL"/>
        </w:rPr>
        <w:t>1. Giới thiệu chung về dự toán mua sắm gói thầu:</w:t>
      </w:r>
    </w:p>
    <w:p w14:paraId="1ECD8F2D" w14:textId="5DF823F2" w:rsidR="003151A8" w:rsidRPr="00AE1046" w:rsidRDefault="003151A8" w:rsidP="008561B5">
      <w:pPr>
        <w:spacing w:before="60"/>
        <w:ind w:firstLine="567"/>
        <w:rPr>
          <w:rFonts w:eastAsia="SimSun"/>
          <w:sz w:val="26"/>
          <w:szCs w:val="26"/>
          <w:lang w:val="de-AT"/>
        </w:rPr>
      </w:pPr>
      <w:r w:rsidRPr="00AE1046">
        <w:rPr>
          <w:spacing w:val="2"/>
          <w:sz w:val="26"/>
          <w:szCs w:val="26"/>
        </w:rPr>
        <w:t xml:space="preserve">- </w:t>
      </w:r>
      <w:r w:rsidRPr="00AE1046">
        <w:rPr>
          <w:spacing w:val="-6"/>
          <w:sz w:val="26"/>
          <w:szCs w:val="26"/>
        </w:rPr>
        <w:t xml:space="preserve">Tên dự toán mua sắm: </w:t>
      </w:r>
      <w:r>
        <w:rPr>
          <w:rFonts w:eastAsia="SimSun"/>
          <w:spacing w:val="-10"/>
          <w:sz w:val="26"/>
          <w:szCs w:val="26"/>
        </w:rPr>
        <w:t>Mua vật tư hành chính phục vụ cấp phát cho các khoa, phòng của Bệnh viện Sản - Nhi Bắc Ninh số 1</w:t>
      </w:r>
    </w:p>
    <w:p w14:paraId="4EFA61AD" w14:textId="5DA35A27" w:rsidR="003151A8" w:rsidRPr="00AE1046" w:rsidRDefault="003151A8" w:rsidP="008561B5">
      <w:pPr>
        <w:spacing w:before="60"/>
        <w:ind w:firstLine="567"/>
        <w:rPr>
          <w:rFonts w:eastAsia="SimSun"/>
          <w:sz w:val="26"/>
          <w:szCs w:val="26"/>
          <w:lang w:val="de-AT"/>
        </w:rPr>
      </w:pPr>
      <w:r w:rsidRPr="00AE1046">
        <w:rPr>
          <w:spacing w:val="2"/>
          <w:sz w:val="26"/>
          <w:szCs w:val="26"/>
        </w:rPr>
        <w:t xml:space="preserve">- Tên gói thầu: </w:t>
      </w:r>
      <w:r>
        <w:rPr>
          <w:rFonts w:eastAsia="SimSun"/>
          <w:spacing w:val="-10"/>
          <w:sz w:val="26"/>
          <w:szCs w:val="26"/>
        </w:rPr>
        <w:t>Mua vật tư hành chính phục vụ cấp phát cho các khoa, phòng của Bệnh viện Sản - Nhi Bắc Ninh số 1</w:t>
      </w:r>
    </w:p>
    <w:p w14:paraId="768209C1" w14:textId="64FD647A" w:rsidR="003151A8" w:rsidRPr="00AE1046" w:rsidRDefault="003151A8" w:rsidP="008561B5">
      <w:pPr>
        <w:shd w:val="clear" w:color="auto" w:fill="FFFFFF"/>
        <w:spacing w:before="60" w:after="60" w:line="288" w:lineRule="auto"/>
        <w:ind w:firstLine="567"/>
        <w:rPr>
          <w:spacing w:val="2"/>
          <w:sz w:val="26"/>
          <w:szCs w:val="26"/>
        </w:rPr>
      </w:pPr>
      <w:r>
        <w:rPr>
          <w:spacing w:val="2"/>
          <w:sz w:val="26"/>
          <w:szCs w:val="26"/>
        </w:rPr>
        <w:t>- Địa điểm thực hiện</w:t>
      </w:r>
      <w:r w:rsidRPr="00AE1046">
        <w:rPr>
          <w:spacing w:val="2"/>
          <w:sz w:val="26"/>
          <w:szCs w:val="26"/>
        </w:rPr>
        <w:t>: Bệnh viện Sản</w:t>
      </w:r>
      <w:r w:rsidR="003677DE">
        <w:rPr>
          <w:spacing w:val="2"/>
          <w:sz w:val="26"/>
          <w:szCs w:val="26"/>
        </w:rPr>
        <w:t xml:space="preserve"> </w:t>
      </w:r>
      <w:r w:rsidRPr="00AE1046">
        <w:rPr>
          <w:spacing w:val="2"/>
          <w:sz w:val="26"/>
          <w:szCs w:val="26"/>
        </w:rPr>
        <w:t>-</w:t>
      </w:r>
      <w:r w:rsidR="003677DE">
        <w:rPr>
          <w:spacing w:val="2"/>
          <w:sz w:val="26"/>
          <w:szCs w:val="26"/>
        </w:rPr>
        <w:t xml:space="preserve"> </w:t>
      </w:r>
      <w:r w:rsidRPr="00AE1046">
        <w:rPr>
          <w:spacing w:val="2"/>
          <w:sz w:val="26"/>
          <w:szCs w:val="26"/>
        </w:rPr>
        <w:t xml:space="preserve">Nhi Bắc </w:t>
      </w:r>
      <w:r>
        <w:rPr>
          <w:spacing w:val="2"/>
          <w:sz w:val="26"/>
          <w:szCs w:val="26"/>
        </w:rPr>
        <w:t>Ninh số 1</w:t>
      </w:r>
      <w:r w:rsidRPr="00AE1046">
        <w:rPr>
          <w:spacing w:val="2"/>
          <w:sz w:val="26"/>
          <w:szCs w:val="26"/>
        </w:rPr>
        <w:t xml:space="preserve">, đường Lê Lợi, phường </w:t>
      </w:r>
      <w:r>
        <w:rPr>
          <w:spacing w:val="2"/>
          <w:sz w:val="26"/>
          <w:szCs w:val="26"/>
        </w:rPr>
        <w:t>Bắc Giang, tỉnh Bắc Ninh</w:t>
      </w:r>
      <w:r w:rsidR="003677DE">
        <w:rPr>
          <w:spacing w:val="2"/>
          <w:sz w:val="26"/>
          <w:szCs w:val="26"/>
        </w:rPr>
        <w:t>.</w:t>
      </w:r>
    </w:p>
    <w:p w14:paraId="75BD1E22" w14:textId="77777777" w:rsidR="003151A8" w:rsidRPr="00AE1046" w:rsidRDefault="003151A8" w:rsidP="008561B5">
      <w:pPr>
        <w:shd w:val="clear" w:color="auto" w:fill="FFFFFF"/>
        <w:spacing w:before="60" w:after="60" w:line="288" w:lineRule="auto"/>
        <w:ind w:firstLine="567"/>
        <w:rPr>
          <w:spacing w:val="2"/>
          <w:sz w:val="26"/>
          <w:szCs w:val="26"/>
        </w:rPr>
      </w:pPr>
      <w:r>
        <w:rPr>
          <w:spacing w:val="2"/>
          <w:sz w:val="26"/>
          <w:szCs w:val="26"/>
        </w:rPr>
        <w:t xml:space="preserve">- Chủ đầu tư: </w:t>
      </w:r>
      <w:r>
        <w:rPr>
          <w:rFonts w:eastAsia="SimSun"/>
          <w:spacing w:val="-10"/>
          <w:sz w:val="26"/>
          <w:szCs w:val="26"/>
        </w:rPr>
        <w:t>Bệnh viện Sản - Nhi Bắc Ninh số 1</w:t>
      </w:r>
      <w:r>
        <w:rPr>
          <w:spacing w:val="2"/>
          <w:sz w:val="26"/>
          <w:szCs w:val="26"/>
        </w:rPr>
        <w:t xml:space="preserve"> </w:t>
      </w:r>
      <w:r w:rsidRPr="00AE1046">
        <w:rPr>
          <w:spacing w:val="2"/>
          <w:sz w:val="26"/>
          <w:szCs w:val="26"/>
        </w:rPr>
        <w:t xml:space="preserve">. </w:t>
      </w:r>
    </w:p>
    <w:p w14:paraId="7339E347" w14:textId="1BD8BB90" w:rsidR="003151A8" w:rsidRPr="00AE1046" w:rsidRDefault="003151A8" w:rsidP="008561B5">
      <w:pPr>
        <w:shd w:val="clear" w:color="auto" w:fill="FFFFFF"/>
        <w:spacing w:before="60" w:after="60" w:line="288" w:lineRule="auto"/>
        <w:ind w:firstLine="567"/>
        <w:rPr>
          <w:i/>
          <w:sz w:val="26"/>
          <w:szCs w:val="26"/>
        </w:rPr>
      </w:pPr>
      <w:r w:rsidRPr="00AE1046">
        <w:rPr>
          <w:spacing w:val="2"/>
          <w:sz w:val="26"/>
          <w:szCs w:val="26"/>
        </w:rPr>
        <w:t xml:space="preserve">- Nguồn vốn: </w:t>
      </w:r>
      <w:r w:rsidRPr="00AE1046">
        <w:rPr>
          <w:sz w:val="26"/>
          <w:szCs w:val="26"/>
        </w:rPr>
        <w:t xml:space="preserve">Nguồn </w:t>
      </w:r>
      <w:r>
        <w:rPr>
          <w:sz w:val="26"/>
          <w:szCs w:val="26"/>
        </w:rPr>
        <w:t>thu sự nghiệp và nguồn thu hợp pháp khác của đơn vị</w:t>
      </w:r>
      <w:r w:rsidRPr="00AE1046">
        <w:rPr>
          <w:sz w:val="26"/>
          <w:szCs w:val="26"/>
        </w:rPr>
        <w:t>.</w:t>
      </w:r>
      <w:r w:rsidRPr="00AE1046">
        <w:rPr>
          <w:i/>
          <w:sz w:val="26"/>
          <w:szCs w:val="26"/>
        </w:rPr>
        <w:t xml:space="preserve"> </w:t>
      </w:r>
    </w:p>
    <w:p w14:paraId="0ED10E69" w14:textId="77777777" w:rsidR="003151A8" w:rsidRPr="00AE1046" w:rsidRDefault="003151A8" w:rsidP="008561B5">
      <w:pPr>
        <w:shd w:val="clear" w:color="auto" w:fill="FFFFFF"/>
        <w:spacing w:before="60" w:after="60" w:line="288" w:lineRule="auto"/>
        <w:ind w:firstLine="567"/>
        <w:rPr>
          <w:spacing w:val="2"/>
          <w:sz w:val="26"/>
          <w:szCs w:val="26"/>
        </w:rPr>
      </w:pPr>
      <w:r w:rsidRPr="00AE1046">
        <w:rPr>
          <w:spacing w:val="2"/>
          <w:sz w:val="26"/>
          <w:szCs w:val="26"/>
        </w:rPr>
        <w:t xml:space="preserve">- Hình thức lựa chọn nhà thầu: </w:t>
      </w:r>
      <w:r w:rsidRPr="00BD340A">
        <w:rPr>
          <w:bCs/>
          <w:iCs/>
          <w:sz w:val="26"/>
          <w:szCs w:val="26"/>
        </w:rPr>
        <w:t>Đấu thầu rộng rãi trong nước, qua mạng</w:t>
      </w:r>
    </w:p>
    <w:p w14:paraId="0522901D" w14:textId="77777777" w:rsidR="003151A8" w:rsidRPr="00AE1046" w:rsidRDefault="003151A8" w:rsidP="008561B5">
      <w:pPr>
        <w:shd w:val="clear" w:color="auto" w:fill="FFFFFF"/>
        <w:spacing w:before="60" w:after="60" w:line="288" w:lineRule="auto"/>
        <w:ind w:firstLine="567"/>
        <w:rPr>
          <w:spacing w:val="2"/>
          <w:sz w:val="26"/>
          <w:szCs w:val="26"/>
        </w:rPr>
      </w:pPr>
      <w:r w:rsidRPr="00AE1046">
        <w:rPr>
          <w:spacing w:val="2"/>
          <w:sz w:val="26"/>
          <w:szCs w:val="26"/>
        </w:rPr>
        <w:t xml:space="preserve">- Phương thức lựa chọn nhà thầu: Một giai đoạn, </w:t>
      </w:r>
      <w:r>
        <w:rPr>
          <w:spacing w:val="2"/>
          <w:sz w:val="26"/>
          <w:szCs w:val="26"/>
        </w:rPr>
        <w:t>một</w:t>
      </w:r>
      <w:r w:rsidRPr="00AE1046">
        <w:rPr>
          <w:spacing w:val="2"/>
          <w:sz w:val="26"/>
          <w:szCs w:val="26"/>
        </w:rPr>
        <w:t xml:space="preserve"> túi hồ sơ. </w:t>
      </w:r>
    </w:p>
    <w:p w14:paraId="19FF6455" w14:textId="1BF08BE3" w:rsidR="003151A8" w:rsidRPr="00AE1046" w:rsidRDefault="003151A8" w:rsidP="008561B5">
      <w:pPr>
        <w:shd w:val="clear" w:color="auto" w:fill="FFFFFF"/>
        <w:spacing w:before="60" w:after="60" w:line="288" w:lineRule="auto"/>
        <w:ind w:firstLine="567"/>
        <w:rPr>
          <w:spacing w:val="2"/>
          <w:sz w:val="26"/>
          <w:szCs w:val="26"/>
        </w:rPr>
      </w:pPr>
      <w:r w:rsidRPr="00AE1046">
        <w:rPr>
          <w:spacing w:val="2"/>
          <w:sz w:val="26"/>
          <w:szCs w:val="26"/>
        </w:rPr>
        <w:t xml:space="preserve">- Thời gian thực hiện gói thầu: </w:t>
      </w:r>
      <w:r>
        <w:rPr>
          <w:spacing w:val="2"/>
          <w:sz w:val="26"/>
          <w:szCs w:val="26"/>
        </w:rPr>
        <w:t>30</w:t>
      </w:r>
      <w:r w:rsidRPr="00AE1046">
        <w:rPr>
          <w:spacing w:val="2"/>
          <w:sz w:val="26"/>
          <w:szCs w:val="26"/>
        </w:rPr>
        <w:t xml:space="preserve"> ngày kể từ </w:t>
      </w:r>
      <w:r>
        <w:rPr>
          <w:spacing w:val="2"/>
          <w:sz w:val="26"/>
          <w:szCs w:val="26"/>
        </w:rPr>
        <w:t>ngày</w:t>
      </w:r>
      <w:r w:rsidRPr="00AE1046">
        <w:rPr>
          <w:spacing w:val="2"/>
          <w:sz w:val="26"/>
          <w:szCs w:val="26"/>
        </w:rPr>
        <w:t xml:space="preserve"> hợp đồng có hiệu lực. </w:t>
      </w:r>
    </w:p>
    <w:p w14:paraId="58B556D7" w14:textId="409C262B" w:rsidR="00E04C33" w:rsidRPr="00AE1046" w:rsidRDefault="003151A8" w:rsidP="008561B5">
      <w:pPr>
        <w:shd w:val="clear" w:color="auto" w:fill="FFFFFF"/>
        <w:spacing w:before="60" w:after="60" w:line="288" w:lineRule="auto"/>
        <w:ind w:firstLine="567"/>
        <w:rPr>
          <w:spacing w:val="2"/>
          <w:sz w:val="26"/>
          <w:szCs w:val="26"/>
        </w:rPr>
      </w:pPr>
      <w:r w:rsidRPr="00AE1046">
        <w:rPr>
          <w:spacing w:val="2"/>
          <w:sz w:val="26"/>
          <w:szCs w:val="26"/>
        </w:rPr>
        <w:t>- Loại hợp đồng: Trọn gói.</w:t>
      </w:r>
    </w:p>
    <w:p w14:paraId="7B8C712D" w14:textId="77777777" w:rsidR="003151A8" w:rsidRPr="003151A8" w:rsidRDefault="003151A8" w:rsidP="008561B5">
      <w:pPr>
        <w:widowControl w:val="0"/>
        <w:spacing w:line="288" w:lineRule="auto"/>
        <w:ind w:firstLine="567"/>
        <w:rPr>
          <w:b/>
          <w:sz w:val="26"/>
          <w:szCs w:val="26"/>
          <w:lang w:val="nl-NL"/>
        </w:rPr>
      </w:pPr>
      <w:r w:rsidRPr="003151A8">
        <w:rPr>
          <w:b/>
          <w:sz w:val="26"/>
          <w:szCs w:val="26"/>
          <w:lang w:val="nl-NL"/>
        </w:rPr>
        <w:t>1.2. Yêu cầu về kỹ thuật</w:t>
      </w:r>
    </w:p>
    <w:p w14:paraId="0EF04F5F" w14:textId="55DEB5AB" w:rsidR="00AA214E" w:rsidRPr="00AE1046" w:rsidRDefault="003151A8" w:rsidP="008561B5">
      <w:pPr>
        <w:widowControl w:val="0"/>
        <w:spacing w:line="288" w:lineRule="auto"/>
        <w:ind w:firstLine="567"/>
        <w:rPr>
          <w:b/>
          <w:sz w:val="26"/>
          <w:szCs w:val="26"/>
          <w:lang w:val="vi-VN"/>
        </w:rPr>
      </w:pPr>
      <w:r w:rsidRPr="003151A8">
        <w:rPr>
          <w:b/>
          <w:sz w:val="26"/>
          <w:szCs w:val="26"/>
          <w:lang w:val="nl-NL"/>
        </w:rPr>
        <w:t>1.2.1. Yêu cầu chung:</w:t>
      </w:r>
    </w:p>
    <w:p w14:paraId="3F430B43" w14:textId="7B3FEFE8" w:rsidR="003B23F4" w:rsidRPr="00C80893" w:rsidRDefault="003151A8" w:rsidP="008561B5">
      <w:pPr>
        <w:spacing w:line="288" w:lineRule="auto"/>
        <w:ind w:firstLine="567"/>
        <w:rPr>
          <w:sz w:val="26"/>
          <w:szCs w:val="26"/>
          <w:lang w:val="vi-VN"/>
        </w:rPr>
      </w:pPr>
      <w:r w:rsidRPr="003151A8">
        <w:rPr>
          <w:sz w:val="26"/>
          <w:szCs w:val="26"/>
          <w:lang w:val="vi-VN"/>
        </w:rPr>
        <w:t>- Chất lượng: Hàng mới 100%.</w:t>
      </w:r>
    </w:p>
    <w:p w14:paraId="5A950758" w14:textId="2E526FBB" w:rsidR="003151A8" w:rsidRPr="003151A8" w:rsidRDefault="003151A8" w:rsidP="008561B5">
      <w:pPr>
        <w:spacing w:line="288" w:lineRule="auto"/>
        <w:ind w:firstLine="567"/>
        <w:rPr>
          <w:sz w:val="26"/>
          <w:szCs w:val="26"/>
          <w:lang w:val="vi-VN"/>
        </w:rPr>
      </w:pPr>
      <w:r w:rsidRPr="003151A8">
        <w:rPr>
          <w:sz w:val="26"/>
          <w:szCs w:val="26"/>
          <w:lang w:val="vi-VN"/>
        </w:rPr>
        <w:t xml:space="preserve">- Giao hàng tại Kho Hành chính quản trị của Bệnh viện Sản Nhi Bắc </w:t>
      </w:r>
      <w:r>
        <w:rPr>
          <w:sz w:val="26"/>
          <w:szCs w:val="26"/>
        </w:rPr>
        <w:t>Ninh số 1</w:t>
      </w:r>
      <w:r w:rsidRPr="003151A8">
        <w:rPr>
          <w:sz w:val="26"/>
          <w:szCs w:val="26"/>
          <w:lang w:val="vi-VN"/>
        </w:rPr>
        <w:t>.</w:t>
      </w:r>
    </w:p>
    <w:p w14:paraId="6D5BAE0F" w14:textId="10B6F477" w:rsidR="006C2273" w:rsidRPr="003151A8" w:rsidRDefault="003151A8" w:rsidP="008561B5">
      <w:pPr>
        <w:spacing w:line="288" w:lineRule="auto"/>
        <w:ind w:firstLine="567"/>
        <w:rPr>
          <w:b/>
          <w:spacing w:val="-4"/>
          <w:sz w:val="26"/>
          <w:szCs w:val="26"/>
          <w:lang w:val="vi-VN"/>
        </w:rPr>
      </w:pPr>
      <w:r w:rsidRPr="003151A8">
        <w:rPr>
          <w:b/>
          <w:sz w:val="26"/>
          <w:szCs w:val="26"/>
        </w:rPr>
        <w:t>1.2.2. Yêu cầu kỹ thuật cụ thể:</w:t>
      </w:r>
    </w:p>
    <w:p w14:paraId="0136887B" w14:textId="288BA0AA" w:rsidR="008A7339" w:rsidRDefault="008A7339" w:rsidP="008561B5">
      <w:pPr>
        <w:spacing w:line="288" w:lineRule="auto"/>
        <w:ind w:firstLine="567"/>
        <w:rPr>
          <w:spacing w:val="-4"/>
          <w:sz w:val="28"/>
          <w:szCs w:val="28"/>
          <w:lang w:val="vi-VN"/>
        </w:rPr>
      </w:pPr>
      <w:r w:rsidRPr="00AE1046">
        <w:rPr>
          <w:b/>
          <w:spacing w:val="-4"/>
          <w:sz w:val="26"/>
          <w:szCs w:val="26"/>
          <w:lang w:val="nl-NL"/>
        </w:rPr>
        <w:t xml:space="preserve">- </w:t>
      </w:r>
      <w:r w:rsidRPr="00AE1046">
        <w:rPr>
          <w:spacing w:val="-4"/>
          <w:sz w:val="26"/>
          <w:szCs w:val="26"/>
        </w:rPr>
        <w:t xml:space="preserve">Yêu cầu cụ thể về thông số kỹ thuật hàng hóa quy định cụ thể ở </w:t>
      </w:r>
      <w:r w:rsidRPr="00AE1046">
        <w:rPr>
          <w:spacing w:val="-4"/>
          <w:sz w:val="26"/>
          <w:szCs w:val="26"/>
          <w:lang w:val="vi-VN"/>
        </w:rPr>
        <w:t>bảng sau đâ</w:t>
      </w:r>
      <w:r w:rsidRPr="00AE1046">
        <w:rPr>
          <w:spacing w:val="-4"/>
          <w:sz w:val="28"/>
          <w:szCs w:val="28"/>
          <w:lang w:val="vi-VN"/>
        </w:rPr>
        <w:t xml:space="preserve">y: </w:t>
      </w:r>
    </w:p>
    <w:tbl>
      <w:tblPr>
        <w:tblW w:w="10490" w:type="dxa"/>
        <w:tblInd w:w="-147" w:type="dxa"/>
        <w:tblLook w:val="04A0" w:firstRow="1" w:lastRow="0" w:firstColumn="1" w:lastColumn="0" w:noHBand="0" w:noVBand="1"/>
      </w:tblPr>
      <w:tblGrid>
        <w:gridCol w:w="1016"/>
        <w:gridCol w:w="2528"/>
        <w:gridCol w:w="6946"/>
      </w:tblGrid>
      <w:tr w:rsidR="008631BC" w:rsidRPr="00AE1046" w14:paraId="0E668D92" w14:textId="77777777" w:rsidTr="00DE36ED">
        <w:trPr>
          <w:trHeight w:val="581"/>
          <w:tblHeader/>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819E9" w14:textId="2698B2F5" w:rsidR="008631BC" w:rsidRPr="00157E4D" w:rsidRDefault="008631BC" w:rsidP="008631BC">
            <w:pPr>
              <w:jc w:val="center"/>
              <w:rPr>
                <w:b/>
                <w:bCs/>
                <w:szCs w:val="24"/>
              </w:rPr>
            </w:pPr>
            <w:r w:rsidRPr="00157E4D">
              <w:rPr>
                <w:b/>
                <w:bCs/>
                <w:szCs w:val="24"/>
              </w:rPr>
              <w:t>Hạng mục số</w:t>
            </w:r>
          </w:p>
        </w:tc>
        <w:tc>
          <w:tcPr>
            <w:tcW w:w="2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6F56F" w14:textId="29F13AC9" w:rsidR="008631BC" w:rsidRPr="00157E4D" w:rsidRDefault="008631BC" w:rsidP="008631BC">
            <w:pPr>
              <w:jc w:val="center"/>
              <w:rPr>
                <w:b/>
                <w:bCs/>
                <w:szCs w:val="24"/>
              </w:rPr>
            </w:pPr>
            <w:r w:rsidRPr="00157E4D">
              <w:rPr>
                <w:b/>
                <w:bCs/>
                <w:szCs w:val="24"/>
              </w:rPr>
              <w:t>Danh mục hàng hóa</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26B7B" w14:textId="270BE902" w:rsidR="008631BC" w:rsidRPr="00157E4D" w:rsidRDefault="008631BC" w:rsidP="0094440E">
            <w:pPr>
              <w:jc w:val="center"/>
              <w:rPr>
                <w:b/>
                <w:bCs/>
                <w:szCs w:val="24"/>
              </w:rPr>
            </w:pPr>
            <w:r w:rsidRPr="00157E4D">
              <w:rPr>
                <w:b/>
                <w:bCs/>
                <w:szCs w:val="24"/>
              </w:rPr>
              <w:t>Thông số kỹ thuật và các tiêu chuẩn</w:t>
            </w:r>
          </w:p>
        </w:tc>
      </w:tr>
      <w:tr w:rsidR="00EC2713" w:rsidRPr="00AE1046" w14:paraId="4F73E1FC" w14:textId="77777777" w:rsidTr="00DE36ED">
        <w:trPr>
          <w:trHeight w:val="132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0F51D8E8" w14:textId="6920B146"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51FAFEF7" w14:textId="43970499" w:rsidR="00EC2713" w:rsidRPr="00157E4D" w:rsidRDefault="00EC2713" w:rsidP="00EC2713">
            <w:pPr>
              <w:rPr>
                <w:szCs w:val="24"/>
              </w:rPr>
            </w:pPr>
            <w:r w:rsidRPr="005A3379">
              <w:t>Bìa màu A4</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08FCC4C9" w14:textId="5FF70B8D" w:rsidR="00EC2713" w:rsidRPr="005A3379" w:rsidRDefault="00EC2713" w:rsidP="00EC2713">
            <w:pPr>
              <w:jc w:val="left"/>
            </w:pPr>
            <w:r w:rsidRPr="005A3379">
              <w:t>- Kích thước</w:t>
            </w:r>
            <w:r w:rsidR="009627AC">
              <w:t>(Rx</w:t>
            </w:r>
            <w:r w:rsidR="00114FFA">
              <w:t>D</w:t>
            </w:r>
            <w:r w:rsidR="009627AC">
              <w:t>):</w:t>
            </w:r>
            <w:r w:rsidRPr="005A3379">
              <w:t xml:space="preserve"> (21x29,7)cm</w:t>
            </w:r>
          </w:p>
          <w:p w14:paraId="641611A8" w14:textId="02F132CD" w:rsidR="00EC2713" w:rsidRPr="005A3379" w:rsidRDefault="00EC2713" w:rsidP="00EC2713">
            <w:pPr>
              <w:jc w:val="left"/>
            </w:pPr>
            <w:r w:rsidRPr="005A3379">
              <w:t>- Định lượng</w:t>
            </w:r>
            <w:r w:rsidR="003677DE">
              <w:t xml:space="preserve"> ≥</w:t>
            </w:r>
            <w:r w:rsidRPr="005A3379">
              <w:t xml:space="preserve"> 120g/m</w:t>
            </w:r>
            <w:r w:rsidRPr="005A3379">
              <w:rPr>
                <w:vertAlign w:val="superscript"/>
              </w:rPr>
              <w:t>2</w:t>
            </w:r>
          </w:p>
          <w:p w14:paraId="3DB0548A" w14:textId="7A369B57" w:rsidR="00EC2713" w:rsidRPr="005A3379" w:rsidRDefault="00EC2713" w:rsidP="00EC2713">
            <w:pPr>
              <w:jc w:val="left"/>
            </w:pPr>
            <w:r w:rsidRPr="005A3379">
              <w:t>- Đóng gói</w:t>
            </w:r>
            <w:r w:rsidR="003677DE">
              <w:t xml:space="preserve"> ≥</w:t>
            </w:r>
            <w:r w:rsidRPr="005A3379">
              <w:t xml:space="preserve"> 100 tờ/ram.</w:t>
            </w:r>
          </w:p>
          <w:p w14:paraId="25143CE6" w14:textId="30A80B4C" w:rsidR="00EC2713" w:rsidRPr="00157E4D" w:rsidRDefault="00EC2713" w:rsidP="00EC2713">
            <w:pPr>
              <w:jc w:val="left"/>
              <w:rPr>
                <w:szCs w:val="24"/>
              </w:rPr>
            </w:pPr>
            <w:r w:rsidRPr="005A3379">
              <w:t>- Màu sắc: Bìa hồng 30 ram; bìa xanh 70 ram</w:t>
            </w:r>
          </w:p>
        </w:tc>
      </w:tr>
      <w:tr w:rsidR="00EC2713" w:rsidRPr="00AE1046" w14:paraId="4D121B65" w14:textId="77777777" w:rsidTr="00DE36ED">
        <w:trPr>
          <w:trHeight w:val="1091"/>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BB1719D" w14:textId="263DA851"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5160718C" w14:textId="52772C8B" w:rsidR="00EC2713" w:rsidRPr="00157E4D" w:rsidRDefault="00EC2713" w:rsidP="00EC2713">
            <w:pPr>
              <w:rPr>
                <w:szCs w:val="24"/>
              </w:rPr>
            </w:pPr>
            <w:r w:rsidRPr="005A3379">
              <w:t>Băng keo simili</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05EA0F5E" w14:textId="57589C65" w:rsidR="00EC2713" w:rsidRPr="005A3379" w:rsidRDefault="00EC2713" w:rsidP="00EC2713">
            <w:pPr>
              <w:jc w:val="left"/>
            </w:pPr>
            <w:r w:rsidRPr="005A3379">
              <w:t>- Bề mặt rộng</w:t>
            </w:r>
            <w:r w:rsidR="00D768DF">
              <w:t xml:space="preserve"> ≥</w:t>
            </w:r>
            <w:r w:rsidRPr="005A3379">
              <w:t xml:space="preserve"> 5cm</w:t>
            </w:r>
          </w:p>
          <w:p w14:paraId="7F5C2DA3" w14:textId="1BF253A5" w:rsidR="00EC2713" w:rsidRPr="005A3379" w:rsidRDefault="00EC2713" w:rsidP="00EC2713">
            <w:pPr>
              <w:jc w:val="left"/>
            </w:pPr>
            <w:r w:rsidRPr="005A3379">
              <w:t>- Độ dài</w:t>
            </w:r>
            <w:r w:rsidR="003677DE">
              <w:t xml:space="preserve"> ≥</w:t>
            </w:r>
            <w:r w:rsidRPr="005A3379">
              <w:t xml:space="preserve"> 7m</w:t>
            </w:r>
          </w:p>
          <w:p w14:paraId="7BF0D5B5" w14:textId="0E4FB1AA" w:rsidR="00EC2713" w:rsidRPr="00157E4D" w:rsidRDefault="00EC2713" w:rsidP="00EC2713">
            <w:pPr>
              <w:jc w:val="left"/>
              <w:rPr>
                <w:szCs w:val="24"/>
              </w:rPr>
            </w:pPr>
            <w:r w:rsidRPr="005A3379">
              <w:t>- Màu sắc: Xanh dương</w:t>
            </w:r>
          </w:p>
        </w:tc>
      </w:tr>
      <w:tr w:rsidR="00EC2713" w:rsidRPr="00AE1046" w14:paraId="4A3BE4AC" w14:textId="77777777" w:rsidTr="00DE36ED">
        <w:trPr>
          <w:trHeight w:val="111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AB1CFBA" w14:textId="266EF5C2"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227AEAD7" w14:textId="0656E9FC" w:rsidR="00EC2713" w:rsidRPr="00157E4D" w:rsidRDefault="00EC2713" w:rsidP="00EC2713">
            <w:pPr>
              <w:rPr>
                <w:szCs w:val="24"/>
              </w:rPr>
            </w:pPr>
            <w:r w:rsidRPr="005A3379">
              <w:t>Bìa bóng kính A4</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49EABF4E" w14:textId="77F2ED9A" w:rsidR="00EC2713" w:rsidRDefault="00EC2713" w:rsidP="00EC2713">
            <w:pPr>
              <w:jc w:val="left"/>
            </w:pPr>
            <w:r w:rsidRPr="005A3379">
              <w:t>- Kích thước</w:t>
            </w:r>
            <w:r w:rsidR="00A40AF5">
              <w:t xml:space="preserve"> (</w:t>
            </w:r>
            <w:r w:rsidR="009627AC">
              <w:t>R</w:t>
            </w:r>
            <w:r w:rsidR="00A40AF5">
              <w:t>x</w:t>
            </w:r>
            <w:r w:rsidR="00114FFA">
              <w:t>D</w:t>
            </w:r>
            <w:r w:rsidR="009627AC">
              <w:t>):</w:t>
            </w:r>
            <w:r w:rsidRPr="005A3379">
              <w:t xml:space="preserve"> (21x29,7)cm.</w:t>
            </w:r>
          </w:p>
          <w:p w14:paraId="68C4A694" w14:textId="0CDB3028" w:rsidR="009627AC" w:rsidRDefault="009627AC" w:rsidP="00EC2713">
            <w:pPr>
              <w:jc w:val="left"/>
            </w:pPr>
            <w:r w:rsidRPr="009627AC">
              <w:t>- Chất liệu: Mika trong suốt</w:t>
            </w:r>
          </w:p>
          <w:p w14:paraId="4FD322E8" w14:textId="1AA910EF" w:rsidR="009627AC" w:rsidRPr="005A3379" w:rsidRDefault="009627AC" w:rsidP="00EC2713">
            <w:pPr>
              <w:jc w:val="left"/>
            </w:pPr>
            <w:r w:rsidRPr="009627AC">
              <w:t>- Dày ≥ 1,5mm</w:t>
            </w:r>
          </w:p>
          <w:p w14:paraId="608FEC88" w14:textId="70136D5F" w:rsidR="00EC2713" w:rsidRPr="009627AC" w:rsidRDefault="00EC2713" w:rsidP="003677DE">
            <w:pPr>
              <w:jc w:val="left"/>
            </w:pPr>
            <w:r w:rsidRPr="005A3379">
              <w:t>- Đóng gói</w:t>
            </w:r>
            <w:r w:rsidR="003677DE">
              <w:t xml:space="preserve"> ≥</w:t>
            </w:r>
            <w:r w:rsidRPr="005A3379">
              <w:t xml:space="preserve"> 100 tờ/ra</w:t>
            </w:r>
            <w:r w:rsidR="00FE420F">
              <w:t>m</w:t>
            </w:r>
          </w:p>
        </w:tc>
      </w:tr>
      <w:tr w:rsidR="00EC2713" w:rsidRPr="00AE1046" w14:paraId="659D5F83" w14:textId="77777777" w:rsidTr="00DE36ED">
        <w:trPr>
          <w:trHeight w:val="538"/>
        </w:trPr>
        <w:tc>
          <w:tcPr>
            <w:tcW w:w="1016" w:type="dxa"/>
            <w:tcBorders>
              <w:top w:val="nil"/>
              <w:left w:val="single" w:sz="4" w:space="0" w:color="auto"/>
              <w:bottom w:val="single" w:sz="4" w:space="0" w:color="auto"/>
              <w:right w:val="single" w:sz="4" w:space="0" w:color="auto"/>
            </w:tcBorders>
            <w:shd w:val="clear" w:color="000000" w:fill="FFFFFF"/>
            <w:vAlign w:val="center"/>
          </w:tcPr>
          <w:p w14:paraId="76C0712C" w14:textId="09D6CE26"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4FC2AB41" w14:textId="76B9138E" w:rsidR="00EC2713" w:rsidRPr="00157E4D" w:rsidRDefault="00EC2713" w:rsidP="00EC2713">
            <w:pPr>
              <w:rPr>
                <w:szCs w:val="24"/>
              </w:rPr>
            </w:pPr>
            <w:r w:rsidRPr="005A3379">
              <w:t>Cốc giấy</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7A30C9A1" w14:textId="03BAA0FB" w:rsidR="00EC2713" w:rsidRPr="00157E4D" w:rsidRDefault="00EC2713" w:rsidP="003677DE">
            <w:pPr>
              <w:jc w:val="left"/>
              <w:rPr>
                <w:szCs w:val="24"/>
              </w:rPr>
            </w:pPr>
            <w:r w:rsidRPr="005A3379">
              <w:t>- Dung tích</w:t>
            </w:r>
            <w:r w:rsidR="003677DE">
              <w:t xml:space="preserve"> ≥</w:t>
            </w:r>
            <w:r w:rsidRPr="005A3379">
              <w:t xml:space="preserve"> 180ml</w:t>
            </w:r>
          </w:p>
        </w:tc>
      </w:tr>
      <w:tr w:rsidR="00EC2713" w:rsidRPr="00AE1046" w14:paraId="38241EDE" w14:textId="77777777" w:rsidTr="00DE36ED">
        <w:trPr>
          <w:trHeight w:val="945"/>
        </w:trPr>
        <w:tc>
          <w:tcPr>
            <w:tcW w:w="1016" w:type="dxa"/>
            <w:tcBorders>
              <w:top w:val="nil"/>
              <w:left w:val="single" w:sz="4" w:space="0" w:color="auto"/>
              <w:bottom w:val="single" w:sz="4" w:space="0" w:color="auto"/>
              <w:right w:val="single" w:sz="4" w:space="0" w:color="auto"/>
            </w:tcBorders>
            <w:shd w:val="clear" w:color="000000" w:fill="FFFFFF"/>
            <w:vAlign w:val="center"/>
          </w:tcPr>
          <w:p w14:paraId="616621A5" w14:textId="10AF43E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262596DA" w14:textId="115AF158" w:rsidR="00EC2713" w:rsidRPr="00157E4D" w:rsidRDefault="00EC2713" w:rsidP="00EC2713">
            <w:pPr>
              <w:rPr>
                <w:szCs w:val="24"/>
              </w:rPr>
            </w:pPr>
            <w:r w:rsidRPr="005A3379">
              <w:t>Cặp ba dây nhựa</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732D1E9B" w14:textId="77777777" w:rsidR="00EC2713" w:rsidRPr="005A3379" w:rsidRDefault="00EC2713" w:rsidP="00EC2713">
            <w:pPr>
              <w:jc w:val="left"/>
            </w:pPr>
            <w:r w:rsidRPr="005A3379">
              <w:t>- Chất liệu: Carton, giả da; bên ngoài được bọc 1 lớp màng PVC mỏng</w:t>
            </w:r>
          </w:p>
          <w:p w14:paraId="0B18EFDB" w14:textId="3A7F8EE0" w:rsidR="00EC2713" w:rsidRPr="00157E4D" w:rsidRDefault="00EC2713" w:rsidP="003677DE">
            <w:pPr>
              <w:jc w:val="left"/>
              <w:rPr>
                <w:szCs w:val="24"/>
              </w:rPr>
            </w:pPr>
            <w:r w:rsidRPr="005A3379">
              <w:t>- Độ rộng của gáy</w:t>
            </w:r>
            <w:r w:rsidR="003677DE">
              <w:t xml:space="preserve"> ≥</w:t>
            </w:r>
            <w:r w:rsidRPr="005A3379">
              <w:t xml:space="preserve"> 8cm.</w:t>
            </w:r>
          </w:p>
        </w:tc>
      </w:tr>
      <w:tr w:rsidR="00EC2713" w:rsidRPr="00AE1046" w14:paraId="34126329" w14:textId="77777777" w:rsidTr="00DE36ED">
        <w:trPr>
          <w:trHeight w:val="1295"/>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CC10995" w14:textId="2ECC9BF5"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74997849" w14:textId="5FF8A6A9" w:rsidR="00EC2713" w:rsidRPr="00157E4D" w:rsidRDefault="00EC2713" w:rsidP="00EC2713">
            <w:pPr>
              <w:rPr>
                <w:szCs w:val="24"/>
              </w:rPr>
            </w:pPr>
            <w:r w:rsidRPr="005A3379">
              <w:t>Dép tổ ong</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F693941" w14:textId="77777777" w:rsidR="00EC2713" w:rsidRPr="005A3379" w:rsidRDefault="00EC2713" w:rsidP="00EC2713">
            <w:pPr>
              <w:jc w:val="left"/>
            </w:pPr>
            <w:r w:rsidRPr="005A3379">
              <w:t>- Chất liệu nhựa PVC hoặc tương đương.</w:t>
            </w:r>
          </w:p>
          <w:p w14:paraId="52C61B99" w14:textId="3680BC0A" w:rsidR="00EC2713" w:rsidRPr="005A3379" w:rsidRDefault="00EC2713" w:rsidP="00EC2713">
            <w:pPr>
              <w:jc w:val="left"/>
            </w:pPr>
            <w:r w:rsidRPr="005A3379">
              <w:t>- Đế dày</w:t>
            </w:r>
            <w:r w:rsidR="003677DE">
              <w:t xml:space="preserve"> ≥</w:t>
            </w:r>
            <w:r w:rsidRPr="005A3379">
              <w:t xml:space="preserve"> 3cm</w:t>
            </w:r>
          </w:p>
          <w:p w14:paraId="60C047E7" w14:textId="151DA423" w:rsidR="00EC2713" w:rsidRPr="00157E4D" w:rsidRDefault="00EC2713" w:rsidP="00EC2713">
            <w:pPr>
              <w:jc w:val="left"/>
              <w:rPr>
                <w:szCs w:val="24"/>
              </w:rPr>
            </w:pPr>
            <w:r w:rsidRPr="005A3379">
              <w:t>- Size 37: 400 đôi; size 38: 400 đôi; size 39: 100 đôi; size 40: 100 đôi</w:t>
            </w:r>
          </w:p>
        </w:tc>
      </w:tr>
      <w:tr w:rsidR="00EC2713" w:rsidRPr="00AE1046" w14:paraId="5C8CF902" w14:textId="77777777" w:rsidTr="00DE36ED">
        <w:trPr>
          <w:trHeight w:val="988"/>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072E4F3" w14:textId="7A87D1D4"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12C61BF1" w14:textId="6B674793" w:rsidR="00EC2713" w:rsidRPr="00157E4D" w:rsidRDefault="00EC2713" w:rsidP="00EC2713">
            <w:pPr>
              <w:rPr>
                <w:szCs w:val="24"/>
              </w:rPr>
            </w:pPr>
            <w:r w:rsidRPr="005A3379">
              <w:t>Sổ giáo án 200 trang A4</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6D0715A9" w14:textId="2D4DABCC" w:rsidR="00EC2713" w:rsidRPr="005A3379" w:rsidRDefault="00EC2713" w:rsidP="00EC2713">
            <w:pPr>
              <w:jc w:val="left"/>
            </w:pPr>
            <w:r w:rsidRPr="005A3379">
              <w:t>- Kích thước</w:t>
            </w:r>
            <w:r w:rsidR="0086389C">
              <w:t xml:space="preserve"> (</w:t>
            </w:r>
            <w:r w:rsidR="00C66D3C">
              <w:t>R</w:t>
            </w:r>
            <w:r w:rsidR="0086389C">
              <w:t>x</w:t>
            </w:r>
            <w:r w:rsidR="00114FFA">
              <w:t>D</w:t>
            </w:r>
            <w:r w:rsidR="0086389C">
              <w:t>)</w:t>
            </w:r>
            <w:r w:rsidR="00A67B12">
              <w:t>:</w:t>
            </w:r>
            <w:r w:rsidRPr="005A3379">
              <w:t xml:space="preserve"> (21x29,7)cm</w:t>
            </w:r>
          </w:p>
          <w:p w14:paraId="43D6E0D1" w14:textId="19097AC2" w:rsidR="00EC2713" w:rsidRPr="005A3379" w:rsidRDefault="00EC2713" w:rsidP="00EC2713">
            <w:pPr>
              <w:jc w:val="left"/>
              <w:rPr>
                <w:vertAlign w:val="superscript"/>
              </w:rPr>
            </w:pPr>
            <w:r w:rsidRPr="005A3379">
              <w:t>- Định lượng</w:t>
            </w:r>
            <w:r w:rsidR="003677DE">
              <w:t xml:space="preserve"> ≥</w:t>
            </w:r>
            <w:r w:rsidRPr="005A3379">
              <w:t xml:space="preserve"> 70g/m</w:t>
            </w:r>
            <w:r w:rsidRPr="005A3379">
              <w:rPr>
                <w:vertAlign w:val="superscript"/>
              </w:rPr>
              <w:t>2</w:t>
            </w:r>
          </w:p>
          <w:p w14:paraId="552AA1F9" w14:textId="59CE40EF" w:rsidR="00EC2713" w:rsidRPr="00157E4D" w:rsidRDefault="00EC2713" w:rsidP="003677DE">
            <w:pPr>
              <w:jc w:val="left"/>
              <w:rPr>
                <w:szCs w:val="24"/>
              </w:rPr>
            </w:pPr>
            <w:r w:rsidRPr="005A3379">
              <w:t>- Độ trắng</w:t>
            </w:r>
            <w:r w:rsidR="003677DE">
              <w:t xml:space="preserve"> ≥</w:t>
            </w:r>
            <w:r w:rsidRPr="005A3379">
              <w:t xml:space="preserve"> 90-92% ISO</w:t>
            </w:r>
          </w:p>
        </w:tc>
      </w:tr>
      <w:tr w:rsidR="00EC2713" w:rsidRPr="00AE1046" w14:paraId="2BD26475" w14:textId="77777777" w:rsidTr="00DE36ED">
        <w:trPr>
          <w:trHeight w:val="949"/>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739A502" w14:textId="4789AB53"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697C0B0D" w14:textId="3643F7D0" w:rsidR="00EC2713" w:rsidRPr="00157E4D" w:rsidRDefault="00EC2713" w:rsidP="00EC2713">
            <w:pPr>
              <w:rPr>
                <w:szCs w:val="24"/>
              </w:rPr>
            </w:pPr>
            <w:r w:rsidRPr="005A3379">
              <w:t>Máy tính Casio 14 số</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6263EF2" w14:textId="3F8E592B" w:rsidR="00EC2713" w:rsidRPr="005A3379" w:rsidRDefault="00EC2713" w:rsidP="00EC2713">
            <w:pPr>
              <w:jc w:val="left"/>
            </w:pPr>
            <w:r w:rsidRPr="005A3379">
              <w:t>- Kích thước</w:t>
            </w:r>
            <w:r w:rsidR="00976EBA">
              <w:t xml:space="preserve"> </w:t>
            </w:r>
            <w:r w:rsidR="00ED53C9">
              <w:t>≤</w:t>
            </w:r>
            <w:r w:rsidRPr="005A3379">
              <w:t xml:space="preserve"> </w:t>
            </w:r>
            <w:r w:rsidRPr="008C23BA">
              <w:t>(38x146x219)mm.</w:t>
            </w:r>
          </w:p>
          <w:p w14:paraId="56C0DCF2" w14:textId="6449C565" w:rsidR="00EC2713" w:rsidRPr="00157E4D" w:rsidRDefault="00EC2713" w:rsidP="00EC2713">
            <w:pPr>
              <w:jc w:val="left"/>
              <w:rPr>
                <w:szCs w:val="24"/>
              </w:rPr>
            </w:pPr>
            <w:r w:rsidRPr="005A3379">
              <w:t>- Sử dụng pin: LR44</w:t>
            </w:r>
          </w:p>
        </w:tc>
      </w:tr>
      <w:tr w:rsidR="00EC2713" w:rsidRPr="00AE1046" w14:paraId="6EF69BB9" w14:textId="77777777" w:rsidTr="00DE36ED">
        <w:trPr>
          <w:trHeight w:val="73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7DD17CA1"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68A73B13" w14:textId="132011A6" w:rsidR="00EC2713" w:rsidRPr="00157E4D" w:rsidRDefault="00EC2713" w:rsidP="00EC2713">
            <w:pPr>
              <w:rPr>
                <w:szCs w:val="24"/>
              </w:rPr>
            </w:pPr>
            <w:r w:rsidRPr="005A3379">
              <w:t>Pin vuông 9V</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0A5551" w14:textId="288B9F5B" w:rsidR="00EC2713" w:rsidRPr="005A3379" w:rsidRDefault="00EC2713" w:rsidP="00EC2713">
            <w:pPr>
              <w:jc w:val="left"/>
            </w:pPr>
            <w:r w:rsidRPr="005A3379">
              <w:t>- Kích thước</w:t>
            </w:r>
            <w:r w:rsidR="00FB7EA5">
              <w:t xml:space="preserve"> ≥</w:t>
            </w:r>
            <w:r w:rsidRPr="005A3379">
              <w:t xml:space="preserve"> 25,5x16,5x47,5mm</w:t>
            </w:r>
          </w:p>
          <w:p w14:paraId="72923B37" w14:textId="2077E190" w:rsidR="00EC2713" w:rsidRPr="00157E4D" w:rsidRDefault="00EC2713" w:rsidP="00EC2713">
            <w:pPr>
              <w:jc w:val="left"/>
              <w:rPr>
                <w:szCs w:val="24"/>
              </w:rPr>
            </w:pPr>
            <w:r w:rsidRPr="005A3379">
              <w:t xml:space="preserve">- Điện thế 9v       </w:t>
            </w:r>
          </w:p>
        </w:tc>
      </w:tr>
      <w:tr w:rsidR="00EC2713" w:rsidRPr="00AE1046" w14:paraId="0327B63E" w14:textId="77777777" w:rsidTr="00DE36ED">
        <w:trPr>
          <w:trHeight w:val="701"/>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15DF2C6"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4C3770AB" w14:textId="69DC5BA8" w:rsidR="00EC2713" w:rsidRPr="00157E4D" w:rsidRDefault="00EC2713" w:rsidP="00EC2713">
            <w:pPr>
              <w:rPr>
                <w:szCs w:val="24"/>
              </w:rPr>
            </w:pPr>
            <w:r w:rsidRPr="005A3379">
              <w:t>Pin tiểu AA</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FE07773" w14:textId="0764120B" w:rsidR="00EC2713" w:rsidRPr="00C3180D" w:rsidRDefault="00EC2713" w:rsidP="00EC2713">
            <w:pPr>
              <w:jc w:val="left"/>
            </w:pPr>
            <w:r w:rsidRPr="00C3180D">
              <w:t>- Kích thước: đường kính 14,5mm x dài 50mm</w:t>
            </w:r>
            <w:r w:rsidR="00DE36ED">
              <w:t xml:space="preserve"> ±4</w:t>
            </w:r>
            <w:r w:rsidR="00C3180D" w:rsidRPr="00C3180D">
              <w:t>%</w:t>
            </w:r>
          </w:p>
          <w:p w14:paraId="05EA28B1" w14:textId="11537BDA" w:rsidR="00EC2713" w:rsidRPr="00C3180D" w:rsidRDefault="00EC2713" w:rsidP="00EC2713">
            <w:pPr>
              <w:jc w:val="left"/>
              <w:rPr>
                <w:szCs w:val="24"/>
              </w:rPr>
            </w:pPr>
            <w:r w:rsidRPr="00C3180D">
              <w:t>- Điện thế: 1,5V</w:t>
            </w:r>
          </w:p>
        </w:tc>
      </w:tr>
      <w:tr w:rsidR="00EC2713" w:rsidRPr="00AE1046" w14:paraId="7D808848" w14:textId="77777777" w:rsidTr="00DE36ED">
        <w:trPr>
          <w:trHeight w:val="696"/>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1649CDE" w14:textId="077E6BFE"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4BE2CB9C" w14:textId="51484456" w:rsidR="00EC2713" w:rsidRPr="00157E4D" w:rsidRDefault="00EC2713" w:rsidP="00EC2713">
            <w:pPr>
              <w:rPr>
                <w:szCs w:val="24"/>
              </w:rPr>
            </w:pPr>
            <w:r w:rsidRPr="005A3379">
              <w:t>Pin tiểu AAA</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B5A29D7" w14:textId="723493CB" w:rsidR="00EC2713" w:rsidRPr="00C3180D" w:rsidRDefault="00EC2713" w:rsidP="00EC2713">
            <w:pPr>
              <w:jc w:val="left"/>
            </w:pPr>
            <w:r w:rsidRPr="00C3180D">
              <w:t>- Kích thước</w:t>
            </w:r>
            <w:r w:rsidR="00DE36ED">
              <w:t xml:space="preserve">: </w:t>
            </w:r>
            <w:r w:rsidRPr="00C3180D">
              <w:t>đường kính 10,5mm x dài 44,5mm</w:t>
            </w:r>
            <w:r w:rsidR="00C3180D" w:rsidRPr="00C3180D">
              <w:t xml:space="preserve"> ±3%</w:t>
            </w:r>
          </w:p>
          <w:p w14:paraId="56AA0D24" w14:textId="0D0403B0" w:rsidR="00EC2713" w:rsidRPr="00C3180D" w:rsidRDefault="00EC2713" w:rsidP="00EC2713">
            <w:pPr>
              <w:jc w:val="left"/>
              <w:rPr>
                <w:szCs w:val="24"/>
              </w:rPr>
            </w:pPr>
            <w:r w:rsidRPr="00C3180D">
              <w:t>- Điện thế: 1,5V</w:t>
            </w:r>
          </w:p>
        </w:tc>
      </w:tr>
      <w:tr w:rsidR="00EC2713" w:rsidRPr="00AE1046" w14:paraId="2FEABD94" w14:textId="77777777" w:rsidTr="00DE36ED">
        <w:trPr>
          <w:trHeight w:val="69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AE78DD5"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00391D3E" w14:textId="2D0748B3" w:rsidR="00EC2713" w:rsidRPr="00157E4D" w:rsidRDefault="00EC2713" w:rsidP="00EC2713">
            <w:pPr>
              <w:rPr>
                <w:szCs w:val="24"/>
              </w:rPr>
            </w:pPr>
            <w:r w:rsidRPr="005A3379">
              <w:t>Mực dấu S62</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2E926C4C" w14:textId="77777777" w:rsidR="00EC2713" w:rsidRPr="005A3379" w:rsidRDefault="00EC2713" w:rsidP="00EC2713">
            <w:pPr>
              <w:jc w:val="left"/>
            </w:pPr>
            <w:r w:rsidRPr="005A3379">
              <w:t>- Màu mực: đỏ</w:t>
            </w:r>
          </w:p>
          <w:p w14:paraId="2A23867A" w14:textId="4107F51C" w:rsidR="00EC2713" w:rsidRPr="00157E4D" w:rsidRDefault="00EC2713" w:rsidP="003677DE">
            <w:pPr>
              <w:jc w:val="left"/>
              <w:rPr>
                <w:szCs w:val="24"/>
              </w:rPr>
            </w:pPr>
            <w:r w:rsidRPr="005A3379">
              <w:t>- Dung tích</w:t>
            </w:r>
            <w:r w:rsidR="003677DE">
              <w:t xml:space="preserve"> ≥</w:t>
            </w:r>
            <w:r w:rsidRPr="005A3379">
              <w:t xml:space="preserve"> 28ml</w:t>
            </w:r>
          </w:p>
        </w:tc>
      </w:tr>
      <w:tr w:rsidR="00EC2713" w:rsidRPr="00AE1046" w14:paraId="51D9EB44" w14:textId="77777777" w:rsidTr="00DE36ED">
        <w:trPr>
          <w:trHeight w:val="70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D81C8AB"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16FBF8AD" w14:textId="4CEE321E" w:rsidR="00EC2713" w:rsidRPr="00157E4D" w:rsidRDefault="00EC2713" w:rsidP="00EC2713">
            <w:pPr>
              <w:rPr>
                <w:szCs w:val="24"/>
              </w:rPr>
            </w:pPr>
            <w:r w:rsidRPr="005A3379">
              <w:t>Ghế đẩu nhựa</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5B7FD34C" w14:textId="722B7492" w:rsidR="00EC2713" w:rsidRPr="00157E4D" w:rsidRDefault="00EC2713" w:rsidP="00E84BD8">
            <w:pPr>
              <w:jc w:val="left"/>
              <w:rPr>
                <w:szCs w:val="24"/>
              </w:rPr>
            </w:pPr>
            <w:r w:rsidRPr="005A3379">
              <w:t>- Kích thước</w:t>
            </w:r>
            <w:r w:rsidR="00FB7EA5">
              <w:t xml:space="preserve"> (DxRxC) ≥</w:t>
            </w:r>
            <w:r w:rsidRPr="005A3379">
              <w:t xml:space="preserve"> (34,5 x 34,5 x 43,5)cm</w:t>
            </w:r>
            <w:r w:rsidRPr="005A3379">
              <w:br/>
              <w:t>- Chất liệu: Nhựa PP</w:t>
            </w:r>
          </w:p>
        </w:tc>
      </w:tr>
      <w:tr w:rsidR="00EC2713" w:rsidRPr="00AE1046" w14:paraId="7C50807E" w14:textId="77777777" w:rsidTr="00DE36ED">
        <w:trPr>
          <w:trHeight w:val="1124"/>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7D44297"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650B7D02" w14:textId="120B2EA1" w:rsidR="00EC2713" w:rsidRPr="00157E4D" w:rsidRDefault="00EC2713" w:rsidP="00EC2713">
            <w:pPr>
              <w:rPr>
                <w:szCs w:val="24"/>
              </w:rPr>
            </w:pPr>
            <w:r w:rsidRPr="005A3379">
              <w:t>Khóa tay gạt cửa nhựa</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3E81C98E" w14:textId="77777777" w:rsidR="00EC2713" w:rsidRPr="005A3379" w:rsidRDefault="00EC2713" w:rsidP="00EC2713">
            <w:pPr>
              <w:jc w:val="left"/>
            </w:pPr>
            <w:r w:rsidRPr="005A3379">
              <w:t>- Màu sắc: trắng.</w:t>
            </w:r>
          </w:p>
          <w:p w14:paraId="141E1F29" w14:textId="77777777" w:rsidR="00EC2713" w:rsidRPr="005A3379" w:rsidRDefault="00EC2713" w:rsidP="00EC2713">
            <w:pPr>
              <w:jc w:val="left"/>
            </w:pPr>
            <w:r w:rsidRPr="005A3379">
              <w:t>- Sản phẩm gồm: 02 tay gạt, 01 thân khóa, 01 lõi khóa, 01 miệng khóa, 03 chìa.</w:t>
            </w:r>
          </w:p>
          <w:p w14:paraId="04C7B3FC" w14:textId="629E21D0" w:rsidR="00EC2713" w:rsidRPr="00157E4D" w:rsidRDefault="00EC2713" w:rsidP="00EC2713">
            <w:pPr>
              <w:jc w:val="left"/>
              <w:rPr>
                <w:szCs w:val="24"/>
              </w:rPr>
            </w:pPr>
            <w:r w:rsidRPr="005A3379">
              <w:t xml:space="preserve">- Dùng cho cửa nhựa lõi thép hệ 4500 Việt Pháp hoặc tương đương  </w:t>
            </w:r>
          </w:p>
        </w:tc>
      </w:tr>
      <w:tr w:rsidR="00EC2713" w:rsidRPr="00AE1046" w14:paraId="2E61E6F9" w14:textId="77777777" w:rsidTr="00DE36ED">
        <w:trPr>
          <w:trHeight w:val="567"/>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6388AB57"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0D22169B" w14:textId="2FA3F7BF" w:rsidR="00EC2713" w:rsidRPr="00157E4D" w:rsidRDefault="00EC2713" w:rsidP="00EC2713">
            <w:pPr>
              <w:rPr>
                <w:szCs w:val="24"/>
              </w:rPr>
            </w:pPr>
            <w:r w:rsidRPr="005A3379">
              <w:t>Khóa tay gạt cửa nhôm</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6FC9DE4B" w14:textId="6E048E93" w:rsidR="00EC2713" w:rsidRPr="00157E4D" w:rsidRDefault="00EC2713" w:rsidP="00EC2713">
            <w:pPr>
              <w:jc w:val="left"/>
              <w:rPr>
                <w:szCs w:val="24"/>
              </w:rPr>
            </w:pPr>
            <w:r w:rsidRPr="005A3379">
              <w:t>- Chất liệu: đồng thau, inox, tôn thép; ổ khóa bằng đồng</w:t>
            </w:r>
            <w:r w:rsidRPr="005A3379">
              <w:br/>
              <w:t>- Kiểu dáng: tay gạt. Số chìa: 4 chìa.</w:t>
            </w:r>
            <w:r w:rsidRPr="005A3379">
              <w:br/>
              <w:t>- Chiều dày khung cửa: 30</w:t>
            </w:r>
            <w:r w:rsidR="003677DE">
              <w:t xml:space="preserve"> </w:t>
            </w:r>
            <w:r w:rsidRPr="005A3379">
              <w:t>-</w:t>
            </w:r>
            <w:r w:rsidR="003677DE">
              <w:t xml:space="preserve"> </w:t>
            </w:r>
            <w:r w:rsidRPr="005A3379">
              <w:t xml:space="preserve">60mm                </w:t>
            </w:r>
          </w:p>
        </w:tc>
      </w:tr>
      <w:tr w:rsidR="00EC2713" w:rsidRPr="00AE1046" w14:paraId="70FD9F73" w14:textId="77777777" w:rsidTr="00DE36ED">
        <w:trPr>
          <w:trHeight w:val="821"/>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51433C5"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3312E309" w14:textId="5A99DBC4" w:rsidR="00EC2713" w:rsidRPr="00157E4D" w:rsidRDefault="00EC2713" w:rsidP="00EC2713">
            <w:pPr>
              <w:rPr>
                <w:szCs w:val="24"/>
              </w:rPr>
            </w:pPr>
            <w:r w:rsidRPr="005A3379">
              <w:t>Khóa cửa treo</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3C696658" w14:textId="0E09BD4F" w:rsidR="00E72F7A" w:rsidRDefault="003154AD" w:rsidP="00EC2713">
            <w:pPr>
              <w:jc w:val="left"/>
            </w:pPr>
            <w:r>
              <w:t xml:space="preserve">- </w:t>
            </w:r>
            <w:r w:rsidR="00976EBA">
              <w:t>Kích thước ≥</w:t>
            </w:r>
            <w:r w:rsidRPr="003154AD">
              <w:t xml:space="preserve"> </w:t>
            </w:r>
            <w:r w:rsidR="00976EBA" w:rsidRPr="00976EBA">
              <w:t>(51x33x29x14)</w:t>
            </w:r>
            <w:r w:rsidRPr="003154AD">
              <w:t>mm</w:t>
            </w:r>
          </w:p>
          <w:p w14:paraId="7DD439FD" w14:textId="0B1B9680" w:rsidR="00EC2713" w:rsidRPr="00DE36ED" w:rsidRDefault="00EC2713" w:rsidP="00EC2713">
            <w:pPr>
              <w:jc w:val="left"/>
            </w:pPr>
            <w:r w:rsidRPr="00DE36ED">
              <w:t>- Chất liệu: Đồng</w:t>
            </w:r>
          </w:p>
          <w:p w14:paraId="769C9B45" w14:textId="646829E1" w:rsidR="00EC2713" w:rsidRPr="00E72F7A" w:rsidRDefault="00EC2713" w:rsidP="00EC2713">
            <w:pPr>
              <w:jc w:val="left"/>
            </w:pPr>
            <w:r w:rsidRPr="00DE36ED">
              <w:t xml:space="preserve">- Số chìa: 3 chìa. </w:t>
            </w:r>
          </w:p>
        </w:tc>
      </w:tr>
      <w:tr w:rsidR="00EC2713" w:rsidRPr="00AE1046" w14:paraId="5BD630E0" w14:textId="77777777" w:rsidTr="00DE36ED">
        <w:trPr>
          <w:trHeight w:val="83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35FB758A"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0AD90694" w14:textId="5C851D99" w:rsidR="00EC2713" w:rsidRPr="00157E4D" w:rsidRDefault="00EC2713" w:rsidP="00EC2713">
            <w:pPr>
              <w:rPr>
                <w:szCs w:val="24"/>
              </w:rPr>
            </w:pPr>
            <w:r w:rsidRPr="005A3379">
              <w:t>Hòm tôn</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42DE0E44" w14:textId="388137C3" w:rsidR="00EC2713" w:rsidRPr="00DE36ED" w:rsidRDefault="003677DE" w:rsidP="001D7983">
            <w:pPr>
              <w:jc w:val="left"/>
              <w:rPr>
                <w:szCs w:val="24"/>
              </w:rPr>
            </w:pPr>
            <w:r w:rsidRPr="00DE36ED">
              <w:t>- Kích thước (</w:t>
            </w:r>
            <w:r w:rsidR="00CA5850" w:rsidRPr="00DE36ED">
              <w:t>D</w:t>
            </w:r>
            <w:bookmarkStart w:id="1" w:name="_GoBack"/>
            <w:bookmarkEnd w:id="1"/>
            <w:r w:rsidR="00CA5850" w:rsidRPr="00DE36ED">
              <w:t>xRxC</w:t>
            </w:r>
            <w:r w:rsidRPr="00DE36ED">
              <w:t xml:space="preserve">) </w:t>
            </w:r>
            <w:r w:rsidR="001D7983" w:rsidRPr="001D7983">
              <w:t>≥</w:t>
            </w:r>
            <w:r w:rsidR="001D7983">
              <w:t xml:space="preserve"> </w:t>
            </w:r>
            <w:r w:rsidR="00EC2713" w:rsidRPr="00DE36ED">
              <w:t xml:space="preserve">70cmx40cmx40cm </w:t>
            </w:r>
            <w:r w:rsidR="00EC2713" w:rsidRPr="00DE36ED">
              <w:br/>
              <w:t>- Quy cách: hai tay xách hai bên, một bách khóa giữ</w:t>
            </w:r>
            <w:r w:rsidR="00DE36ED">
              <w:t>a,mặt ngoài</w:t>
            </w:r>
            <w:r w:rsidR="00EC2713" w:rsidRPr="00DE36ED">
              <w:t xml:space="preserve"> được tráng chất liệu kẽm  </w:t>
            </w:r>
          </w:p>
        </w:tc>
      </w:tr>
      <w:tr w:rsidR="00EC2713" w:rsidRPr="00AE1046" w14:paraId="2C9AF3EA" w14:textId="77777777" w:rsidTr="00DE36ED">
        <w:trPr>
          <w:trHeight w:val="1269"/>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0ABF3D9B"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65AB2039" w14:textId="561FBF0F" w:rsidR="00EC2713" w:rsidRPr="00157E4D" w:rsidRDefault="00EC2713" w:rsidP="00EC2713">
            <w:pPr>
              <w:rPr>
                <w:szCs w:val="24"/>
              </w:rPr>
            </w:pPr>
            <w:r w:rsidRPr="005A3379">
              <w:t xml:space="preserve">Chiếu nhựa                   </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71001E65" w14:textId="3BEBA03B" w:rsidR="00EC2713" w:rsidRPr="00157E4D" w:rsidRDefault="00EC2713" w:rsidP="005A2C10">
            <w:pPr>
              <w:jc w:val="left"/>
              <w:rPr>
                <w:szCs w:val="24"/>
              </w:rPr>
            </w:pPr>
            <w:r w:rsidRPr="005A3379">
              <w:t>- Chất liệu: Sợi nhựa, nhựa nguyên sinh PP, chỉ cotton. Có may viền vải xung quanh một mép chiếu.</w:t>
            </w:r>
            <w:r w:rsidRPr="005A3379">
              <w:br/>
              <w:t>- Kích thước (</w:t>
            </w:r>
            <w:r w:rsidR="005A2C10">
              <w:t>DxR</w:t>
            </w:r>
            <w:r w:rsidRPr="005A3379">
              <w:t xml:space="preserve">): (1,9x0,8)m ±1%             </w:t>
            </w:r>
            <w:r w:rsidRPr="005A3379">
              <w:br/>
              <w:t>- Độ dày</w:t>
            </w:r>
            <w:r w:rsidR="003677DE">
              <w:t>:</w:t>
            </w:r>
            <w:r w:rsidRPr="005A3379">
              <w:t xml:space="preserve"> 2mm±10%             </w:t>
            </w:r>
          </w:p>
        </w:tc>
      </w:tr>
      <w:tr w:rsidR="00EC2713" w:rsidRPr="00AE1046" w14:paraId="4B60D35F" w14:textId="77777777" w:rsidTr="00DE36ED">
        <w:trPr>
          <w:trHeight w:val="1387"/>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8247113"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3912CD3B" w14:textId="3E2B69B1" w:rsidR="00EC2713" w:rsidRPr="00157E4D" w:rsidRDefault="00EC2713" w:rsidP="00EC2713">
            <w:pPr>
              <w:rPr>
                <w:szCs w:val="24"/>
              </w:rPr>
            </w:pPr>
            <w:r w:rsidRPr="005A3379">
              <w:t xml:space="preserve">Bảng viết di động             </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2158166B" w14:textId="15FD0972" w:rsidR="00EC2713" w:rsidRPr="00157E4D" w:rsidRDefault="00EC2713" w:rsidP="001D7983">
            <w:pPr>
              <w:jc w:val="left"/>
              <w:rPr>
                <w:szCs w:val="24"/>
              </w:rPr>
            </w:pPr>
            <w:r w:rsidRPr="005A3379">
              <w:t>- Kích thước (</w:t>
            </w:r>
            <w:r w:rsidR="001D7983">
              <w:t xml:space="preserve">dài </w:t>
            </w:r>
            <w:r w:rsidR="00991D94">
              <w:t>x</w:t>
            </w:r>
            <w:r w:rsidR="001D7983">
              <w:t xml:space="preserve"> rộng)</w:t>
            </w:r>
            <w:r w:rsidR="00A67B12">
              <w:t xml:space="preserve"> </w:t>
            </w:r>
            <w:r w:rsidR="002827D0">
              <w:t>≥</w:t>
            </w:r>
            <w:r w:rsidRPr="005A3379">
              <w:t xml:space="preserve"> (1000x1200)mm                             </w:t>
            </w:r>
            <w:r w:rsidRPr="005A3379">
              <w:br/>
              <w:t xml:space="preserve">- Chất liệu: thép từ tính                                      </w:t>
            </w:r>
            <w:r w:rsidRPr="005A3379">
              <w:br/>
              <w:t xml:space="preserve">- Màu sắc: trắng                                                           </w:t>
            </w:r>
            <w:r w:rsidRPr="005A3379">
              <w:br/>
              <w:t xml:space="preserve">- Loại mặt: kẻ ô vuông kích thước 50x50mm                       </w:t>
            </w:r>
            <w:r w:rsidRPr="005A3379">
              <w:br/>
              <w:t>- Được gắn cố định trên khung sắt hộp sơn tĩnh điện, chân bảng có 4  bánh xe giúp bảng di chuyển dễ dàng tới các vị trí khác nhau, các bánh xe có chốt hãm</w:t>
            </w:r>
          </w:p>
        </w:tc>
      </w:tr>
      <w:tr w:rsidR="00EC2713" w:rsidRPr="00AE1046" w14:paraId="5BAC444B" w14:textId="77777777" w:rsidTr="00DE36ED">
        <w:trPr>
          <w:trHeight w:val="875"/>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5C878974"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56B10301" w14:textId="0406CA15" w:rsidR="00EC2713" w:rsidRPr="00157E4D" w:rsidRDefault="00EC2713" w:rsidP="00EC2713">
            <w:pPr>
              <w:rPr>
                <w:szCs w:val="24"/>
              </w:rPr>
            </w:pPr>
            <w:r w:rsidRPr="005A3379">
              <w:t xml:space="preserve">Giấy bóng dán kính </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5FCD225D" w14:textId="1492F819" w:rsidR="00EC2713" w:rsidRPr="00157E4D" w:rsidRDefault="00EC2713" w:rsidP="001D7983">
            <w:pPr>
              <w:jc w:val="left"/>
              <w:rPr>
                <w:szCs w:val="24"/>
              </w:rPr>
            </w:pPr>
            <w:r w:rsidRPr="005A3379">
              <w:t>- Kích thước (</w:t>
            </w:r>
            <w:r w:rsidR="001D7983">
              <w:t xml:space="preserve">dài </w:t>
            </w:r>
            <w:r w:rsidR="00A63B55">
              <w:t>x</w:t>
            </w:r>
            <w:r w:rsidR="001D7983">
              <w:t xml:space="preserve"> rộng</w:t>
            </w:r>
            <w:r w:rsidRPr="005A3379">
              <w:t xml:space="preserve">): (50x1)m                                             </w:t>
            </w:r>
            <w:r w:rsidRPr="005A3379">
              <w:br/>
              <w:t xml:space="preserve">- Giấy có lớp keo sẵn, dễ dàng thi công, dùng để dán kính làm mờ kính cản bớt ánh sáng vào phòng.      </w:t>
            </w:r>
          </w:p>
        </w:tc>
      </w:tr>
      <w:tr w:rsidR="00EC2713" w:rsidRPr="00AE1046" w14:paraId="0713AF90" w14:textId="77777777" w:rsidTr="00DE36ED">
        <w:trPr>
          <w:trHeight w:val="1129"/>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40AE97F2"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0507EC52" w14:textId="2C0C51A8" w:rsidR="00EC2713" w:rsidRPr="00157E4D" w:rsidRDefault="00EC2713" w:rsidP="00EC2713">
            <w:pPr>
              <w:rPr>
                <w:szCs w:val="24"/>
              </w:rPr>
            </w:pPr>
            <w:r w:rsidRPr="005A3379">
              <w:t>Bút lông dầu</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1C8E84C2" w14:textId="77777777" w:rsidR="00EC2713" w:rsidRPr="005A3379" w:rsidRDefault="00EC2713" w:rsidP="00EC2713">
            <w:pPr>
              <w:jc w:val="left"/>
            </w:pPr>
            <w:r w:rsidRPr="005A3379">
              <w:t>- Số đầu bút: 2</w:t>
            </w:r>
          </w:p>
          <w:p w14:paraId="2287C605" w14:textId="77777777" w:rsidR="00EC2713" w:rsidRPr="005A3379" w:rsidRDefault="00EC2713" w:rsidP="00EC2713">
            <w:pPr>
              <w:jc w:val="left"/>
            </w:pPr>
            <w:r w:rsidRPr="005A3379">
              <w:t>- Bề rộng nét viết: 1mm và 0,4mm</w:t>
            </w:r>
          </w:p>
          <w:p w14:paraId="4DC4627E" w14:textId="77777777" w:rsidR="00EC2713" w:rsidRPr="005A3379" w:rsidRDefault="00EC2713" w:rsidP="00EC2713">
            <w:pPr>
              <w:jc w:val="left"/>
            </w:pPr>
            <w:r w:rsidRPr="005A3379">
              <w:t>- Đầu bút bằng vật liệu Polyester</w:t>
            </w:r>
          </w:p>
          <w:p w14:paraId="1C01AB41" w14:textId="020349DA" w:rsidR="00EC2713" w:rsidRPr="00157E4D" w:rsidRDefault="00EC2713" w:rsidP="00EC2713">
            <w:pPr>
              <w:jc w:val="left"/>
              <w:rPr>
                <w:szCs w:val="24"/>
              </w:rPr>
            </w:pPr>
            <w:r w:rsidRPr="005A3379">
              <w:t>- Màu sắc: Màu xanh</w:t>
            </w:r>
          </w:p>
        </w:tc>
      </w:tr>
      <w:tr w:rsidR="00EC2713" w:rsidRPr="00AE1046" w14:paraId="39F478A6" w14:textId="77777777" w:rsidTr="00DE36ED">
        <w:trPr>
          <w:trHeight w:val="1532"/>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01F26DD2"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4C6BCDC1" w14:textId="353EF305" w:rsidR="00EC2713" w:rsidRPr="00157E4D" w:rsidRDefault="00EC2713" w:rsidP="00EC2713">
            <w:pPr>
              <w:rPr>
                <w:szCs w:val="24"/>
              </w:rPr>
            </w:pPr>
            <w:r w:rsidRPr="005A3379">
              <w:t>Bình thủy điện</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309BBD50" w14:textId="432251AE" w:rsidR="00EC2713" w:rsidRPr="005A3379" w:rsidRDefault="00EC2713" w:rsidP="00EC2713">
            <w:pPr>
              <w:jc w:val="left"/>
            </w:pPr>
            <w:r w:rsidRPr="005A3379">
              <w:t>- Dung tích</w:t>
            </w:r>
            <w:r w:rsidR="00A67B12">
              <w:t xml:space="preserve"> </w:t>
            </w:r>
            <w:r w:rsidR="003677DE">
              <w:t>≥</w:t>
            </w:r>
            <w:r w:rsidRPr="005A3379">
              <w:t xml:space="preserve"> 3,3 lít       </w:t>
            </w:r>
          </w:p>
          <w:p w14:paraId="61BA76D5" w14:textId="3CE323AA" w:rsidR="00EC2713" w:rsidRPr="005A3379" w:rsidRDefault="00EC2713" w:rsidP="00EC2713">
            <w:pPr>
              <w:jc w:val="left"/>
            </w:pPr>
            <w:r w:rsidRPr="005A3379">
              <w:t>- Công suất</w:t>
            </w:r>
            <w:r w:rsidR="00A67B12">
              <w:t xml:space="preserve"> </w:t>
            </w:r>
            <w:r w:rsidR="003677DE">
              <w:t>≥</w:t>
            </w:r>
            <w:r w:rsidRPr="005A3379">
              <w:t xml:space="preserve"> 750W</w:t>
            </w:r>
          </w:p>
          <w:p w14:paraId="496DC23D" w14:textId="6AF1FE97" w:rsidR="00EC2713" w:rsidRPr="005A3379" w:rsidRDefault="00EC2713" w:rsidP="00EC2713">
            <w:pPr>
              <w:jc w:val="left"/>
            </w:pPr>
            <w:r>
              <w:t xml:space="preserve">- </w:t>
            </w:r>
            <w:r w:rsidRPr="005A3379">
              <w:t xml:space="preserve">Chất liệu: Ruột bình inox 304, vỏ bình nhựa                                                           </w:t>
            </w:r>
            <w:r w:rsidRPr="005A3379">
              <w:br/>
              <w:t>- Chức năng: Đun sôi, giữ nóng</w:t>
            </w:r>
          </w:p>
          <w:p w14:paraId="5EC1555B" w14:textId="12C1777A" w:rsidR="00EC2713" w:rsidRPr="00157E4D" w:rsidRDefault="00EC2713" w:rsidP="00EC2713">
            <w:pPr>
              <w:jc w:val="left"/>
              <w:rPr>
                <w:szCs w:val="24"/>
              </w:rPr>
            </w:pPr>
            <w:r w:rsidRPr="005A3379">
              <w:t>- Tự ngắt khi cạn nước; tự đun sôi lại khi nước nguội</w:t>
            </w:r>
          </w:p>
        </w:tc>
      </w:tr>
      <w:tr w:rsidR="00EC2713" w:rsidRPr="00AE1046" w14:paraId="1E8FE94B" w14:textId="77777777" w:rsidTr="00DE36ED">
        <w:trPr>
          <w:trHeight w:val="725"/>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2A5EBD52"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0F91BA20" w14:textId="04A10CBF" w:rsidR="00EC2713" w:rsidRPr="00157E4D" w:rsidRDefault="00EC2713" w:rsidP="00EC2713">
            <w:pPr>
              <w:rPr>
                <w:szCs w:val="24"/>
              </w:rPr>
            </w:pPr>
            <w:r w:rsidRPr="005A3379">
              <w:t>Ấm siêu tốc</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6966DFA3" w14:textId="2A4EF669" w:rsidR="00EC2713" w:rsidRPr="005A3379" w:rsidRDefault="00EC2713" w:rsidP="00EC2713">
            <w:pPr>
              <w:jc w:val="left"/>
            </w:pPr>
            <w:r w:rsidRPr="005A3379">
              <w:t>- Dung tích</w:t>
            </w:r>
            <w:r w:rsidR="00A67B12">
              <w:t xml:space="preserve"> </w:t>
            </w:r>
            <w:r w:rsidR="003677DE">
              <w:t>≥</w:t>
            </w:r>
            <w:r w:rsidRPr="005A3379">
              <w:t xml:space="preserve"> 1,8L</w:t>
            </w:r>
          </w:p>
          <w:p w14:paraId="2A9E622F" w14:textId="77777777" w:rsidR="00EC2713" w:rsidRPr="005A3379" w:rsidRDefault="00EC2713" w:rsidP="00EC2713">
            <w:pPr>
              <w:jc w:val="left"/>
            </w:pPr>
            <w:r w:rsidRPr="005A3379">
              <w:t>- Chất liệu ruột bình: inox</w:t>
            </w:r>
          </w:p>
          <w:p w14:paraId="1929631E" w14:textId="6D67689B" w:rsidR="00EC2713" w:rsidRPr="005A3379" w:rsidRDefault="00EC2713" w:rsidP="00EC2713">
            <w:pPr>
              <w:jc w:val="left"/>
            </w:pPr>
            <w:r w:rsidRPr="005A3379">
              <w:t>- Chất</w:t>
            </w:r>
            <w:r w:rsidR="00291B4C">
              <w:t xml:space="preserve"> liệu vỏ</w:t>
            </w:r>
            <w:r w:rsidRPr="005A3379">
              <w:t xml:space="preserve"> Nhựa PP</w:t>
            </w:r>
          </w:p>
          <w:p w14:paraId="63CC38A8" w14:textId="0D13A70A" w:rsidR="00EC2713" w:rsidRPr="005A3379" w:rsidRDefault="00EC2713" w:rsidP="00EC2713">
            <w:pPr>
              <w:jc w:val="left"/>
            </w:pPr>
            <w:r w:rsidRPr="005A3379">
              <w:t>- Công suất</w:t>
            </w:r>
            <w:r w:rsidR="00A67B12">
              <w:t xml:space="preserve"> </w:t>
            </w:r>
            <w:r w:rsidR="003677DE">
              <w:t>≥</w:t>
            </w:r>
            <w:r w:rsidRPr="005A3379">
              <w:t xml:space="preserve"> 1500W</w:t>
            </w:r>
          </w:p>
          <w:p w14:paraId="649E0E1A" w14:textId="2CA67F2A" w:rsidR="00EC2713" w:rsidRPr="00157E4D" w:rsidRDefault="00EC2713" w:rsidP="00EC2713">
            <w:pPr>
              <w:jc w:val="left"/>
              <w:rPr>
                <w:szCs w:val="24"/>
              </w:rPr>
            </w:pPr>
            <w:r w:rsidRPr="005A3379">
              <w:t>- Tính năng an toàn: Tự ngắt điện khi nước sôi</w:t>
            </w:r>
          </w:p>
        </w:tc>
      </w:tr>
      <w:tr w:rsidR="00EC2713" w:rsidRPr="00AE1046" w14:paraId="5CBD1499" w14:textId="77777777" w:rsidTr="00DE36ED">
        <w:trPr>
          <w:trHeight w:val="746"/>
        </w:trPr>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tcPr>
          <w:p w14:paraId="127148F0" w14:textId="77777777" w:rsidR="00EC2713" w:rsidRPr="00157E4D" w:rsidRDefault="00EC2713" w:rsidP="00EC2713">
            <w:pPr>
              <w:pStyle w:val="ListParagraph"/>
              <w:numPr>
                <w:ilvl w:val="0"/>
                <w:numId w:val="2"/>
              </w:numPr>
              <w:jc w:val="left"/>
              <w:rPr>
                <w:szCs w:val="24"/>
              </w:rPr>
            </w:pPr>
          </w:p>
        </w:tc>
        <w:tc>
          <w:tcPr>
            <w:tcW w:w="2528" w:type="dxa"/>
            <w:tcBorders>
              <w:top w:val="single" w:sz="4" w:space="0" w:color="auto"/>
              <w:bottom w:val="single" w:sz="4" w:space="0" w:color="auto"/>
              <w:right w:val="single" w:sz="4" w:space="0" w:color="auto"/>
            </w:tcBorders>
            <w:shd w:val="clear" w:color="000000" w:fill="FFFFFF"/>
            <w:vAlign w:val="center"/>
          </w:tcPr>
          <w:p w14:paraId="1F07D3DD" w14:textId="18FE56B3" w:rsidR="00EC2713" w:rsidRPr="00157E4D" w:rsidRDefault="00EC2713" w:rsidP="00EC2713">
            <w:pPr>
              <w:rPr>
                <w:szCs w:val="24"/>
              </w:rPr>
            </w:pPr>
            <w:r w:rsidRPr="005A3379">
              <w:t>Thảm nhựa lau chân</w:t>
            </w:r>
          </w:p>
        </w:tc>
        <w:tc>
          <w:tcPr>
            <w:tcW w:w="6946" w:type="dxa"/>
            <w:tcBorders>
              <w:top w:val="single" w:sz="4" w:space="0" w:color="auto"/>
              <w:left w:val="single" w:sz="4" w:space="0" w:color="auto"/>
              <w:bottom w:val="single" w:sz="4" w:space="0" w:color="auto"/>
              <w:right w:val="single" w:sz="4" w:space="0" w:color="auto"/>
            </w:tcBorders>
            <w:shd w:val="clear" w:color="000000" w:fill="FFFFFF"/>
            <w:vAlign w:val="center"/>
          </w:tcPr>
          <w:p w14:paraId="046CF3D8" w14:textId="5A7F9FF8" w:rsidR="00EC2713" w:rsidRPr="005A3379" w:rsidRDefault="00EC2713" w:rsidP="00EC2713">
            <w:pPr>
              <w:jc w:val="left"/>
            </w:pPr>
            <w:r w:rsidRPr="005A3379">
              <w:t>- Kích thước</w:t>
            </w:r>
            <w:r w:rsidR="00ED1319">
              <w:t xml:space="preserve"> (RxD) ≥</w:t>
            </w:r>
            <w:r w:rsidRPr="005A3379">
              <w:t xml:space="preserve"> 50cm x 70cm</w:t>
            </w:r>
          </w:p>
          <w:p w14:paraId="0A57935D" w14:textId="6D28E2BB" w:rsidR="00EC2713" w:rsidRPr="00157E4D" w:rsidRDefault="00EC2713" w:rsidP="003677DE">
            <w:pPr>
              <w:jc w:val="left"/>
              <w:rPr>
                <w:szCs w:val="24"/>
              </w:rPr>
            </w:pPr>
            <w:r w:rsidRPr="005A3379">
              <w:t>- Độ dày</w:t>
            </w:r>
            <w:r w:rsidR="00291B4C">
              <w:t xml:space="preserve"> </w:t>
            </w:r>
            <w:r w:rsidR="003677DE">
              <w:t>≥</w:t>
            </w:r>
            <w:r w:rsidRPr="005A3379">
              <w:t xml:space="preserve"> 3mm</w:t>
            </w:r>
          </w:p>
        </w:tc>
      </w:tr>
    </w:tbl>
    <w:p w14:paraId="36D6D5CD" w14:textId="77777777" w:rsidR="00AF6DF6" w:rsidRPr="00AF6DF6" w:rsidRDefault="00AF6DF6" w:rsidP="00AF6DF6">
      <w:pPr>
        <w:spacing w:line="276" w:lineRule="auto"/>
        <w:ind w:firstLine="567"/>
        <w:rPr>
          <w:sz w:val="26"/>
          <w:szCs w:val="26"/>
        </w:rPr>
      </w:pPr>
      <w:r w:rsidRPr="00AF6DF6">
        <w:rPr>
          <w:sz w:val="26"/>
          <w:szCs w:val="26"/>
        </w:rPr>
        <w:t xml:space="preserve">- Các thông số kỹ thuật và các tiêu chuẩn trên không nhằm mục đích hạn chế nhà thầu. Nhà thầu có thể chào các mặt hàng có cấu hình, đặc tính, thông số kỹ thuật và các tiêu chuẩn tương đương hoặc tốt hơn. Trong trường hợp đó, nhà thầu phải có tài liệu chứng minh mặt hàng dự thầu có thông số kỹ thuật và các tiêu chuẩn tương đương hoặc tốt hơn.  </w:t>
      </w:r>
    </w:p>
    <w:p w14:paraId="17A8CD3D" w14:textId="0084FC7F" w:rsidR="00AF6DF6" w:rsidRPr="00AF6DF6" w:rsidRDefault="00AF6DF6" w:rsidP="00AF6DF6">
      <w:pPr>
        <w:spacing w:line="276" w:lineRule="auto"/>
        <w:ind w:firstLine="567"/>
        <w:rPr>
          <w:sz w:val="26"/>
          <w:szCs w:val="26"/>
        </w:rPr>
      </w:pPr>
      <w:r w:rsidRPr="00AF6DF6">
        <w:rPr>
          <w:sz w:val="26"/>
          <w:szCs w:val="26"/>
        </w:rPr>
        <w:t xml:space="preserve">- Nhà thầu phải chào đầy đủ </w:t>
      </w:r>
      <w:r w:rsidR="00355C62">
        <w:rPr>
          <w:sz w:val="26"/>
          <w:szCs w:val="26"/>
        </w:rPr>
        <w:t xml:space="preserve">xuất xứ, hãng sản xuất và </w:t>
      </w:r>
      <w:r w:rsidRPr="00AF6DF6">
        <w:rPr>
          <w:sz w:val="26"/>
          <w:szCs w:val="26"/>
        </w:rPr>
        <w:t>cấu hình, tính năng kỹ thuật cơ bản của hàng hóa nhà thầu dự thầu tại mẫu số 10B chương IV của E-HSMT (Đề xuất v</w:t>
      </w:r>
      <w:r w:rsidR="00F5514F">
        <w:rPr>
          <w:sz w:val="26"/>
          <w:szCs w:val="26"/>
        </w:rPr>
        <w:t>ề hàng hóa của nhà thầu)</w:t>
      </w:r>
      <w:r w:rsidR="00341AF0">
        <w:rPr>
          <w:sz w:val="26"/>
          <w:szCs w:val="26"/>
        </w:rPr>
        <w:t>.</w:t>
      </w:r>
      <w:r w:rsidR="00F5514F">
        <w:rPr>
          <w:sz w:val="26"/>
          <w:szCs w:val="26"/>
        </w:rPr>
        <w:t xml:space="preserve"> </w:t>
      </w:r>
      <w:r w:rsidR="00341AF0" w:rsidRPr="00341AF0">
        <w:rPr>
          <w:sz w:val="26"/>
          <w:szCs w:val="26"/>
        </w:rPr>
        <w:t>Các thông tin cần thiết khác (nếu có) nhà th</w:t>
      </w:r>
      <w:r w:rsidR="005E3700">
        <w:rPr>
          <w:sz w:val="26"/>
          <w:szCs w:val="26"/>
        </w:rPr>
        <w:t>ầu tham khảo mẫu tại Phụ lục 1 -</w:t>
      </w:r>
      <w:r w:rsidR="00341AF0" w:rsidRPr="00341AF0">
        <w:rPr>
          <w:sz w:val="26"/>
          <w:szCs w:val="26"/>
        </w:rPr>
        <w:t xml:space="preserve"> Bảng đáp ứng kỹ thuật của hàng hóa kèm theo.</w:t>
      </w:r>
    </w:p>
    <w:p w14:paraId="2D5EC9F5" w14:textId="03315C26" w:rsidR="006F7DE1" w:rsidRPr="00AE1046" w:rsidRDefault="00E05C23" w:rsidP="00AF6DF6">
      <w:pPr>
        <w:spacing w:line="276" w:lineRule="auto"/>
        <w:ind w:firstLine="567"/>
        <w:rPr>
          <w:b/>
          <w:sz w:val="26"/>
          <w:szCs w:val="26"/>
        </w:rPr>
      </w:pPr>
      <w:r>
        <w:rPr>
          <w:b/>
          <w:sz w:val="26"/>
          <w:szCs w:val="26"/>
        </w:rPr>
        <w:t>1</w:t>
      </w:r>
      <w:r w:rsidR="006F7DE1" w:rsidRPr="00AE1046">
        <w:rPr>
          <w:b/>
          <w:sz w:val="26"/>
          <w:szCs w:val="26"/>
        </w:rPr>
        <w:t>.</w:t>
      </w:r>
      <w:r w:rsidR="001E1829" w:rsidRPr="00AE1046">
        <w:rPr>
          <w:b/>
          <w:sz w:val="26"/>
          <w:szCs w:val="26"/>
          <w:lang w:val="vi-VN"/>
        </w:rPr>
        <w:t>3</w:t>
      </w:r>
      <w:r w:rsidR="004159B1" w:rsidRPr="00AE1046">
        <w:rPr>
          <w:b/>
          <w:sz w:val="26"/>
          <w:szCs w:val="26"/>
        </w:rPr>
        <w:t>. Các yêu cầu khác</w:t>
      </w:r>
    </w:p>
    <w:p w14:paraId="7931649A" w14:textId="6F3BDFF9" w:rsidR="001215F6" w:rsidRPr="00AE1046" w:rsidRDefault="001215F6" w:rsidP="00222FDC">
      <w:pPr>
        <w:spacing w:line="276" w:lineRule="auto"/>
        <w:ind w:firstLine="567"/>
        <w:rPr>
          <w:sz w:val="26"/>
          <w:szCs w:val="26"/>
          <w:lang w:val="es-ES"/>
        </w:rPr>
      </w:pPr>
      <w:r w:rsidRPr="00AE1046">
        <w:rPr>
          <w:sz w:val="26"/>
          <w:szCs w:val="26"/>
          <w:shd w:val="clear" w:color="auto" w:fill="FFFFFF"/>
          <w:lang w:val="it-IT"/>
        </w:rPr>
        <w:t>* Nhà thầu phải cam kết</w:t>
      </w:r>
      <w:r w:rsidR="00363FD8" w:rsidRPr="00AE1046">
        <w:rPr>
          <w:sz w:val="26"/>
          <w:szCs w:val="26"/>
          <w:shd w:val="clear" w:color="auto" w:fill="FFFFFF"/>
          <w:lang w:val="it-IT"/>
        </w:rPr>
        <w:t xml:space="preserve"> trong E-HSDT </w:t>
      </w:r>
      <w:r w:rsidRPr="00AE1046">
        <w:rPr>
          <w:sz w:val="26"/>
          <w:szCs w:val="26"/>
          <w:shd w:val="clear" w:color="auto" w:fill="FFFFFF"/>
          <w:lang w:val="it-IT"/>
        </w:rPr>
        <w:t>:</w:t>
      </w:r>
      <w:r w:rsidRPr="00AE1046">
        <w:rPr>
          <w:sz w:val="26"/>
          <w:szCs w:val="26"/>
          <w:lang w:val="es-ES"/>
        </w:rPr>
        <w:t xml:space="preserve"> </w:t>
      </w:r>
    </w:p>
    <w:p w14:paraId="30019DA9" w14:textId="77777777" w:rsidR="002037BF" w:rsidRPr="002037BF" w:rsidRDefault="002037BF" w:rsidP="00222FDC">
      <w:pPr>
        <w:spacing w:line="276" w:lineRule="auto"/>
        <w:ind w:firstLine="567"/>
        <w:rPr>
          <w:sz w:val="26"/>
          <w:szCs w:val="26"/>
          <w:lang w:val="es-ES"/>
        </w:rPr>
      </w:pPr>
      <w:r w:rsidRPr="002037BF">
        <w:rPr>
          <w:sz w:val="26"/>
          <w:szCs w:val="26"/>
          <w:lang w:val="es-ES"/>
        </w:rPr>
        <w:t>- Trong quá trình giao hàng và nghiệm thu hàng hóa nếu hàng bị lỗi kỹ thuật và lỗi do nhà sản xuất hoặc hàng bị hư hỏng trong quá trình vận chuyển hàng hóa thì trong vòng 5 ngày nhà thầu phải đổi trả hàng khác theo đúng hợp đồng đã ký cho Bệnh viện.</w:t>
      </w:r>
    </w:p>
    <w:p w14:paraId="33B5C637" w14:textId="7E3AFAE1" w:rsidR="001215F6" w:rsidRDefault="002037BF" w:rsidP="00222FDC">
      <w:pPr>
        <w:spacing w:line="276" w:lineRule="auto"/>
        <w:ind w:firstLine="567"/>
        <w:rPr>
          <w:sz w:val="26"/>
          <w:szCs w:val="26"/>
          <w:lang w:val="es-ES"/>
        </w:rPr>
      </w:pPr>
      <w:r w:rsidRPr="002037BF">
        <w:rPr>
          <w:sz w:val="26"/>
          <w:szCs w:val="26"/>
          <w:lang w:val="es-ES"/>
        </w:rPr>
        <w:t xml:space="preserve">- Cam kết thu hồi hàng hóa đã giao và chịu trách nhiệm bồi thường </w:t>
      </w:r>
      <w:r w:rsidR="008832A9">
        <w:rPr>
          <w:sz w:val="26"/>
          <w:szCs w:val="26"/>
          <w:lang w:val="es-ES"/>
        </w:rPr>
        <w:t xml:space="preserve">100% </w:t>
      </w:r>
      <w:r w:rsidRPr="002037BF">
        <w:rPr>
          <w:sz w:val="26"/>
          <w:szCs w:val="26"/>
          <w:lang w:val="es-ES"/>
        </w:rPr>
        <w:t xml:space="preserve">thiệt hại cho người bệnh và Bệnh viện Sản - Nhi Bắc Ninh số 1 nếu sản phẩm không đảm bảo chất lượng </w:t>
      </w:r>
      <w:r w:rsidRPr="002037BF">
        <w:rPr>
          <w:sz w:val="26"/>
          <w:szCs w:val="26"/>
          <w:lang w:val="es-ES"/>
        </w:rPr>
        <w:lastRenderedPageBreak/>
        <w:t xml:space="preserve">gây nên thiệt hại hoặc có thông báo thu hồi của cơ quan có thẩm quyền (mà không do lỗi của Bệnh viện Sản - Nhi Bắc Ninh số 1). </w:t>
      </w:r>
    </w:p>
    <w:p w14:paraId="37B78AEA" w14:textId="3CBB651E" w:rsidR="008832A9" w:rsidRDefault="00745742" w:rsidP="00222FDC">
      <w:pPr>
        <w:spacing w:line="276" w:lineRule="auto"/>
        <w:ind w:firstLine="567"/>
        <w:rPr>
          <w:sz w:val="26"/>
          <w:szCs w:val="26"/>
          <w:lang w:val="es-ES"/>
        </w:rPr>
      </w:pPr>
      <w:r>
        <w:rPr>
          <w:sz w:val="26"/>
          <w:szCs w:val="26"/>
          <w:lang w:val="es-ES"/>
        </w:rPr>
        <w:t xml:space="preserve">- </w:t>
      </w:r>
      <w:r w:rsidRPr="00745742">
        <w:rPr>
          <w:sz w:val="26"/>
          <w:szCs w:val="26"/>
          <w:lang w:val="es-ES"/>
        </w:rPr>
        <w:t xml:space="preserve">Cam kết </w:t>
      </w:r>
      <w:r w:rsidR="00640BCF">
        <w:rPr>
          <w:sz w:val="26"/>
          <w:szCs w:val="26"/>
          <w:lang w:val="es-ES"/>
        </w:rPr>
        <w:t>hàng hóa có xuất xứ, nguồn gốc rõ ràng.</w:t>
      </w:r>
    </w:p>
    <w:p w14:paraId="2E5FF2CB" w14:textId="4E1E8751" w:rsidR="002037BF" w:rsidRPr="00AE1046" w:rsidRDefault="002037BF" w:rsidP="00222FDC">
      <w:pPr>
        <w:spacing w:line="276" w:lineRule="auto"/>
        <w:ind w:firstLine="567"/>
        <w:rPr>
          <w:rFonts w:eastAsia="Calibri"/>
          <w:sz w:val="26"/>
          <w:szCs w:val="26"/>
        </w:rPr>
      </w:pPr>
      <w:r w:rsidRPr="002037BF">
        <w:rPr>
          <w:rFonts w:eastAsia="Calibri"/>
          <w:b/>
          <w:sz w:val="26"/>
          <w:szCs w:val="26"/>
        </w:rPr>
        <w:t>Mục 2. Bản vẽ:</w:t>
      </w:r>
      <w:r w:rsidRPr="002037BF">
        <w:rPr>
          <w:rFonts w:eastAsia="Calibri"/>
          <w:sz w:val="26"/>
          <w:szCs w:val="26"/>
        </w:rPr>
        <w:t xml:space="preserve"> Không yêu cầu</w:t>
      </w:r>
    </w:p>
    <w:p w14:paraId="4D075D55" w14:textId="3DB8184E" w:rsidR="00C74521" w:rsidRDefault="005F07DE" w:rsidP="00222FDC">
      <w:pPr>
        <w:spacing w:line="276" w:lineRule="auto"/>
        <w:ind w:right="-421" w:firstLine="567"/>
        <w:rPr>
          <w:b/>
          <w:sz w:val="26"/>
          <w:szCs w:val="26"/>
          <w:lang w:val="vi-VN"/>
        </w:rPr>
      </w:pPr>
      <w:r>
        <w:rPr>
          <w:b/>
          <w:sz w:val="26"/>
          <w:szCs w:val="26"/>
          <w:lang w:val="nl-NL"/>
        </w:rPr>
        <w:t>Mục 3</w:t>
      </w:r>
      <w:r w:rsidR="001215F6" w:rsidRPr="00AE1046">
        <w:rPr>
          <w:b/>
          <w:sz w:val="26"/>
          <w:szCs w:val="26"/>
          <w:lang w:val="nl-NL"/>
        </w:rPr>
        <w:t>. Kiểm tra và</w:t>
      </w:r>
      <w:r w:rsidR="00C74521" w:rsidRPr="00AE1046">
        <w:rPr>
          <w:b/>
          <w:sz w:val="26"/>
          <w:szCs w:val="26"/>
          <w:lang w:val="nl-NL"/>
        </w:rPr>
        <w:t xml:space="preserve"> </w:t>
      </w:r>
      <w:r w:rsidR="001215F6" w:rsidRPr="00AE1046">
        <w:rPr>
          <w:b/>
          <w:sz w:val="26"/>
          <w:szCs w:val="26"/>
          <w:lang w:val="vi-VN"/>
        </w:rPr>
        <w:t>thử nghiệm</w:t>
      </w:r>
    </w:p>
    <w:p w14:paraId="51C90DC7" w14:textId="77777777" w:rsidR="00133E00" w:rsidRPr="00133E00" w:rsidRDefault="00133E00" w:rsidP="00133E00">
      <w:pPr>
        <w:spacing w:line="276" w:lineRule="auto"/>
        <w:ind w:right="-421" w:firstLine="567"/>
        <w:rPr>
          <w:sz w:val="26"/>
          <w:szCs w:val="26"/>
          <w:lang w:val="vi-VN"/>
        </w:rPr>
      </w:pPr>
      <w:r w:rsidRPr="00133E00">
        <w:rPr>
          <w:sz w:val="26"/>
          <w:szCs w:val="26"/>
          <w:lang w:val="vi-VN"/>
        </w:rPr>
        <w:t>- Cách thức tiến hành kiểm tra được tiến hành công khai trước sự chứng kiến của 2 bên (Bên bán và bên mua):</w:t>
      </w:r>
    </w:p>
    <w:p w14:paraId="29226715" w14:textId="77777777" w:rsidR="00133E00" w:rsidRPr="00133E00" w:rsidRDefault="00133E00" w:rsidP="00133E00">
      <w:pPr>
        <w:spacing w:line="276" w:lineRule="auto"/>
        <w:ind w:right="-421" w:firstLine="567"/>
        <w:rPr>
          <w:sz w:val="26"/>
          <w:szCs w:val="26"/>
          <w:lang w:val="vi-VN"/>
        </w:rPr>
      </w:pPr>
      <w:r w:rsidRPr="00133E00">
        <w:rPr>
          <w:sz w:val="26"/>
          <w:szCs w:val="26"/>
          <w:lang w:val="vi-VN"/>
        </w:rPr>
        <w:t>- Trước khi giao hàng: Kiểm tra hóa đơn, chứng từ của hàng hóa.</w:t>
      </w:r>
    </w:p>
    <w:p w14:paraId="5A893A28" w14:textId="7A9C590C" w:rsidR="00F13DA8" w:rsidRDefault="00133E00" w:rsidP="00133E00">
      <w:pPr>
        <w:spacing w:line="276" w:lineRule="auto"/>
        <w:ind w:right="-421" w:firstLine="567"/>
        <w:rPr>
          <w:sz w:val="26"/>
          <w:szCs w:val="26"/>
          <w:lang w:val="vi-VN"/>
        </w:rPr>
      </w:pPr>
      <w:r w:rsidRPr="00133E00">
        <w:rPr>
          <w:sz w:val="26"/>
          <w:szCs w:val="26"/>
          <w:lang w:val="vi-VN"/>
        </w:rPr>
        <w:t xml:space="preserve">- Khi hàng hóa giao đến Bệnh viện: </w:t>
      </w:r>
      <w:r w:rsidR="009C6617" w:rsidRPr="009C6617">
        <w:rPr>
          <w:sz w:val="26"/>
          <w:szCs w:val="26"/>
          <w:lang w:val="vi-VN"/>
        </w:rPr>
        <w:t>Kiểm tra chủng loại, số lượng, chất lượng của hàng hóa đảm bảo theo đúng yêu cầu của E-HSMT và E-HSDT của nhà thầu.</w:t>
      </w:r>
    </w:p>
    <w:p w14:paraId="5B110D1B" w14:textId="77777777" w:rsidR="00F13DA8" w:rsidRDefault="00F13DA8">
      <w:pPr>
        <w:spacing w:after="160" w:line="259" w:lineRule="auto"/>
        <w:jc w:val="left"/>
        <w:rPr>
          <w:sz w:val="26"/>
          <w:szCs w:val="26"/>
          <w:lang w:val="vi-VN"/>
        </w:rPr>
      </w:pPr>
      <w:r>
        <w:rPr>
          <w:sz w:val="26"/>
          <w:szCs w:val="26"/>
          <w:lang w:val="vi-VN"/>
        </w:rPr>
        <w:br w:type="page"/>
      </w:r>
    </w:p>
    <w:p w14:paraId="1EBE0396" w14:textId="4904AF1E" w:rsidR="00133E00" w:rsidRPr="00F13DA8" w:rsidRDefault="00F13DA8" w:rsidP="00F13DA8">
      <w:pPr>
        <w:spacing w:line="276" w:lineRule="auto"/>
        <w:ind w:right="-421" w:firstLine="567"/>
        <w:jc w:val="right"/>
        <w:rPr>
          <w:b/>
          <w:sz w:val="26"/>
          <w:szCs w:val="26"/>
        </w:rPr>
      </w:pPr>
      <w:r w:rsidRPr="00F13DA8">
        <w:rPr>
          <w:b/>
          <w:sz w:val="26"/>
          <w:szCs w:val="26"/>
        </w:rPr>
        <w:lastRenderedPageBreak/>
        <w:t>Phụ lục 1</w:t>
      </w:r>
    </w:p>
    <w:p w14:paraId="3E6F5F1A"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BẢNG ĐÁP ỨNG KỸ THUẬT CỦA HÀNG HÓA DỰ THẦU</w:t>
      </w:r>
    </w:p>
    <w:p w14:paraId="53BEFFBE" w14:textId="5F0E30B4" w:rsidR="00F13DA8" w:rsidRDefault="00F13DA8" w:rsidP="007147EB">
      <w:pPr>
        <w:spacing w:line="276" w:lineRule="auto"/>
        <w:ind w:right="-421" w:firstLine="567"/>
        <w:jc w:val="center"/>
        <w:rPr>
          <w:b/>
          <w:sz w:val="26"/>
          <w:szCs w:val="26"/>
        </w:rPr>
      </w:pPr>
    </w:p>
    <w:tbl>
      <w:tblPr>
        <w:tblStyle w:val="TableGrid"/>
        <w:tblW w:w="10214" w:type="dxa"/>
        <w:tblLayout w:type="fixed"/>
        <w:tblLook w:val="04A0" w:firstRow="1" w:lastRow="0" w:firstColumn="1" w:lastColumn="0" w:noHBand="0" w:noVBand="1"/>
      </w:tblPr>
      <w:tblGrid>
        <w:gridCol w:w="714"/>
        <w:gridCol w:w="1129"/>
        <w:gridCol w:w="1950"/>
        <w:gridCol w:w="1701"/>
        <w:gridCol w:w="2502"/>
        <w:gridCol w:w="2218"/>
      </w:tblGrid>
      <w:tr w:rsidR="001B6D9F" w:rsidRPr="001B6D9F" w14:paraId="1F9B6981" w14:textId="77777777" w:rsidTr="001B6D9F">
        <w:trPr>
          <w:trHeight w:val="3334"/>
        </w:trPr>
        <w:tc>
          <w:tcPr>
            <w:tcW w:w="714" w:type="dxa"/>
            <w:vAlign w:val="center"/>
          </w:tcPr>
          <w:p w14:paraId="30E01C28"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STT</w:t>
            </w:r>
          </w:p>
        </w:tc>
        <w:tc>
          <w:tcPr>
            <w:tcW w:w="1129" w:type="dxa"/>
            <w:vAlign w:val="center"/>
          </w:tcPr>
          <w:p w14:paraId="20A5092B"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Tên hàng hóa</w:t>
            </w:r>
          </w:p>
        </w:tc>
        <w:tc>
          <w:tcPr>
            <w:tcW w:w="1950" w:type="dxa"/>
            <w:vAlign w:val="center"/>
          </w:tcPr>
          <w:p w14:paraId="765D79E7"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Tên thương mại của hàng hóa (nếu có)</w:t>
            </w:r>
          </w:p>
        </w:tc>
        <w:tc>
          <w:tcPr>
            <w:tcW w:w="1701" w:type="dxa"/>
            <w:vAlign w:val="center"/>
          </w:tcPr>
          <w:p w14:paraId="7B1A9776"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Thông số kỹ thuật dự thầu</w:t>
            </w:r>
          </w:p>
        </w:tc>
        <w:tc>
          <w:tcPr>
            <w:tcW w:w="2502" w:type="dxa"/>
            <w:vAlign w:val="center"/>
          </w:tcPr>
          <w:p w14:paraId="46319682"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Ký mã hiệu, nhãn mác của sản phẩm (nếu có)</w:t>
            </w:r>
          </w:p>
        </w:tc>
        <w:tc>
          <w:tcPr>
            <w:tcW w:w="2218" w:type="dxa"/>
            <w:vAlign w:val="center"/>
          </w:tcPr>
          <w:p w14:paraId="7767D0D1" w14:textId="77777777" w:rsidR="001B6D9F" w:rsidRPr="001B6D9F" w:rsidRDefault="001B6D9F" w:rsidP="001B6D9F">
            <w:pPr>
              <w:spacing w:line="400" w:lineRule="exact"/>
              <w:jc w:val="center"/>
              <w:rPr>
                <w:rFonts w:eastAsiaTheme="minorHAnsi"/>
                <w:b/>
                <w:spacing w:val="2"/>
                <w:sz w:val="26"/>
                <w:szCs w:val="26"/>
              </w:rPr>
            </w:pPr>
            <w:r w:rsidRPr="001B6D9F">
              <w:rPr>
                <w:rFonts w:eastAsiaTheme="minorHAnsi"/>
                <w:b/>
                <w:spacing w:val="2"/>
                <w:sz w:val="26"/>
                <w:szCs w:val="26"/>
              </w:rPr>
              <w:t>Quy cách đóng gói</w:t>
            </w:r>
          </w:p>
        </w:tc>
      </w:tr>
      <w:tr w:rsidR="001B6D9F" w:rsidRPr="001B6D9F" w14:paraId="36384BB8" w14:textId="77777777" w:rsidTr="001B6D9F">
        <w:tc>
          <w:tcPr>
            <w:tcW w:w="714" w:type="dxa"/>
            <w:vAlign w:val="center"/>
          </w:tcPr>
          <w:p w14:paraId="282B3CDA" w14:textId="77777777" w:rsidR="001B6D9F" w:rsidRPr="001B6D9F" w:rsidRDefault="001B6D9F" w:rsidP="001B6D9F">
            <w:pPr>
              <w:spacing w:line="400" w:lineRule="exact"/>
              <w:jc w:val="center"/>
              <w:rPr>
                <w:rFonts w:eastAsiaTheme="minorHAnsi"/>
                <w:b/>
                <w:spacing w:val="2"/>
                <w:sz w:val="26"/>
                <w:szCs w:val="26"/>
              </w:rPr>
            </w:pPr>
          </w:p>
        </w:tc>
        <w:tc>
          <w:tcPr>
            <w:tcW w:w="1129" w:type="dxa"/>
            <w:vAlign w:val="center"/>
          </w:tcPr>
          <w:p w14:paraId="1DCA3982" w14:textId="77777777" w:rsidR="001B6D9F" w:rsidRPr="001B6D9F" w:rsidRDefault="001B6D9F" w:rsidP="001B6D9F">
            <w:pPr>
              <w:spacing w:line="400" w:lineRule="exact"/>
              <w:jc w:val="center"/>
              <w:rPr>
                <w:rFonts w:eastAsiaTheme="minorHAnsi"/>
                <w:b/>
                <w:spacing w:val="2"/>
                <w:sz w:val="26"/>
                <w:szCs w:val="26"/>
              </w:rPr>
            </w:pPr>
          </w:p>
        </w:tc>
        <w:tc>
          <w:tcPr>
            <w:tcW w:w="1950" w:type="dxa"/>
            <w:vAlign w:val="center"/>
          </w:tcPr>
          <w:p w14:paraId="720D008C" w14:textId="77777777" w:rsidR="001B6D9F" w:rsidRPr="001B6D9F" w:rsidRDefault="001B6D9F" w:rsidP="001B6D9F">
            <w:pPr>
              <w:spacing w:line="400" w:lineRule="exact"/>
              <w:jc w:val="center"/>
              <w:rPr>
                <w:rFonts w:eastAsiaTheme="minorHAnsi"/>
                <w:b/>
                <w:spacing w:val="2"/>
                <w:sz w:val="26"/>
                <w:szCs w:val="26"/>
              </w:rPr>
            </w:pPr>
          </w:p>
        </w:tc>
        <w:tc>
          <w:tcPr>
            <w:tcW w:w="1701" w:type="dxa"/>
            <w:vAlign w:val="center"/>
          </w:tcPr>
          <w:p w14:paraId="77DAF045" w14:textId="77777777" w:rsidR="001B6D9F" w:rsidRPr="001B6D9F" w:rsidRDefault="001B6D9F" w:rsidP="001B6D9F">
            <w:pPr>
              <w:spacing w:line="400" w:lineRule="exact"/>
              <w:jc w:val="center"/>
              <w:rPr>
                <w:rFonts w:eastAsiaTheme="minorHAnsi"/>
                <w:b/>
                <w:spacing w:val="2"/>
                <w:sz w:val="26"/>
                <w:szCs w:val="26"/>
              </w:rPr>
            </w:pPr>
          </w:p>
        </w:tc>
        <w:tc>
          <w:tcPr>
            <w:tcW w:w="2502" w:type="dxa"/>
            <w:vAlign w:val="center"/>
          </w:tcPr>
          <w:p w14:paraId="2540792F" w14:textId="77777777" w:rsidR="001B6D9F" w:rsidRPr="001B6D9F" w:rsidRDefault="001B6D9F" w:rsidP="001B6D9F">
            <w:pPr>
              <w:spacing w:line="400" w:lineRule="exact"/>
              <w:jc w:val="center"/>
              <w:rPr>
                <w:rFonts w:eastAsiaTheme="minorHAnsi"/>
                <w:b/>
                <w:spacing w:val="2"/>
                <w:sz w:val="26"/>
                <w:szCs w:val="26"/>
              </w:rPr>
            </w:pPr>
          </w:p>
        </w:tc>
        <w:tc>
          <w:tcPr>
            <w:tcW w:w="2218" w:type="dxa"/>
            <w:vAlign w:val="center"/>
          </w:tcPr>
          <w:p w14:paraId="3575CC21" w14:textId="77777777" w:rsidR="001B6D9F" w:rsidRPr="001B6D9F" w:rsidRDefault="001B6D9F" w:rsidP="001B6D9F">
            <w:pPr>
              <w:spacing w:line="400" w:lineRule="exact"/>
              <w:jc w:val="center"/>
              <w:rPr>
                <w:rFonts w:eastAsiaTheme="minorHAnsi"/>
                <w:b/>
                <w:spacing w:val="2"/>
                <w:sz w:val="26"/>
                <w:szCs w:val="26"/>
              </w:rPr>
            </w:pPr>
          </w:p>
        </w:tc>
      </w:tr>
      <w:tr w:rsidR="001B6D9F" w:rsidRPr="001B6D9F" w14:paraId="3DBD401A" w14:textId="77777777" w:rsidTr="001B6D9F">
        <w:tc>
          <w:tcPr>
            <w:tcW w:w="714" w:type="dxa"/>
          </w:tcPr>
          <w:p w14:paraId="28BDA7DE" w14:textId="77777777" w:rsidR="001B6D9F" w:rsidRPr="001B6D9F" w:rsidRDefault="001B6D9F" w:rsidP="001B6D9F">
            <w:pPr>
              <w:spacing w:line="400" w:lineRule="exact"/>
              <w:jc w:val="center"/>
              <w:rPr>
                <w:rFonts w:eastAsiaTheme="minorHAnsi"/>
                <w:spacing w:val="2"/>
                <w:sz w:val="26"/>
                <w:szCs w:val="26"/>
              </w:rPr>
            </w:pPr>
          </w:p>
        </w:tc>
        <w:tc>
          <w:tcPr>
            <w:tcW w:w="1129" w:type="dxa"/>
          </w:tcPr>
          <w:p w14:paraId="0EDDA7D9" w14:textId="77777777" w:rsidR="001B6D9F" w:rsidRPr="001B6D9F" w:rsidRDefault="001B6D9F" w:rsidP="001B6D9F">
            <w:pPr>
              <w:spacing w:line="400" w:lineRule="exact"/>
              <w:jc w:val="center"/>
              <w:rPr>
                <w:rFonts w:eastAsiaTheme="minorHAnsi"/>
                <w:spacing w:val="2"/>
                <w:sz w:val="26"/>
                <w:szCs w:val="26"/>
              </w:rPr>
            </w:pPr>
          </w:p>
        </w:tc>
        <w:tc>
          <w:tcPr>
            <w:tcW w:w="1950" w:type="dxa"/>
          </w:tcPr>
          <w:p w14:paraId="687CEC26" w14:textId="77777777" w:rsidR="001B6D9F" w:rsidRPr="001B6D9F" w:rsidRDefault="001B6D9F" w:rsidP="001B6D9F">
            <w:pPr>
              <w:spacing w:line="400" w:lineRule="exact"/>
              <w:jc w:val="center"/>
              <w:rPr>
                <w:rFonts w:eastAsiaTheme="minorHAnsi"/>
                <w:spacing w:val="2"/>
                <w:sz w:val="26"/>
                <w:szCs w:val="26"/>
              </w:rPr>
            </w:pPr>
          </w:p>
        </w:tc>
        <w:tc>
          <w:tcPr>
            <w:tcW w:w="1701" w:type="dxa"/>
          </w:tcPr>
          <w:p w14:paraId="1B7C501D" w14:textId="77777777" w:rsidR="001B6D9F" w:rsidRPr="001B6D9F" w:rsidRDefault="001B6D9F" w:rsidP="001B6D9F">
            <w:pPr>
              <w:spacing w:line="400" w:lineRule="exact"/>
              <w:jc w:val="center"/>
              <w:rPr>
                <w:rFonts w:eastAsiaTheme="minorHAnsi"/>
                <w:spacing w:val="2"/>
                <w:sz w:val="26"/>
                <w:szCs w:val="26"/>
              </w:rPr>
            </w:pPr>
          </w:p>
        </w:tc>
        <w:tc>
          <w:tcPr>
            <w:tcW w:w="2502" w:type="dxa"/>
          </w:tcPr>
          <w:p w14:paraId="0B1A2801" w14:textId="77777777" w:rsidR="001B6D9F" w:rsidRPr="001B6D9F" w:rsidRDefault="001B6D9F" w:rsidP="001B6D9F">
            <w:pPr>
              <w:spacing w:line="400" w:lineRule="exact"/>
              <w:jc w:val="center"/>
              <w:rPr>
                <w:rFonts w:eastAsiaTheme="minorHAnsi"/>
                <w:spacing w:val="2"/>
                <w:sz w:val="26"/>
                <w:szCs w:val="26"/>
              </w:rPr>
            </w:pPr>
          </w:p>
        </w:tc>
        <w:tc>
          <w:tcPr>
            <w:tcW w:w="2218" w:type="dxa"/>
          </w:tcPr>
          <w:p w14:paraId="057D5C13" w14:textId="77777777" w:rsidR="001B6D9F" w:rsidRPr="001B6D9F" w:rsidRDefault="001B6D9F" w:rsidP="001B6D9F">
            <w:pPr>
              <w:spacing w:line="400" w:lineRule="exact"/>
              <w:jc w:val="center"/>
              <w:rPr>
                <w:rFonts w:eastAsiaTheme="minorHAnsi"/>
                <w:spacing w:val="2"/>
                <w:sz w:val="26"/>
                <w:szCs w:val="26"/>
              </w:rPr>
            </w:pPr>
          </w:p>
        </w:tc>
      </w:tr>
      <w:tr w:rsidR="001B6D9F" w:rsidRPr="001B6D9F" w14:paraId="1F25BB8D" w14:textId="77777777" w:rsidTr="001B6D9F">
        <w:trPr>
          <w:trHeight w:val="70"/>
        </w:trPr>
        <w:tc>
          <w:tcPr>
            <w:tcW w:w="714" w:type="dxa"/>
          </w:tcPr>
          <w:p w14:paraId="2050FD30" w14:textId="77777777" w:rsidR="001B6D9F" w:rsidRPr="001B6D9F" w:rsidRDefault="001B6D9F" w:rsidP="001B6D9F">
            <w:pPr>
              <w:spacing w:line="400" w:lineRule="exact"/>
              <w:rPr>
                <w:rFonts w:eastAsiaTheme="minorHAnsi"/>
                <w:spacing w:val="2"/>
                <w:sz w:val="26"/>
                <w:szCs w:val="26"/>
              </w:rPr>
            </w:pPr>
          </w:p>
        </w:tc>
        <w:tc>
          <w:tcPr>
            <w:tcW w:w="1129" w:type="dxa"/>
          </w:tcPr>
          <w:p w14:paraId="5E0DE8D0" w14:textId="77777777" w:rsidR="001B6D9F" w:rsidRPr="001B6D9F" w:rsidRDefault="001B6D9F" w:rsidP="001B6D9F">
            <w:pPr>
              <w:spacing w:line="400" w:lineRule="exact"/>
              <w:rPr>
                <w:rFonts w:eastAsiaTheme="minorHAnsi"/>
                <w:spacing w:val="2"/>
                <w:sz w:val="26"/>
                <w:szCs w:val="26"/>
              </w:rPr>
            </w:pPr>
          </w:p>
        </w:tc>
        <w:tc>
          <w:tcPr>
            <w:tcW w:w="1950" w:type="dxa"/>
          </w:tcPr>
          <w:p w14:paraId="56A94D40" w14:textId="77777777" w:rsidR="001B6D9F" w:rsidRPr="001B6D9F" w:rsidRDefault="001B6D9F" w:rsidP="001B6D9F">
            <w:pPr>
              <w:spacing w:line="400" w:lineRule="exact"/>
              <w:rPr>
                <w:rFonts w:eastAsiaTheme="minorHAnsi"/>
                <w:spacing w:val="2"/>
                <w:sz w:val="26"/>
                <w:szCs w:val="26"/>
              </w:rPr>
            </w:pPr>
          </w:p>
        </w:tc>
        <w:tc>
          <w:tcPr>
            <w:tcW w:w="1701" w:type="dxa"/>
          </w:tcPr>
          <w:p w14:paraId="38057A59" w14:textId="77777777" w:rsidR="001B6D9F" w:rsidRPr="001B6D9F" w:rsidRDefault="001B6D9F" w:rsidP="001B6D9F">
            <w:pPr>
              <w:spacing w:line="400" w:lineRule="exact"/>
              <w:rPr>
                <w:rFonts w:eastAsiaTheme="minorHAnsi"/>
                <w:spacing w:val="2"/>
                <w:sz w:val="26"/>
                <w:szCs w:val="26"/>
              </w:rPr>
            </w:pPr>
          </w:p>
        </w:tc>
        <w:tc>
          <w:tcPr>
            <w:tcW w:w="2502" w:type="dxa"/>
          </w:tcPr>
          <w:p w14:paraId="453389F7" w14:textId="77777777" w:rsidR="001B6D9F" w:rsidRPr="001B6D9F" w:rsidRDefault="001B6D9F" w:rsidP="001B6D9F">
            <w:pPr>
              <w:spacing w:line="400" w:lineRule="exact"/>
              <w:rPr>
                <w:rFonts w:eastAsiaTheme="minorHAnsi"/>
                <w:spacing w:val="2"/>
                <w:sz w:val="26"/>
                <w:szCs w:val="26"/>
                <w:highlight w:val="yellow"/>
              </w:rPr>
            </w:pPr>
          </w:p>
        </w:tc>
        <w:tc>
          <w:tcPr>
            <w:tcW w:w="2218" w:type="dxa"/>
          </w:tcPr>
          <w:p w14:paraId="65409634" w14:textId="77777777" w:rsidR="001B6D9F" w:rsidRPr="001B6D9F" w:rsidRDefault="001B6D9F" w:rsidP="001B6D9F">
            <w:pPr>
              <w:spacing w:line="400" w:lineRule="exact"/>
              <w:rPr>
                <w:rFonts w:eastAsiaTheme="minorHAnsi"/>
                <w:spacing w:val="2"/>
                <w:sz w:val="26"/>
                <w:szCs w:val="26"/>
              </w:rPr>
            </w:pPr>
          </w:p>
        </w:tc>
      </w:tr>
    </w:tbl>
    <w:p w14:paraId="0AC62B87" w14:textId="535D4880" w:rsidR="00BB0D16" w:rsidRPr="007147EB" w:rsidRDefault="00BB0D16" w:rsidP="00432FAF">
      <w:pPr>
        <w:spacing w:line="276" w:lineRule="auto"/>
        <w:ind w:right="-421" w:firstLine="567"/>
        <w:rPr>
          <w:b/>
          <w:sz w:val="26"/>
          <w:szCs w:val="26"/>
        </w:rPr>
      </w:pPr>
    </w:p>
    <w:sectPr w:rsidR="00BB0D16" w:rsidRPr="007147EB" w:rsidSect="00AA42DE">
      <w:pgSz w:w="12240" w:h="15840"/>
      <w:pgMar w:top="993" w:right="1183"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21A"/>
    <w:multiLevelType w:val="hybridMultilevel"/>
    <w:tmpl w:val="65E22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85D1E"/>
    <w:multiLevelType w:val="hybridMultilevel"/>
    <w:tmpl w:val="E6BA24C0"/>
    <w:lvl w:ilvl="0" w:tplc="02B2CD0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33"/>
    <w:rsid w:val="0001179D"/>
    <w:rsid w:val="00022A25"/>
    <w:rsid w:val="00025D6E"/>
    <w:rsid w:val="00031F87"/>
    <w:rsid w:val="000509B6"/>
    <w:rsid w:val="00050EE3"/>
    <w:rsid w:val="000654AF"/>
    <w:rsid w:val="0009519B"/>
    <w:rsid w:val="000A6129"/>
    <w:rsid w:val="000A733B"/>
    <w:rsid w:val="000C20C5"/>
    <w:rsid w:val="000D7F55"/>
    <w:rsid w:val="000E15EB"/>
    <w:rsid w:val="000E2BD0"/>
    <w:rsid w:val="000F642A"/>
    <w:rsid w:val="00107C53"/>
    <w:rsid w:val="001101B0"/>
    <w:rsid w:val="00114FFA"/>
    <w:rsid w:val="00120BFB"/>
    <w:rsid w:val="001215F6"/>
    <w:rsid w:val="00123DB8"/>
    <w:rsid w:val="001266C3"/>
    <w:rsid w:val="00133E00"/>
    <w:rsid w:val="001415FF"/>
    <w:rsid w:val="00144982"/>
    <w:rsid w:val="00150A2A"/>
    <w:rsid w:val="00152694"/>
    <w:rsid w:val="0015284D"/>
    <w:rsid w:val="00152C72"/>
    <w:rsid w:val="00157E4D"/>
    <w:rsid w:val="00162CAC"/>
    <w:rsid w:val="00197A4E"/>
    <w:rsid w:val="001A1E94"/>
    <w:rsid w:val="001A49F9"/>
    <w:rsid w:val="001B2426"/>
    <w:rsid w:val="001B6D9F"/>
    <w:rsid w:val="001B75AC"/>
    <w:rsid w:val="001D3D22"/>
    <w:rsid w:val="001D7983"/>
    <w:rsid w:val="001E1829"/>
    <w:rsid w:val="001E2DFB"/>
    <w:rsid w:val="001E7387"/>
    <w:rsid w:val="001F0890"/>
    <w:rsid w:val="00200EC8"/>
    <w:rsid w:val="0020160F"/>
    <w:rsid w:val="002037BF"/>
    <w:rsid w:val="00222FDC"/>
    <w:rsid w:val="00223353"/>
    <w:rsid w:val="002313E1"/>
    <w:rsid w:val="00242469"/>
    <w:rsid w:val="00246EE0"/>
    <w:rsid w:val="00264848"/>
    <w:rsid w:val="00271196"/>
    <w:rsid w:val="00271D00"/>
    <w:rsid w:val="002827D0"/>
    <w:rsid w:val="00291B4C"/>
    <w:rsid w:val="002C00A4"/>
    <w:rsid w:val="002D0B78"/>
    <w:rsid w:val="002D7828"/>
    <w:rsid w:val="002E286F"/>
    <w:rsid w:val="002F5F15"/>
    <w:rsid w:val="00305F94"/>
    <w:rsid w:val="003151A8"/>
    <w:rsid w:val="003154AD"/>
    <w:rsid w:val="00341AF0"/>
    <w:rsid w:val="00353D39"/>
    <w:rsid w:val="00354048"/>
    <w:rsid w:val="00355C62"/>
    <w:rsid w:val="00363FD8"/>
    <w:rsid w:val="003675E3"/>
    <w:rsid w:val="003677DE"/>
    <w:rsid w:val="00375BE1"/>
    <w:rsid w:val="00380EEA"/>
    <w:rsid w:val="003847FB"/>
    <w:rsid w:val="00395725"/>
    <w:rsid w:val="003A1583"/>
    <w:rsid w:val="003B23F4"/>
    <w:rsid w:val="003B37EE"/>
    <w:rsid w:val="003C2758"/>
    <w:rsid w:val="003C54DC"/>
    <w:rsid w:val="003D1A9A"/>
    <w:rsid w:val="003D2296"/>
    <w:rsid w:val="003F40D6"/>
    <w:rsid w:val="00410F01"/>
    <w:rsid w:val="004159B1"/>
    <w:rsid w:val="00432FAF"/>
    <w:rsid w:val="00433382"/>
    <w:rsid w:val="00437731"/>
    <w:rsid w:val="004473D7"/>
    <w:rsid w:val="00464CC1"/>
    <w:rsid w:val="004814E3"/>
    <w:rsid w:val="00484537"/>
    <w:rsid w:val="00490774"/>
    <w:rsid w:val="00490791"/>
    <w:rsid w:val="004A5037"/>
    <w:rsid w:val="004A5F9C"/>
    <w:rsid w:val="004C2570"/>
    <w:rsid w:val="004C4A24"/>
    <w:rsid w:val="004D3FCC"/>
    <w:rsid w:val="00527033"/>
    <w:rsid w:val="00530FD4"/>
    <w:rsid w:val="005458B6"/>
    <w:rsid w:val="00546889"/>
    <w:rsid w:val="00563DE8"/>
    <w:rsid w:val="0056516B"/>
    <w:rsid w:val="005744EC"/>
    <w:rsid w:val="00596E2E"/>
    <w:rsid w:val="005A2C10"/>
    <w:rsid w:val="005A4C1C"/>
    <w:rsid w:val="005E197A"/>
    <w:rsid w:val="005E3700"/>
    <w:rsid w:val="005F07DE"/>
    <w:rsid w:val="005F47FB"/>
    <w:rsid w:val="005F51A9"/>
    <w:rsid w:val="005F7537"/>
    <w:rsid w:val="00607AC0"/>
    <w:rsid w:val="0063254C"/>
    <w:rsid w:val="0064056D"/>
    <w:rsid w:val="00640BCF"/>
    <w:rsid w:val="00640FE9"/>
    <w:rsid w:val="006534F8"/>
    <w:rsid w:val="00661966"/>
    <w:rsid w:val="006739BC"/>
    <w:rsid w:val="00684E43"/>
    <w:rsid w:val="006A723B"/>
    <w:rsid w:val="006B00F3"/>
    <w:rsid w:val="006C2273"/>
    <w:rsid w:val="006D16DD"/>
    <w:rsid w:val="006D608D"/>
    <w:rsid w:val="006E3068"/>
    <w:rsid w:val="006F6D2F"/>
    <w:rsid w:val="006F7DE1"/>
    <w:rsid w:val="00700CC2"/>
    <w:rsid w:val="00702121"/>
    <w:rsid w:val="007112A7"/>
    <w:rsid w:val="00711C31"/>
    <w:rsid w:val="007147EB"/>
    <w:rsid w:val="00731B07"/>
    <w:rsid w:val="0074075D"/>
    <w:rsid w:val="00745742"/>
    <w:rsid w:val="0075021F"/>
    <w:rsid w:val="0075587A"/>
    <w:rsid w:val="00756ED5"/>
    <w:rsid w:val="0076602E"/>
    <w:rsid w:val="00787152"/>
    <w:rsid w:val="00795CEC"/>
    <w:rsid w:val="007A5B2D"/>
    <w:rsid w:val="007C2767"/>
    <w:rsid w:val="007E25A0"/>
    <w:rsid w:val="00805703"/>
    <w:rsid w:val="00807F38"/>
    <w:rsid w:val="008129BB"/>
    <w:rsid w:val="00812BF2"/>
    <w:rsid w:val="008165EB"/>
    <w:rsid w:val="00822046"/>
    <w:rsid w:val="008220FE"/>
    <w:rsid w:val="008318F3"/>
    <w:rsid w:val="00853F4F"/>
    <w:rsid w:val="008561B5"/>
    <w:rsid w:val="0085628E"/>
    <w:rsid w:val="008631BC"/>
    <w:rsid w:val="0086389C"/>
    <w:rsid w:val="0087000E"/>
    <w:rsid w:val="008832A9"/>
    <w:rsid w:val="008946F8"/>
    <w:rsid w:val="00895D75"/>
    <w:rsid w:val="008A1378"/>
    <w:rsid w:val="008A7339"/>
    <w:rsid w:val="008C23BA"/>
    <w:rsid w:val="008D0739"/>
    <w:rsid w:val="008D128F"/>
    <w:rsid w:val="008E1162"/>
    <w:rsid w:val="00931F63"/>
    <w:rsid w:val="009331B5"/>
    <w:rsid w:val="00940E58"/>
    <w:rsid w:val="0094440E"/>
    <w:rsid w:val="009464AB"/>
    <w:rsid w:val="00947576"/>
    <w:rsid w:val="009627AC"/>
    <w:rsid w:val="00970D96"/>
    <w:rsid w:val="0097163B"/>
    <w:rsid w:val="00975F3D"/>
    <w:rsid w:val="00976EBA"/>
    <w:rsid w:val="00991D94"/>
    <w:rsid w:val="00994858"/>
    <w:rsid w:val="009A3564"/>
    <w:rsid w:val="009A5241"/>
    <w:rsid w:val="009C0129"/>
    <w:rsid w:val="009C0B89"/>
    <w:rsid w:val="009C5218"/>
    <w:rsid w:val="009C6617"/>
    <w:rsid w:val="009E4189"/>
    <w:rsid w:val="009E45E8"/>
    <w:rsid w:val="009F2708"/>
    <w:rsid w:val="00A02A68"/>
    <w:rsid w:val="00A03B47"/>
    <w:rsid w:val="00A04EF7"/>
    <w:rsid w:val="00A11A0D"/>
    <w:rsid w:val="00A17E84"/>
    <w:rsid w:val="00A24138"/>
    <w:rsid w:val="00A40AF5"/>
    <w:rsid w:val="00A50E5D"/>
    <w:rsid w:val="00A63B55"/>
    <w:rsid w:val="00A67B12"/>
    <w:rsid w:val="00A92ABB"/>
    <w:rsid w:val="00A941A8"/>
    <w:rsid w:val="00AA214E"/>
    <w:rsid w:val="00AA42DE"/>
    <w:rsid w:val="00AB67E5"/>
    <w:rsid w:val="00AD1F2F"/>
    <w:rsid w:val="00AD5DC4"/>
    <w:rsid w:val="00AE1046"/>
    <w:rsid w:val="00AF6DF6"/>
    <w:rsid w:val="00B17A5D"/>
    <w:rsid w:val="00B239AC"/>
    <w:rsid w:val="00B26F09"/>
    <w:rsid w:val="00B61EFC"/>
    <w:rsid w:val="00B70195"/>
    <w:rsid w:val="00B708EA"/>
    <w:rsid w:val="00BA7B37"/>
    <w:rsid w:val="00BB0D16"/>
    <w:rsid w:val="00BB2BCF"/>
    <w:rsid w:val="00BE0B06"/>
    <w:rsid w:val="00BF2EFD"/>
    <w:rsid w:val="00C3180D"/>
    <w:rsid w:val="00C64CE9"/>
    <w:rsid w:val="00C66D3C"/>
    <w:rsid w:val="00C74521"/>
    <w:rsid w:val="00C80893"/>
    <w:rsid w:val="00C97B9F"/>
    <w:rsid w:val="00CA1B43"/>
    <w:rsid w:val="00CA206A"/>
    <w:rsid w:val="00CA5850"/>
    <w:rsid w:val="00CB16EC"/>
    <w:rsid w:val="00CB4A4B"/>
    <w:rsid w:val="00CC562E"/>
    <w:rsid w:val="00CE7577"/>
    <w:rsid w:val="00D064A8"/>
    <w:rsid w:val="00D24CB3"/>
    <w:rsid w:val="00D411B6"/>
    <w:rsid w:val="00D768DF"/>
    <w:rsid w:val="00D934F3"/>
    <w:rsid w:val="00DA174A"/>
    <w:rsid w:val="00DA19C4"/>
    <w:rsid w:val="00DA66CC"/>
    <w:rsid w:val="00DB5CEB"/>
    <w:rsid w:val="00DB6193"/>
    <w:rsid w:val="00DE36ED"/>
    <w:rsid w:val="00DF14E9"/>
    <w:rsid w:val="00E047AB"/>
    <w:rsid w:val="00E04C33"/>
    <w:rsid w:val="00E05C23"/>
    <w:rsid w:val="00E05DAC"/>
    <w:rsid w:val="00E45B4B"/>
    <w:rsid w:val="00E56321"/>
    <w:rsid w:val="00E72F7A"/>
    <w:rsid w:val="00E84BD8"/>
    <w:rsid w:val="00EC2713"/>
    <w:rsid w:val="00EC4001"/>
    <w:rsid w:val="00EC4FE1"/>
    <w:rsid w:val="00ED1319"/>
    <w:rsid w:val="00ED53C9"/>
    <w:rsid w:val="00EE18CF"/>
    <w:rsid w:val="00EE6078"/>
    <w:rsid w:val="00F13DA8"/>
    <w:rsid w:val="00F148E6"/>
    <w:rsid w:val="00F31757"/>
    <w:rsid w:val="00F51F85"/>
    <w:rsid w:val="00F5514F"/>
    <w:rsid w:val="00F57687"/>
    <w:rsid w:val="00F64BB5"/>
    <w:rsid w:val="00F74972"/>
    <w:rsid w:val="00FA2E46"/>
    <w:rsid w:val="00FA7B65"/>
    <w:rsid w:val="00FB7EA5"/>
    <w:rsid w:val="00FC28BC"/>
    <w:rsid w:val="00FC55FA"/>
    <w:rsid w:val="00FD2CB7"/>
    <w:rsid w:val="00FE24DD"/>
    <w:rsid w:val="00FE420F"/>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E8E2"/>
  <w15:chartTrackingRefBased/>
  <w15:docId w15:val="{5B046C2C-EC4B-4D4E-ADF2-B8EBDDF2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CB16E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04C33"/>
    <w:rPr>
      <w:sz w:val="16"/>
    </w:rPr>
  </w:style>
  <w:style w:type="paragraph" w:styleId="CommentText">
    <w:name w:val="annotation text"/>
    <w:aliases w:val="Char1"/>
    <w:basedOn w:val="Normal"/>
    <w:link w:val="CommentTextChar"/>
    <w:uiPriority w:val="99"/>
    <w:rsid w:val="00E04C33"/>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E04C33"/>
    <w:rPr>
      <w:rFonts w:ascii="Times New Roman" w:eastAsia="Times New Roman" w:hAnsi="Times New Roman" w:cs="Times New Roman"/>
      <w:sz w:val="20"/>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4C3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04C33"/>
    <w:rPr>
      <w:rFonts w:ascii="Times New Roman" w:eastAsia="Times New Roman" w:hAnsi="Times New Roman" w:cs="Times New Roman"/>
      <w:sz w:val="24"/>
      <w:szCs w:val="20"/>
    </w:rPr>
  </w:style>
  <w:style w:type="character" w:customStyle="1" w:styleId="fontstyle01">
    <w:name w:val="fontstyle01"/>
    <w:rsid w:val="00E04C33"/>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04C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3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D1A9A"/>
    <w:pPr>
      <w:jc w:val="both"/>
    </w:pPr>
    <w:rPr>
      <w:b/>
      <w:bCs/>
      <w:lang w:val="en-US" w:eastAsia="en-US"/>
    </w:rPr>
  </w:style>
  <w:style w:type="character" w:customStyle="1" w:styleId="CommentSubjectChar">
    <w:name w:val="Comment Subject Char"/>
    <w:basedOn w:val="CommentTextChar"/>
    <w:link w:val="CommentSubject"/>
    <w:uiPriority w:val="99"/>
    <w:semiHidden/>
    <w:rsid w:val="003D1A9A"/>
    <w:rPr>
      <w:rFonts w:ascii="Times New Roman" w:eastAsia="Times New Roman" w:hAnsi="Times New Roman" w:cs="Times New Roman"/>
      <w:b/>
      <w:bCs/>
      <w:sz w:val="20"/>
      <w:szCs w:val="20"/>
      <w:lang w:val="x-none" w:eastAsia="x-none"/>
    </w:rPr>
  </w:style>
  <w:style w:type="character" w:customStyle="1" w:styleId="hgkelc">
    <w:name w:val="hgkelc"/>
    <w:basedOn w:val="DefaultParagraphFont"/>
    <w:rsid w:val="0064056D"/>
  </w:style>
  <w:style w:type="character" w:customStyle="1" w:styleId="Heading2Char">
    <w:name w:val="Heading 2 Char"/>
    <w:basedOn w:val="DefaultParagraphFont"/>
    <w:link w:val="Heading2"/>
    <w:uiPriority w:val="9"/>
    <w:rsid w:val="00CB16EC"/>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CB16EC"/>
    <w:pPr>
      <w:spacing w:after="0" w:line="240" w:lineRule="auto"/>
      <w:jc w:val="both"/>
    </w:pPr>
    <w:rPr>
      <w:rFonts w:ascii="Times New Roman" w:eastAsia="Times New Roman" w:hAnsi="Times New Roman" w:cs="Times New Roman"/>
      <w:sz w:val="24"/>
      <w:szCs w:val="20"/>
    </w:rPr>
  </w:style>
  <w:style w:type="paragraph" w:customStyle="1" w:styleId="SectionVIHeader">
    <w:name w:val="Section VI. Header"/>
    <w:basedOn w:val="Normal"/>
    <w:rsid w:val="001215F6"/>
    <w:pPr>
      <w:spacing w:before="120" w:after="240"/>
      <w:jc w:val="center"/>
    </w:pPr>
    <w:rPr>
      <w:b/>
      <w:sz w:val="36"/>
    </w:rPr>
  </w:style>
  <w:style w:type="paragraph" w:styleId="NormalWeb">
    <w:name w:val="Normal (Web)"/>
    <w:basedOn w:val="Normal"/>
    <w:link w:val="NormalWebChar"/>
    <w:uiPriority w:val="99"/>
    <w:unhideWhenUsed/>
    <w:rsid w:val="00EE6078"/>
    <w:pPr>
      <w:spacing w:before="100" w:beforeAutospacing="1" w:after="100" w:afterAutospacing="1"/>
      <w:jc w:val="left"/>
    </w:pPr>
    <w:rPr>
      <w:szCs w:val="24"/>
    </w:rPr>
  </w:style>
  <w:style w:type="character" w:customStyle="1" w:styleId="NormalWebChar">
    <w:name w:val="Normal (Web) Char"/>
    <w:link w:val="NormalWeb"/>
    <w:uiPriority w:val="99"/>
    <w:qFormat/>
    <w:rsid w:val="00EE6078"/>
    <w:rPr>
      <w:rFonts w:ascii="Times New Roman" w:eastAsia="Times New Roman" w:hAnsi="Times New Roman" w:cs="Times New Roman"/>
      <w:sz w:val="24"/>
      <w:szCs w:val="24"/>
    </w:rPr>
  </w:style>
  <w:style w:type="table" w:styleId="TableGrid">
    <w:name w:val="Table Grid"/>
    <w:basedOn w:val="TableNormal"/>
    <w:uiPriority w:val="59"/>
    <w:rsid w:val="001B6D9F"/>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cp:lastPrinted>2025-10-18T04:45:00Z</cp:lastPrinted>
  <dcterms:created xsi:type="dcterms:W3CDTF">2024-11-28T08:16:00Z</dcterms:created>
  <dcterms:modified xsi:type="dcterms:W3CDTF">2025-11-06T11:26:00Z</dcterms:modified>
</cp:coreProperties>
</file>