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DD6" w:rsidRPr="007E4DD6" w:rsidRDefault="007E4DD6" w:rsidP="007E4DD6">
      <w:pPr>
        <w:jc w:val="center"/>
        <w:outlineLvl w:val="0"/>
        <w:rPr>
          <w:b/>
          <w:sz w:val="28"/>
          <w:szCs w:val="28"/>
          <w:lang w:val="nl-NL"/>
        </w:rPr>
      </w:pPr>
      <w:r w:rsidRPr="007E4DD6">
        <w:rPr>
          <w:b/>
          <w:sz w:val="28"/>
          <w:szCs w:val="28"/>
          <w:lang w:val="nl-NL"/>
        </w:rPr>
        <w:t>Phần 2. YÊU CẦU VỀ KỸ THUẬT</w:t>
      </w:r>
    </w:p>
    <w:p w:rsidR="007E4DD6" w:rsidRPr="007E4DD6" w:rsidRDefault="007E4DD6" w:rsidP="007E4DD6">
      <w:pPr>
        <w:widowControl w:val="0"/>
        <w:spacing w:before="120" w:after="120" w:line="264" w:lineRule="auto"/>
        <w:jc w:val="center"/>
        <w:outlineLvl w:val="1"/>
        <w:rPr>
          <w:sz w:val="28"/>
          <w:szCs w:val="28"/>
          <w:lang w:val="nl-NL"/>
        </w:rPr>
      </w:pPr>
      <w:r w:rsidRPr="007E4DD6">
        <w:rPr>
          <w:b/>
          <w:sz w:val="28"/>
          <w:szCs w:val="28"/>
          <w:lang w:val="nl-NL"/>
        </w:rPr>
        <w:t>Chương V. YÊU CẦU VỀ KỸ THUẬT</w:t>
      </w:r>
    </w:p>
    <w:p w:rsidR="007E4DD6" w:rsidRPr="007E4DD6" w:rsidRDefault="007E4DD6" w:rsidP="007E4DD6">
      <w:pPr>
        <w:pStyle w:val="Subtitle"/>
        <w:rPr>
          <w:sz w:val="20"/>
          <w:szCs w:val="32"/>
          <w:lang w:val="nl-NL"/>
        </w:rPr>
      </w:pPr>
    </w:p>
    <w:p w:rsidR="007E4DD6" w:rsidRPr="007E4DD6" w:rsidRDefault="007E4DD6" w:rsidP="007E4DD6">
      <w:pPr>
        <w:pStyle w:val="SectionVIHeader"/>
        <w:widowControl w:val="0"/>
        <w:spacing w:after="120" w:line="264" w:lineRule="auto"/>
        <w:ind w:firstLine="709"/>
        <w:jc w:val="both"/>
        <w:rPr>
          <w:sz w:val="26"/>
          <w:szCs w:val="26"/>
          <w:lang w:val="nl-NL"/>
        </w:rPr>
      </w:pPr>
      <w:r w:rsidRPr="007E4DD6">
        <w:rPr>
          <w:sz w:val="26"/>
          <w:szCs w:val="26"/>
          <w:lang w:val="nl-NL"/>
        </w:rPr>
        <w:t>Mục 1. Yêu cầu về kỹ thuật</w:t>
      </w:r>
    </w:p>
    <w:p w:rsidR="007E4DD6" w:rsidRPr="007E4DD6" w:rsidRDefault="007E4DD6" w:rsidP="007E4DD6">
      <w:pPr>
        <w:widowControl w:val="0"/>
        <w:spacing w:before="120" w:after="120" w:line="264" w:lineRule="auto"/>
        <w:ind w:firstLine="709"/>
        <w:rPr>
          <w:b/>
          <w:i/>
          <w:sz w:val="26"/>
          <w:szCs w:val="26"/>
          <w:lang w:val="nl-NL"/>
        </w:rPr>
      </w:pPr>
      <w:r w:rsidRPr="007E4DD6">
        <w:rPr>
          <w:b/>
          <w:i/>
          <w:sz w:val="26"/>
          <w:szCs w:val="26"/>
          <w:lang w:val="nl-NL"/>
        </w:rPr>
        <w:t>1.1. Giới thiệu chung về dự án/</w:t>
      </w:r>
      <w:r w:rsidRPr="007E4DD6">
        <w:rPr>
          <w:b/>
          <w:i/>
          <w:sz w:val="26"/>
          <w:szCs w:val="26"/>
        </w:rPr>
        <w:t>dự toán mua sắm</w:t>
      </w:r>
      <w:r w:rsidRPr="007E4DD6">
        <w:rPr>
          <w:b/>
          <w:i/>
          <w:sz w:val="26"/>
          <w:szCs w:val="26"/>
          <w:lang w:val="nl-NL"/>
        </w:rPr>
        <w:t>, gói thầu</w:t>
      </w:r>
    </w:p>
    <w:p w:rsidR="007E4DD6" w:rsidRPr="007E4DD6" w:rsidRDefault="007E4DD6" w:rsidP="007E4DD6">
      <w:pPr>
        <w:widowControl w:val="0"/>
        <w:spacing w:before="120" w:after="120" w:line="264" w:lineRule="auto"/>
        <w:ind w:firstLine="709"/>
        <w:rPr>
          <w:sz w:val="26"/>
          <w:szCs w:val="26"/>
          <w:lang w:val="nl-NL"/>
        </w:rPr>
      </w:pPr>
      <w:bookmarkStart w:id="0" w:name="_Hlk154743134"/>
      <w:r w:rsidRPr="007E4DD6">
        <w:rPr>
          <w:sz w:val="26"/>
          <w:szCs w:val="26"/>
          <w:lang w:val="nl-NL"/>
        </w:rPr>
        <w:t>- Tên gói thầu: Mua sắm hoá chất xét nghiệm  năm 2025-2026</w:t>
      </w:r>
    </w:p>
    <w:p w:rsidR="007E4DD6" w:rsidRPr="007E4DD6" w:rsidRDefault="007E4DD6" w:rsidP="007E4DD6">
      <w:pPr>
        <w:widowControl w:val="0"/>
        <w:spacing w:before="120" w:after="120" w:line="264" w:lineRule="auto"/>
        <w:ind w:firstLine="709"/>
        <w:rPr>
          <w:sz w:val="26"/>
          <w:szCs w:val="26"/>
          <w:lang w:val="nl-NL"/>
        </w:rPr>
      </w:pPr>
      <w:r w:rsidRPr="007E4DD6">
        <w:rPr>
          <w:sz w:val="26"/>
          <w:szCs w:val="26"/>
          <w:lang w:val="nl-NL"/>
        </w:rPr>
        <w:t>- Chủ đầu tư: Bệnh viện đa khoa Sài Gòn</w:t>
      </w:r>
    </w:p>
    <w:p w:rsidR="007E4DD6" w:rsidRPr="007E4DD6" w:rsidRDefault="007E4DD6" w:rsidP="007E4DD6">
      <w:pPr>
        <w:widowControl w:val="0"/>
        <w:spacing w:before="120" w:after="120" w:line="264" w:lineRule="auto"/>
        <w:ind w:firstLine="709"/>
        <w:rPr>
          <w:sz w:val="26"/>
          <w:szCs w:val="26"/>
          <w:lang w:val="nl-NL"/>
        </w:rPr>
      </w:pPr>
      <w:r w:rsidRPr="007E4DD6">
        <w:rPr>
          <w:sz w:val="26"/>
          <w:szCs w:val="26"/>
          <w:lang w:val="nl-NL"/>
        </w:rPr>
        <w:t>- Nguồn vốn: Nguồn thu từ dịch vụ khám bệnh, chữa bệnh (bao gồm cả nguồn do cơ quan bảo hiểm xã hội thanh toán), và các nguồn thu hợp pháp khác.</w:t>
      </w:r>
    </w:p>
    <w:p w:rsidR="007E4DD6" w:rsidRPr="007E4DD6" w:rsidRDefault="007E4DD6" w:rsidP="007E4DD6">
      <w:pPr>
        <w:widowControl w:val="0"/>
        <w:spacing w:before="120" w:after="120" w:line="264" w:lineRule="auto"/>
        <w:ind w:firstLine="709"/>
        <w:rPr>
          <w:sz w:val="26"/>
          <w:szCs w:val="26"/>
          <w:lang w:val="nl-NL"/>
        </w:rPr>
      </w:pPr>
      <w:r w:rsidRPr="007E4DD6">
        <w:rPr>
          <w:sz w:val="26"/>
          <w:szCs w:val="26"/>
          <w:lang w:val="nl-NL"/>
        </w:rPr>
        <w:t xml:space="preserve">- Thời gian thực hiện: 06 tháng </w:t>
      </w:r>
    </w:p>
    <w:p w:rsidR="007E4DD6" w:rsidRPr="007E4DD6" w:rsidRDefault="007E4DD6" w:rsidP="007E4DD6">
      <w:pPr>
        <w:widowControl w:val="0"/>
        <w:spacing w:before="120" w:after="120" w:line="264" w:lineRule="auto"/>
        <w:ind w:firstLine="709"/>
        <w:rPr>
          <w:sz w:val="26"/>
          <w:szCs w:val="26"/>
          <w:lang w:val="nl-NL"/>
        </w:rPr>
      </w:pPr>
      <w:r w:rsidRPr="007E4DD6">
        <w:rPr>
          <w:sz w:val="26"/>
          <w:szCs w:val="26"/>
          <w:lang w:val="nl-NL"/>
        </w:rPr>
        <w:t>- Hình thức lựa chọn nhà thầu: Chào hàng cạnh tranh.</w:t>
      </w:r>
    </w:p>
    <w:p w:rsidR="007E4DD6" w:rsidRPr="007E4DD6" w:rsidRDefault="007E4DD6" w:rsidP="007E4DD6">
      <w:pPr>
        <w:widowControl w:val="0"/>
        <w:spacing w:before="120" w:after="120" w:line="264" w:lineRule="auto"/>
        <w:ind w:firstLine="709"/>
        <w:rPr>
          <w:sz w:val="26"/>
          <w:szCs w:val="26"/>
          <w:lang w:val="nl-NL"/>
        </w:rPr>
      </w:pPr>
      <w:r w:rsidRPr="007E4DD6">
        <w:rPr>
          <w:sz w:val="26"/>
          <w:szCs w:val="26"/>
          <w:lang w:val="nl-NL"/>
        </w:rPr>
        <w:t xml:space="preserve">- Phương thức lựa chọn nhà thầu: 01 giai đoạn – 01 túi hồ sơ. </w:t>
      </w:r>
    </w:p>
    <w:p w:rsidR="007E4DD6" w:rsidRPr="007E4DD6" w:rsidRDefault="007E4DD6" w:rsidP="007E4DD6">
      <w:pPr>
        <w:widowControl w:val="0"/>
        <w:spacing w:before="120" w:after="120" w:line="264" w:lineRule="auto"/>
        <w:ind w:firstLine="709"/>
        <w:rPr>
          <w:i/>
          <w:spacing w:val="2"/>
          <w:sz w:val="26"/>
          <w:szCs w:val="26"/>
          <w:lang w:val="nl-NL"/>
        </w:rPr>
      </w:pPr>
      <w:r w:rsidRPr="007E4DD6">
        <w:rPr>
          <w:sz w:val="26"/>
          <w:szCs w:val="26"/>
          <w:lang w:val="nl-NL"/>
        </w:rPr>
        <w:t>- Loại hợp đồng: Trọn gói.</w:t>
      </w:r>
    </w:p>
    <w:bookmarkEnd w:id="0"/>
    <w:p w:rsidR="007E4DD6" w:rsidRPr="007E4DD6" w:rsidRDefault="007E4DD6" w:rsidP="007E4DD6">
      <w:pPr>
        <w:widowControl w:val="0"/>
        <w:spacing w:before="120" w:after="120" w:line="264" w:lineRule="auto"/>
        <w:ind w:firstLine="709"/>
        <w:rPr>
          <w:b/>
          <w:i/>
          <w:sz w:val="26"/>
          <w:szCs w:val="26"/>
          <w:lang w:val="nl-NL"/>
        </w:rPr>
      </w:pPr>
      <w:r w:rsidRPr="007E4DD6">
        <w:rPr>
          <w:b/>
          <w:i/>
          <w:sz w:val="26"/>
          <w:szCs w:val="26"/>
          <w:lang w:val="nl-NL"/>
        </w:rPr>
        <w:t>1.2. Yêu cầu về kỹ thuật</w:t>
      </w:r>
    </w:p>
    <w:tbl>
      <w:tblPr>
        <w:tblW w:w="9938" w:type="dxa"/>
        <w:tblInd w:w="93" w:type="dxa"/>
        <w:tblLook w:val="04A0" w:firstRow="1" w:lastRow="0" w:firstColumn="1" w:lastColumn="0" w:noHBand="0" w:noVBand="1"/>
      </w:tblPr>
      <w:tblGrid>
        <w:gridCol w:w="595"/>
        <w:gridCol w:w="666"/>
        <w:gridCol w:w="2596"/>
        <w:gridCol w:w="778"/>
        <w:gridCol w:w="714"/>
        <w:gridCol w:w="4589"/>
      </w:tblGrid>
      <w:tr w:rsidR="007E4DD6" w:rsidRPr="007E4DD6" w:rsidTr="00367D6F">
        <w:trPr>
          <w:trHeight w:val="780"/>
          <w:tblHead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STT</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STT theo Lô</w:t>
            </w:r>
          </w:p>
        </w:tc>
        <w:tc>
          <w:tcPr>
            <w:tcW w:w="2596" w:type="dxa"/>
            <w:tcBorders>
              <w:top w:val="single" w:sz="4" w:space="0" w:color="auto"/>
              <w:left w:val="nil"/>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Tên hàng hóa</w:t>
            </w:r>
          </w:p>
        </w:tc>
        <w:tc>
          <w:tcPr>
            <w:tcW w:w="778" w:type="dxa"/>
            <w:tcBorders>
              <w:top w:val="single" w:sz="4" w:space="0" w:color="auto"/>
              <w:left w:val="nil"/>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ĐVT</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Khối lượng</w:t>
            </w:r>
          </w:p>
        </w:tc>
        <w:tc>
          <w:tcPr>
            <w:tcW w:w="4589" w:type="dxa"/>
            <w:tcBorders>
              <w:top w:val="single" w:sz="4" w:space="0" w:color="auto"/>
              <w:left w:val="nil"/>
              <w:bottom w:val="single" w:sz="4" w:space="0" w:color="auto"/>
              <w:right w:val="single" w:sz="4" w:space="0" w:color="auto"/>
            </w:tcBorders>
            <w:shd w:val="clear" w:color="auto" w:fill="auto"/>
            <w:vAlign w:val="center"/>
            <w:hideMark/>
          </w:tcPr>
          <w:p w:rsidR="007E4DD6" w:rsidRPr="007E4DD6" w:rsidRDefault="007E4DD6" w:rsidP="00367D6F">
            <w:pPr>
              <w:jc w:val="center"/>
              <w:rPr>
                <w:b/>
                <w:bCs/>
                <w:color w:val="000000"/>
                <w:sz w:val="20"/>
              </w:rPr>
            </w:pPr>
            <w:r w:rsidRPr="007E4DD6">
              <w:rPr>
                <w:b/>
                <w:bCs/>
                <w:color w:val="000000"/>
                <w:sz w:val="20"/>
              </w:rPr>
              <w:t>Thông số kỹ thuật và các tiêu chuẩn</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MIỄN DỊCH TỰ ĐỘNG ACCESS 2 HOẶC TƯƠNG ĐƯƠNG</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AFP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AFP trong huyết thanh người trên máy xét nghiệm miễn dịch tự động; Phương pháp: enzym miễn dịch hai vị trí gắn (“sandwich”); Dải đo: xấp xỉ 0,5–3000 ng/mL [0,41–2478 IU/mL]; Thành phần chính: Các hạt thuận từ phủ kháng thể (đơn dòng, chuột) kháng AFP được phân tán trong dung dịch muối đệm TRIS, có chất hoạt động bề mặt, chất nền albumin huyết thanh bò (BSA), natri azid, ProClin, chất cộng hợp phosphatase kiềm (bò) - kháng thể (đơn dòng, chuột) kháng AFP được pha loãng trong dung dịch muối đệm phosphat, protein (dê, thỏ, chuột)</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AFP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AFP trên máy xét nghiệm miễn dịch tự động; Thành phần chính: Đệm nền albumin huyết thanh bò (BSA) có chất hoạt động bề mặt, natri azid, ProClin, AFP ở các mức nồng độ 0 ng/mL, xấp xỉ 2,5; 5; 25; 100; 500 và 3000 ng/mL</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BR MONITOR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CA 15-3 trong huyết thanh và huyết tương người (chống đông bằng heparin) trên máy xét nghiệm miễn dịch tự động; Phương pháp: enzym miễn dịch hai vị trí gắn (“sandwich”); Dải đo: xấp xỉ 0,5-1000 U/mL; Thành phần chính: Các hạt thuận từ phủ kháng thể (dê) kháng biotin, kháng thể (chuột, đơn dòng, gắn biotin) kháng kháng nguyên CA 15-3, albumin huyết thanh bò, natri azid, ProClin, chất cộng hợp phosphatase kiềm (bò) - kháng thể (chuột, đơn dòng) kháng kháng nguyên CA 15-3, dung dịch đệm protein (bò, dê, chuột)</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CEA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CEA trong huyết thanh người trên máy xét nghiệm miễn dịch tự động; Phương pháp: miễn dịch enzym hai vị trí gắn, kiểu “sandwich”; Dải đo: xấp xỉ 0,1–1000 ng/mL; Thành phần chính: Pha rắn các hạt thuận từ phủ MAb (chuột) kháng CEA, được phân tán trong dung dịch đệm TRIS, albumin huyết thanh bò (BSA), natri azit, ProClin, chất cộng hợp MAb (chuột) kháng CEA gắn phosphatase kiềm (bò), được pha loãng trong dung dịch đệm phosphat, protein (chuột, bò)</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CEA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CEA trên máy xét nghiệm miễn dịch tự động; Thành phần chính: Dung dịch đệm phosphat, protein (bò), natri azit, ProClin, Kháng nguyên carcinoembryonic (người) ở các mức nồng độ xấp xỉ 1, 10, 100, 500, 1000 ng/mL</w:t>
            </w:r>
          </w:p>
        </w:tc>
      </w:tr>
      <w:tr w:rsidR="007E4DD6" w:rsidRPr="007E4DD6" w:rsidTr="00367D6F">
        <w:trPr>
          <w:trHeight w:val="4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CONTRAD 70</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Bình</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Thành phần: KOH 1-5%</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Free T3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T3 tự do trong huyết thanh và huyết tương người trên máy xét nghiệm miễn dịch tự động; Phương pháp: miễn dịch enzyme gắn cạnh tranh; Dải đo: xấp xỉ 0,88–30 pg/mL [1,4–46 pmol/L]; Thành phần chính: Các hạt thuận từ phủ streptavidin trong dung dịch đệm TRIS có protein (chim), chất hoạt động bề mặt, NaN3, ProClin, dung dịch đệm MES, chất tương tự T3 gắn biotin, protein (dê, bò, chim), chất cộng hợp kháng thể đơn dòng-phosphatase kiềm trong dung dịch ACES</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Free T3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T3 tự do trên máy xét nghiệm miễn dịch tự động; Thành phần chính: Dung dịch đệm HEPES, protein (bò), chất hoạt động bề mặt, NaN3, ProClin, T3 ở các mức nồng độ 0 pg/mL, xấp xỉ 1, 2, 5, 10 và 30 pg/mL</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Free T4</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T4 tự do trong huyết thanh và huyết tương người (heparin) trên máy xét nghiệm miễn dịch tự động; Phương pháp: miễn dịch enzyme 2 bước; Dải đo: xấp xỉ 0,25-6,0 ng/dL [3,2-77,2 pmol/L]; Thành phần chính: Các hạt thuận từ phủ streptavidin, muối đệm TRIS, chất hoạt động bề mặt, NaN3, ProClin, chất cộng hợp phosphatase kiềm (bò) – Triiodothyronin, kháng thể (đơn dòng, chuột) kháng Thyroxin – T4 gắn biotin, protein (chim và chuột)</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Free T4 Caibrators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T4 tự do trên máy xét nghiệm miễn dịch tự động; Thành phần chính: Huyết thanh người, natri azit, ProClin, thyroxine ở các mức nồng độ 0 ng/dL, xấp xỉ 0,5, 1,0, 2,0, 3,0 và 6,0 ng/dL</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GI MONITOR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CA 19-9 trong huyết thanh và huyết tương người trên máy xét nghiệm miễn dịch tự động; Phương pháp: enzym miễn dịch hai vị trí gắn (“sandwich”); Dải đo: xấp xỉ 0,8–2000 U/mL; Thành phần chính: Các hạt thuận từ phủ kháng thể (dê, đa dòng) kháng biotin, albumin huyết thanh bò, natri azid, ProClin, chất cộng hợp phosphatase kiềm (bò) - kháng thể (chuột, đơn dòng) kháng kháng nguyên CA 19-9, chất cộng hợp biotin - kháng thể (chuột, đơn dòng) kháng kháng nguyên CA 19-9, dung dịch đệm protein (bò, dê, chuột)</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GI MONITOR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CA 19-9 trên máy xét nghiệm miễn dịch tự động; Thành phần chính: Albumin huyết thanh bò (BSA) đệm, natri azid, ProClin, kháng nguyên CA 19-9 ở các nồng độ xấp xỉ 30, 90, 300, 900 và 2000 U/mL</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tính kháng nguyên bề mặt virus viêm gan B (HBsAg) trong huyết thanh và huyết tương người trên máy xét nghiệm miễn dịch tự động; Phương pháp: enzym miễn dịch một bước (“sandwich”); Thành phần chính: Các hạt thuận từ phủ streptavidin và liên kết với các kháng thể (đơn dòng, chuột) đặc hiệu với HBs Ag được biotin hóa trong dung dịch đệm TRIS có albumin huyết thanh bò (BSA), natri azit, ProClin, protein (chuột, bò), kháng thể (đơn dòng, chuột) đặc hiệu với HBs Ag cộng hợp với phosphatase kiềm (tái tổ hợp) trong dung dịch đệm phosphate</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QC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Vật liệu kiểm soát xét nghiệm định tính kháng nguyên bề mặt virus viêm gan B (HBsAg) trên máy xét nghiệm miễn dịch tự động; Thành phần chính: Huyết tương người được khử fibrin, HBs Ag âm tính, HBs Ag dương tính, NaN3, ProClin</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tính kháng nguyên bề mặt virus viêm gan B (HBsAg) trên máy xét nghiệm miễn dịch tự động; Thành phần chính: Đệm nền albumin huyết thanh bò (BSA), NaN3, ProClin, kháng nguyên HBs</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kháng thể kháng kháng nguyên bề mặt virus viêm gan B trong huyết thanh và huyết tương người trên máy xét nghiệm miễn dịch tự động; Phương pháp: enzym miễn dịch một bước (“sandwich”); Dải đo: xấp xỉ 0-750 mIU/mL; Thành phần chính: Các hạt thuận từ phủ kháng nguyên bề mặt virus viêm gan B (loại phụ "ay" và "ad", từ người, khử hoạt tính bằng nhiệt), trong dung dịch muối đệm TRIS, có chất hoạt tính bề mặt, BSA, natri azit, Cosmocil, kháng nguyên bề mặt virus viêm gan B (loại phụ "ay" và "ad", từ người, khử hoạt tính bằng nhiệt) — photphataza kiềm (tái tổ hợp) trong dung dịch muối đệm phosphate</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HBsAb QC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Vật liệu kiểm soát xét nghiệm định lượng kháng thể kháng kháng nguyên bề mặt virus viêm gan B trên máy xét nghiệm miễn dịch tự động; Thành phần chính: Huyết tương người đã loại bỏ fibrin, natri azid, ProClin, âm tính (không phản ứng) với kháng thể kháng HBs, huyết tương người đã loại bỏ fibrin có các gamma globulin người đặc hiệu với HBs Ag, dương tính (phản ứng) với các kháng thể kháng HBs ở nồng độ xấp xỉ 60 mIU/mL</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HBsAb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kháng thể kháng kháng nguyên bề mặt virus viêm gan B trên máy xét nghiệm miễn dịch tự động; Thành phần chính: Huyết tương đã loại bỏ fibrin/huyết thanh người, kháng thể kháng HBs ở các mức nồng độ 0 mIU/mL, xấp xỉ 10, 20, 50, 250 và 750 mIU/mL</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TnI</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Troponin I tim trong huyết thanh hoặc huyết tương người trên máy xét nghiệm miễn dịch tự động; Phương pháp: miễn dịch enzym hai bước liên tiếp (“sandwich”); Dải đo: xấp xỉ 2,3-27027 pg/mL; Thành phần chính: Các hạt thuận từ được bao phủ bằng kháng thể (đơn dòng, chuột) kháng cTnI của người được phân tán trong dung dịch muối đệm TRIS, có chất hoạt động bề mặt, albumin huyết thanh bò (BSA), natri azid, ProClin, chất cộng hợp giữa kháng thể (đơn dòng, cừu) kháng cTnI của người với phosphatase kiềm được pha loãng trong dung dịch muối đệm ACES, protein (bò, cừu, chuột)</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TnI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Troponin I tim trên máy xét nghiệm miễn dịch tự động; Thành phần chính: Đệm nền albumin huyết thanh bò (BSA) với chất hoạt động bề mặt, natri azid, ProClin, phức hợp troponin tái tổ hợp ở các mức nồng độ cTnI xấp xỉ 30,7; 144; 567; 2293; 9280 và 27027 pg/mL</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Immunoassay System Reaction Vessels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Giếng phản ứng sử dụng trên máy xét nghiệm miễn dịch; Chất liệu Polypropylene; Dung tích tối đa 1 mL</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OV MONITOR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CA 125 trong huyết thanh và huyết tương người trên máy xét nghiệm miễn dịch tự động; Phương pháp: enzym miễn dịch hai vị trí gắn (“sandwich”); Dải đo: xấp xỉ 0,5 U/mL - 5000 U/mL; Thành phần chính: Các hạt thuận từ phủ kháng thể (dê) kháng biotin, kháng thể (đơn dòng, chuột, gắn biotin) kháng kháng nguyên CA 125, albumin huyết thanh bò, natri azid, ProClin, chất cộng hợp phosphatase kiềm (bò) - kháng thể (đơn dòng, chuột) kháng kháng nguyên CA 125, dung dịch đệm protein (bò, dê, chuột)</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OV Monitor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CA 125 trên máy xét nghiệm miễn dịch tự động; Thành phần chính: Albumin huyết thanh bò (BSA) đệm, natri azid, ProClin, Kháng nguyên CA 125 ở các nồng độ xấp xỉ 25, 100, 500, 2000 và 5000 U/mL</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PSA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PSA toàn phần trong huyết thanh người trên máy xét nghiệm miễn dịch tự động; Phương pháp: enzym miễn dịch hai vị trí gắn (“sandwich”); Dải đo: xấp xỉ 0,008–150 ng/mL với hiệu chuẩn Hybritech hoặc xấp xỉ 0,008–121 ng/mL với hiệu chuẩn WHO; Thành phần chính: Các hạt thuận từ phủ kháng thể (chuột, đơn dòng) kháng PSA được phân tán trong dung dịch muối đệm TRIS, có chất hoạt động bề mặt, albumin huyết thanh bò (BSA), natri azid, ProClin, chất cộng hợp phosphatase kiềm (bò) với kháng thể (chuột, đơn dòng) kháng PSA được pha loãng trong dung dịch muối đệm phosphat, protein (chuột)</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PSA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PSA toàn phần trên máy xét nghiệm miễn dịch tự động; Thành phần chính: Albumin huyết thanh bò (BSA) đệm, natri azid, ProClin, PSA người ở các nồng độ xấp xỉ 0,5, 2, 10, 75 và 150 ng/mL đối với hiệu chuẩn của Hybritech (hoặc 0,4, 1,7, 8, 58 và 121 ng/mL đối với hiệu chuẩn của WHO) trong BSA đệm</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Sample Cup, 2.0mL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Túi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Cốc đựng mẫu dùng cho máy xét nghiệm miễn dịch; Chất liệu: Polystyrene; Dung tích 2mL; Đáy hình nón</w:t>
            </w:r>
          </w:p>
        </w:tc>
      </w:tr>
      <w:tr w:rsidR="007E4DD6" w:rsidRPr="007E4DD6" w:rsidTr="00367D6F">
        <w:trPr>
          <w:trHeight w:val="6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Substrate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chính: Lumi-Phos 530 (dung dịch đệm chứa dioxetane Lumigen PPD, chất huỳnh quang và chất hoạt tính bề mặt)</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TSH (3rd IS)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TSH trong huyết tương hoặc huyết thanh người trên máy xét nghiệm miễn dịch tự động; Phương pháp: miễn dịch enzyme 2 vị trí gắn kiểu “sandwich”; Dải đo: xấp xỉ 0,005 – 50,0 μIU/mL [mIU/L]; Thành phần chính: Các hạt thuận từ phủ kháng thể (chuột, đơn dòng) kháng TSH người, muối đệm TRIS, chất hoạt động bề mặt, albumin huyết thanh bò (BSA), natri azide, ProClin, kháng thể (chuột, đơn dòng) kháng TSH cộng hợp với phosphatase kiềm, muối đệm ACES, protein (chuột)</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TSH (3rd IS)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Chất hiệu chuẩn xét nghiệm định lượng TSH; Thành phần chính: Chất nền albumin huyết thanh bò (BSA) đệm có chất hoạt động bề mặt, natri azit, ProClin, hTSH ở các mức nồng độ 0 µIU/mL, xấp xỉ 0,05; 0,3; </w:t>
            </w:r>
            <w:r w:rsidRPr="007E4DD6">
              <w:rPr>
                <w:color w:val="000000"/>
                <w:sz w:val="20"/>
              </w:rPr>
              <w:lastRenderedPageBreak/>
              <w:t>3; 15 và 50 µIU/mL</w:t>
            </w:r>
          </w:p>
        </w:tc>
      </w:tr>
      <w:tr w:rsidR="007E4DD6" w:rsidRPr="007E4DD6" w:rsidTr="00367D6F">
        <w:trPr>
          <w:trHeight w:val="9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30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WASH BUFFER II</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chính: Dung dịch muối đệm TRIS, chất hoạt tính bề mặt, natri azit, khối lượng phản ứng: 5-chloro-2-methyl-4-isothiazolin-3-one và 2-methyl-4-isothiazolin-3-one (3:1)</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PSA Sample Diluent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pha loãng mẫu dùng cho xét nghiệm Hybritech PSA để pha loãng các mẫu bệnh phẩm bệnh nhân có nồng độ PSA toàn phần (Prostate specific antigen - kháng nguyên đặc hiệu tuyến tiền liệt) lớn hơn giá trị nồng độ của chất hiệu chuẩn S5; Thành phần chính: Albumin huyết thanh bò đệm, natri azit, ProClin</w:t>
            </w:r>
          </w:p>
        </w:tc>
      </w:tr>
      <w:tr w:rsidR="007E4DD6" w:rsidRPr="007E4DD6" w:rsidTr="00367D6F">
        <w:trPr>
          <w:trHeight w:val="9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BR Monitor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CA 15-3; Thành phần chính: Albumin huyết thanh bò (BSA), natri azid, ProClin, Kháng nguyên CA 15-3 ở các nồng độ xấp xỉ 10, 50, 100, 500 và 1000 U/mL trong BSA đệm</w:t>
            </w:r>
          </w:p>
        </w:tc>
      </w:tr>
      <w:tr w:rsidR="007E4DD6" w:rsidRPr="007E4DD6" w:rsidTr="00367D6F">
        <w:trPr>
          <w:trHeight w:val="6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System Check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kiểm tra hệ thống; Thành phần chính: Phosphatase kiềm, albumin huyết thanh bò (BSA), ProClin, natri azit</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Citranox</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Bình</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được dùng cho quy trình làm sạch các máy xét nghiệm miễn dịch dòng Access;Thành phần chính: Acid hữu cơ</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BNP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BNP trong các mẫu xét nghiệm huyết tương chống đông bằng EDTA; Phương pháp: enzym miễn dịch hai vị trí (“sandwich”); Dải đo: xấp xỉ 3–5000 pg/mL; Thành phần chính: Các hạt thuận từ phủ kháng thể (chuột, đơn dòng) kháng BNP người được phân tán trong dung dịch muối đệm TRIS, albumin huyết thanh bò (BSA), ProClin, natri azid, IgG dê và chuột tinh khiết trong dung dịch muối đệm TRIS, chất cộng hợp kháng thể (chuột, đơn dòng) kháng BNP (người) - phosphatase kiềm, muối đệm PBS</w:t>
            </w:r>
          </w:p>
        </w:tc>
      </w:tr>
      <w:tr w:rsidR="007E4DD6" w:rsidRPr="007E4DD6" w:rsidTr="00367D6F">
        <w:trPr>
          <w:trHeight w:val="9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BNP QC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Vật liệu kiểm soát xét nghiệm định lượng BNP; Thành phần chính: Phức hợp BNP (người) tái tổ hợp ở các mức xấp xỉ 80, 400, 2200 pg/mL trong chất nền BSA đệm có chất hoạt động bề mặt, natri azid, ProClin</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BNP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BNP; Thành phần chính: Chất nền đệm albumin huyết thanh bò (BSA) với chất hoạt động bề mặt, natri azid, ProClin, phức hợp BNP (người) tái tổ hợp ở các nồng độ xấp xỉ 25, 100, 500, 2500 và 5000 pg/mL</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Định lượng Cortisol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cortisol trong huyết tương (chống đông bằng heparin, EDTA), huyết thanh và nước tiểu người; Phương pháp: miễn dịch enzyme gắn cạnh tranh; Dải đo: xấp xỉ 0,4–60 µg/dL [11–1655 nmol/L]; Thành phần chính: Chất cộng hợp cortisol – phosphatase kiềm (bò) và các hạt thuận từ phủ kháng thể (dê) kháng IgG thỏ trong dung dịch muối đệm TRIS, chất hoạt động bề mặt, nền albumin huyết thanh bò (BSA), natri azit, kháng huyết thanh (thỏ) kháng cortisol trong dung dịch muối đệm TRIS</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chuẩn Cortisol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cortisol; Thành phần chính: Huyết thanh người, natri azit, ProClin, cortisol ở các mức nồng độ 0 µg/dL, xấp xỉ 2, 5, 10, 25 và 60 µg/dL</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40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Định lượng Total βhCG (5th IS)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βhCG toàn phần trong huyết thanh và huyết tương người; Phương pháp: miễn dịch enzym (kiểu “sandwich”), hai bước liên tiếp; Dải đo: xấp xỉ 0,5-1350 mIU/mL [IU/L]; Thành phần chính: Các hạt thuận từ phủ phức hợp kháng thể (dê) kháng IgG chuột - kháng thể (đơn dòng, chuột) kháng βhCG phân tán trong muối đệm TRIS, chất hoạt động bề mặt, albumin huyết thanh bò (BSA), natri azit, ProClin, protein (dê, chuột và tái tổ hợp) được pha loãng trong muối đệm citrat, kháng thể (thỏ) kháng βhCG gắn phosphatase kiềm (tái tổ hợp) được pha loãng trong muối đệm MES, protein (thỏ)</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chuẩn TOTAL βhCG (5th IS)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xét nghiệm định lượng βhCG toàn phần; Thành phần chính: Đệm nền albumin huyết thanh bò (BSA), chất hoạt động bề mặt, natri azit, ProClin, hCG ở các mức nồng độ 0 mIU/mL, xấp xỉ 6, 35, 195, 620 và 1350 mIU/mL</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XÉT NGHIỆM SINH HÓA HOÀN TOÀN TỰ ĐỘNG CÓ ĐIỆN GIẢI AU 480 HOẶC TƯƠNG ĐƯƠNG</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α-Amylase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α-amylase; Thành phần: MES (pH 6,05) 36,1 mmol/L; Canxi axetat 3,60 mmol/L; NaCl 37,2 mmol/L; Kali thiocyanate 253 mmol/L; CNPG3 1,63 mmol/L; Phương pháp: CNPG3; Dải tuyến tính: Huyết thanh/ huyết tương: 10 – 2000 U/L (0,2 – 33,3 μkat/L), Nước tiểu: 5 – 4800 U/L (0,1 – 80 μkat/L) ; Bước sóng: 410 nm; Loại mẫu: Huyết thanh, huyết tương, nước tiểu; Độ lặp lại: CV ≤ 5,0%; Độ chụm toàn phần: CV ≤ 10,0%</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ALT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định lượng ALT; Thành phần: Tris buffer pH 7,15 (37°C) 100mmol/L; L-Аlanine 500mmol/L; 2-Oxoglutarate 12mmol/L; LDH 1,8kU/L; NADH 0,2mmol/L; Phương pháp: Dựa trên khuyến cáo của IFCC; Dải tuyến tính: 3 – 500 U/L (0,05 – 8,33 μkat/L); Bước sóng: 340 nm; Loại mẫu: Huyết thanh, huyết tương; Độ lặp lại: CV ≤ 5%; Độ chụm toàn phần: CV ≤ 10%</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định lượng AST; Thành phần: Tris buffer, pH 7,65 (37°C) 80mmol/L; L-aspartate 240mmol/L; 2-Oxoglutarate 12mmol/L; LDH ≥ 0,9kU/L; MDH ≥ 0,6kU/L; NADH 0,2mmol/L ; Phương pháp: Dựa trên khuyến cáo của IFCC; Dải tuyến tính: 3 – 1000 U/L (0,05 – 16,7 μkat/L); Bước sóng: 340 nm; Loại mẫu: Huyết thanh, huyết tương; Độ lặp lại: CV ≤ 5%; Độ chụm toàn phần: CV ≤ 10%</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CK (NAC)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CK; Thành phần: Immidazole (pH 6,5, 37°C)   100 mmol/L; NADP    2,0 mmol/L; ADP   2,0 mmol/L; AMP   5,0 mmol/L; EDTA    2,0 mmol/L; Glucose   20 mmol/L; Creatine phosphate    30 mmol/L; N-acetylcysteine    0,2 mmol/L; Activator   26 mmol/L; Mg2+   10 mmol/L; Diadenosine pentaphosphate   0,01 mmol/L; HK ≥  4,0 kU/L; G6P-DH  ≥ 2,8 kU/L; Phương pháp: Dựa trên khuyến cáo của IFCC; Dải tuyến tính: 10 – 2000 U/L (0,17 – 33,33 μkat/L); Bước sóng:  340 nm; Loại mẫu: Huyết thanh, huyết tương; Độ lặp lại: CV ≤ 5%; Độ chụm toàn phần: CV ≤ 10%</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46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CK-MB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CK-MB; Thành phần: Dung dịch đệm imidazole (pH 6,7) 100 mmol/L; Diadenosine-pentaphosphate 0,01 mmol/L; Hexokinase (HK)  ≥ 4 kU/L; EDTA 2 mmol/L; NADP 2 mmol/L; Glucose 20 mmol/L; G6P-DH ≥  2,8 kU/L; Creatine phosphate 30 mmol/L; ADP 2 mmol/L; N-Acetylcysteine 0,2 mmol/L; Mg-Acetate 10 mmol/L; Chất hoạt hóa 26 mmol/L; AMP 5 mmol/L; Kháng thể kháng tiểu đơn vị CK-M; Phương pháp: Ức chế miễn dịch enzym; Dải tuyến tính: 10 – 2000 U/L (0,17 – 33,33 μkat/L); Bước sóng: 340 nm; Loại mẫu: Huyết thanh, huyết tương; Độ lặp lại: CV ≤ 5%; Độ chụm toàn phần: CV ≤ 6,5%</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CK-MB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dùng trong xét nghiệm CK-MB;  Thành phần: Huyết thanh người đông khô chứa  isoenzym creatine kinase-MB;  Giá trị được chuẩn hóa theo CK total IFCC Reference Method</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Cleaning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Bình</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Thành phần: Sodium Hypochlorite 5 - 10%;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Creatinine (Enzymatic)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creatinine; Thành phần: Đệm Good 50 mmol/L, Creatinase 56,3 IU/mL; Sarcosine oxidase 15 IU/mL; HMMPS 0,68 mmol/L; Creatininase 100 IU/mL; Peroxidase 12,5 U/mL, 4-Aminoantipyrine 1,53 mmol/L;; Phương pháp: Enzymatic; Dải tuyến tính: Huyết thanh/ huyết tương: 4,4 – 4420 μmol/L (0,05 – 50,0 mg/dL), Nước tiểu: 88 – 44200 μmol/L (1 – 500 mg/dL); Bước sóng:  600 nm; Loại mẫu: Huyết thanh, huyết tương, nước tiểu; Độ lặp lại: CV ≤ 3%; Độ chụm toàn phần: CV ≤ 5%</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CRP Latex</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CRP độ nhạy cao; Thành phần: Glycine buffer 100 mmol/L; Latex, phủ kháng thể kháng CRP &lt; 0,5% w/v; Phương pháp: Miễn dịch đo độ đục; Dải tuyến tính: Ứng dụng bình thường: 0,2–480 mg/L, Ứng dụng độ nhạy cao: 0,08–80 mg/L; Loại mẫu: Huyết thanh, huyết tương; Độ lặp lại: CV ≤ 6%; Độ chụm toàn phần: CV ≤ 10%</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CRP Latex Calibrator Highly Sensitive (HS) set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cho xét nghiệm CRP độ nhạy cao;  Thành phần: Chất nền huyết thanh người dạng lỏng có chứa CRP người;  Chất hiệu chuẩn gồm mức 2 đến mức 6;  Các giá trị được gán theo tiêu chuẩn IFCC bằng phương pháp miễn dịch đo độ đục</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Cholesterol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định lượng cholesterol; Thành phần: Dung dịch đệm photphat (pH 6,5) 103 mmol/L; 4-Aminoantipyrine 0,31 mmol/L; Phenol 5,2 mmol/L; Cholesterol esterase ≥ 0,2 kU/L (3,3 μkat/L); Cholesterol oxidase  ≥ 0,2 kU/L (3,3 μkat/L); Peroxidase  ≥ 10 kU/L (166,7 μkat/L); Phương pháp: Enzymatic; Dải tuyến tính: 0,5 – 18,0 mmol/L (20 – 700 mg/dL); Bước sóng:  540 nm; Loại mẫu: Huyết thanh, huyết tương; Độ lặp lại CV ≤ 3% Độ chụm toàn phần: CV ≤ 3%</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GGT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GGT; Thành phần: Glycylglycine, pH 7,7 (37°C)  150 mmol/L; L-γ-glutamyl-3-carboxy-4-nitroanilide  6 mmol/L; Phương pháp: Dựa trên khuyến cáo của IFCC; Dải tuyến tính: 5 - 1200 U/L (0,08 – 20,00 μkat/L); Bước sóng:  410 nm; Loại mẫu: Huyết thanh, huyết tương;  Độ lặp lại: CV ≤ 5%; Độ chụm toàn phần: CV ≤ 10%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54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Glucose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định lượng glucose; Thành phần: Dung dịch đệm PIPES (pH 7,6) 24 mmol/L; ATP  ≥ 2 mmol/L; NAD+ ≥ 1,32 mmol/L; Mg2+ 2,37 mmol/L; Hexokinase  ≥ 0,59 kU/L; G6P-DH ≥  1,58 kU/L ; Phương pháp: Enzymatic (hexokinase method); Dải tuyến tính: Huyết thanh/ huyết tương/ dịch não tủy: 0,6 – 45,0 mmol/L, Nước tiểu: 0,2 – 45 mmol/L; Bước sóng: 340 nm; Loại mẫu: Huyết thanh, huyết tương, nước tiểu và dịch não tủy; Độ lặp lại: CV ≤ 3%; Độ chụm toàn phần: CV ≤ 5%</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HDL- CHOLESTEROL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HDL-cholesterol; Thành phần: Kháng thể kháng β-lipoprotein ở người; Cholesterol esterase (CHE) 0,8 IU/mL; Cholesterol oxidase (CHO) 4,4 IU/mL; Peroxidase (POD) 1,7 IU/mL; Ascorbate Oxidase 2 IU/mL; Dung dịch đệm Good's (pH 7) 30 mmol/L; N-Ethyl - N - (2-hydroxy-3-sulfopropyl) - 3,5- dimethoxy - 4 fluoroaniline (F-DAOS) 0,2 mmol/L; 4-Aminoantipyrine 0,67 mmol/L; Phương pháp: Enzymatic; Dải tuyến tính: 0,05 - 4,65 mmol/L (2 -180 mg/dL); Loại mẫu: Huyết thanh, huyết tương; Độ lặp lại: CV ≤ 3,0%; Độ chụm toàn phần: CV ≤ 4,0%</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HDL-Cholesterol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chuẩn dùng cho xét nghiệm định lượng HDL-Cholesterol;  Thành phần: Huyết thanh người dạng bột đông khô chứa HDL-Cholesterol (người);  Giá trị chất hiệu chuẩn có thể được truy xuất theo phương pháp tham chiếu HDL-cholesterol của US CDC (Centre for Disease Control)</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Lactate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L-Lactate; Thành phần: Lactate oxidase ≥  0,2 kU/L; Peroxidase ≥ 1 kU/L; Good’s Buffer (pH 7,0) 50 mmol/L; 4-aminoantipyrine 0,1 mmol/L; TOOS  ≥ 0,3 mmol/L; N-ethyl-N-(2-hydroxy-3-sulfopropyl)-3-methylaniline; Phương pháp: Enzymatic; Dải tuyến tính: 0,22 – 13,32 mmol/L (2 – 120 mg/dL); Loại mẫu: Huyết tương, dịch não tủy; Độ lặp lại: CV ≤ 5,0%; Độ chụm toàn phần: CV ≤ 5,0%</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LDL-Cholesterol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LDL-cholesterol; Thành phần: Cholesterol esterase 3,7 IU/mL; Cholesterol oxidase 3,7 IU/mL; Peroxidase 4,9 IU/mL; Natri azit 0,1%; Dung dịch đệm của Good (pH 6,8) 25 mmol/L; 4-aminoantipyrine 0,8 mmol/L; Catalase 743 IU/mL; HDAOS 0,47 mmol/L; Phương pháp: Enzymatic; Dải tuyến tính: 0,26 - 10,3 mmol/L (10 - 400 mg/dL); Bước sóng:  600 nm; Loại mẫu: Huyết thanh, huyết tương; Độ lặp lại: CV ≤ 3,0%; Độ chụm toàn phần: CV ≤ 4,0%</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LDL-Cholesterol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cho xét nghiệm LDL-Cholesterol;  Thành phần: Huyết thanh người dạng bột đông khô chứa LDL-Cholesterol (người).; Giá trị chất hiệu chuẩn có thể được truy xuất theo phương pháp tham chiếu LDL-cholesterol của US CDC (Centre for Disease Control)</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Lipase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Hóa chất dùng cho xét nghiệm định lượng lipase; Thành phần: Đệm MES/BES (pH 6,8) 27 mmol/L; Cơ chất 1,2-Diglyceride 0,04 mmol/L; Monoglyceride lipase &gt; 400 U/L; Glycerol kinase &gt; 100 U/L; POD &gt; 500 U/L; 4-Aminophenazone 0,25 mmol/L; TAPS (pH 8,7) 50 mmol/L; TOOS 1,0 mol/L; Co-lipase &gt; 15 kU/L; GPO &gt; 15 kU/L; ATP &gt; 0,85 mol/L; Chất hiệu chuẩn: Huyết thanh người chứa lipase lợn; Phương pháp: Đo màu động học; Dải tuyến tính: 3 – 600 U/L (0,05 – 10 μkat/L); Bước sóng:  540 nm; Loại mẫu: Huyết thanh, huyết tương; Độ lặp lại: CV ≤ </w:t>
            </w:r>
            <w:r w:rsidRPr="007E4DD6">
              <w:rPr>
                <w:color w:val="000000"/>
                <w:sz w:val="20"/>
              </w:rPr>
              <w:lastRenderedPageBreak/>
              <w:t>5,0%; Độ chụm toàn phần: CV ≤ 10%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61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NH3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xét nghiệm định lượng amoniac; Thành phần: Thuốc thử A1 chứa Natri tetraborat 30 mmol/L, chất bảo quản, pH 9,3; Thuốc thử A2 chứa Natri tetraborat 30 mmol/L, NADPH 0,24 mmol/L; Thuốc thử B chứa Hepes 400 mmol/L, 2-oxoglutarat 22 mmol/L, glutamat dehydrogenase &gt; 320 U/mL, chất bảo quản, pH 7; Phương pháp: Quang phổ, Glutamate Dehydrogenase; Loại mẫu: Huyết tương; Giới hạn phát hiện: 26,2 μmol/L (44,5 μg/dL); Giới hạn tuyến tính: 600 μmol/L (1022 μg/dL); Độ lặp lại: CV ≤ 4,5%; Độ chụm toàn phần: CV ≤ 6%</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Sample Cup 2.5mL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Túi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liệu: nhựa Polypropylene, Chiều cao: 3,8 cm, đường kính ngoài: 1,7 cm, đường kính đáy: 1,2 cm</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System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Huyết thanh hiệu chuẩn cho các xét nghiệm sinh hoá thường quy; Thành phần: Huyết thanh người, các enzym từ người, động vật và thực vật: Alkaline Phosphatase, ALT, AST, Amylase, Cholinesterase, CK-NAC, GGT, LDH, Albumin, Creatinine, Cholesterol, Glucose, Lactate, Lipase, Protein toàn phần, Triglycerid, UIBC, Ure, Uric Acid, Bilirubin, Phospho vô cơ, Calci, Sắt, Magnesi</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Triglyceride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định lượng triglyceride; Thành phần: Đệm PIPES (pH 7,5) 50 mmol/L; Mg2+ 4,6 mmol/L; MADB 0,25 mmol/L; 4-Aminoantipyrine 0,5 mmol/L; ATP 1,4 mmol/L; Lipases 1,5 kU/L (25 μkat/L); Glycerol kinase  0,5 kU/L (8,3 μkat/L); Peroxidase 0,98 kU/L (16,3 μkat/L); Ascorbate oxidase 1,48 kU/L (24,6 μkat/L); Glycerol-3-phosphate oxidase 1,48 kU/L (24,6 μkat/L); Phương pháp: Enzym; Dải tuyến tính: 0,1 – 11,3 mmol/L (10 – 1000 mg/dL); Bước sóng:  660 nm; Loại mẫu: Huyết thanh, huyết tương; Độ lặp lại: CV ≤ 3,0%; Độ chụm toàn phần: CV ≤ 5,0%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Urea/Urea nitrogen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urê; Thành phần: "Đệm Tris 100 mmol/L; NADH ≥ 0,26 mmol/L; Tetra Natri diphosphat 10 mmol/L; EDTA  2,65 mmol/L; 2-Oxoglutarat ≥ 9,8 mmol/L; Urease ≥ 17,76 kU/L; ADP ≥ 2,6 mmol/L; GLDH  ≥ 0,16 kU/L.; Phương pháp: GLDH, đo UV động học; Dải tuyến tính: Huyết thanh, huyết tương: 5–300 mg/dL (0,8–50,0 mmol/L) Nước tiểu: 60–4500 mg/dL (10-750 mmol/L); Loại mẫu: Huyết thanh, huyết tương, nước tiểu; Độ lặp lại: CV ≤ 5%; Độ chụm toàn phần CV ≤ 10%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Uric Acid</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Hóa chất dùng cho xét nghiệm định lượng axit uric; Thành phần: Đệm phosphat (pH 7,5) 42 mmol/L; MADB 0,15 mmol/L; 4-Aminophenazon 0,30 mmol/L; Peroxidase ≥ 5,9 kU/L (98 μkat/L); Uricase ≥ 0,25 kU/L (4,15 μkat/L); Ascorbat Oxidase ≥ 1,56 kU/L (26 μkat/L); Phương pháp: Uricase; Dải tuyến tính: Huyết thanh, huyết tương: 1,5–30 mg/dL (89–1785 μmol/L), Nước tiểu: 2–400 mg/dL (119–23800 μmol/L); Bước sóng: 660nm; Loại mẫu: Huyết thanh, huyết tương, nước tiểu; Độ lặp lại: CV ≤ 3%; Độ </w:t>
            </w:r>
            <w:r w:rsidRPr="007E4DD6">
              <w:rPr>
                <w:color w:val="000000"/>
                <w:sz w:val="20"/>
              </w:rPr>
              <w:lastRenderedPageBreak/>
              <w:t>chụm toàn phần: CV ≤ 5,0%</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67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Wash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Bình</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hệ thống ; Thành phần: Sodium Hydroxide 1 - 2%; Genapol X080 1 - 2%; Sulfonic acids, C14-17-sec-alkane, muối natri 1 - 5%.</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Albumin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albumin; Thành phần: Succinate buffer (pH 4,2) 100 mmol/L; Bromocresol green 0,2 mmol/L; Phương pháp: Bromocresol Green; Dải tuyến tính: 15 – 60 g/L (1,5 – 6,0 g/dL); Bước sóng:  600 nm; Loại mẫu: Huyết thanh, huyết tương; Độ lặp lại: CV ≤ 3%;  Độ chụm toàn phần: CV ≤ 3%</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Calcium Arsenazo</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canxi toàn phần; Thành phần:  Imidazol (pH 6,9); Arsenazo III  0,02%;  Phương pháp: Arsenazo III; Dải tuyến tính: Huyết thanh, huyết tương: 1 – 5 mmol/L (4 – 20 mg/dL); Nước tiểu: 0,1 – 10 mmol/L (0,4 – 40 mg/dL);  Bước sóng:  660 nm;  Loại mẫu: Huyết thanh, huyết tương, nước tiểu; Độ lặp lại ≤3%; Độ chụm toàn phần: ≤ 4%</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Direct Bilirubin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bilirubin trực tiếp; Thành phần: 3,5 Dichlorophenyl diazonium tetrafluoroborate 0,08 mmol/L; Phương pháp: DPD; Dải đo: 0,9 – 171 μmol/L (0,05 – 10 mg/dL); Bước sóng: 570 nm; Loại mẫu: Huyết thanh, huyết tương; Độ lặp lại: CV ≤ 5%; Độ chụm toàn phần: CV ≤ 7,5%</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LDH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LDH; Thành phần: D(-)N-Methylglucamin buffer, pH 9,4 (37°C) 325 mmol/L; Lactate 50 mmol/L; NAD+ 10 mmol/L; Phương pháp: Dựa trên khuyến cáo của IFCC; Dải tuyến tính: 25–1200 U/L (0,4–20 µkat/L); Bước sóng: 340nm; Loại mẫu: Huyết thanh, huyết tương; Độ lặp lại: CV ≤ 5,0%; Độ chụm toàn phần: CV ≤ 10,0%</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Bilirubin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bilirubin toàn phần; Thành phần: Cafein 2,1 mmol/L; 3,5 Dichlorophenyl diazonium tetrafluoroborat 0,31 mmol/L; Chất hoạt động bề mặt; Phương pháp: DPD; Dải tuyến tính: 0,5–513 µmol/L (0,03–30 mg/dL); Bước sóng: 540nm; Loại mẫu: Huyết thanh, huyết tương; Độ lặp lại: CV ≤ 3,0%; Độ chụm toàn phần: CV ≤ 5,0%</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Protein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protein toàn phần; Thành phần: Natri hydroxyd 200 mmol/L; Kali natri tartrat 32 mmol/L; Đồng sulphat 18,8 mmol/L; Kali iodid 30 mmol/L; Phương pháp: Đo quang; Dải tuyến tính: 30–120 g/L (3–12 g/dL); Bước sóng: 540nm; Loại mẫu: Huyết thanh, huyết tương; Độ lặp lại: CV ≤ 3,0%; Độ chụm toàn phần: CV ≤ 4,0%</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74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Urinary/CSF Protein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xét nghiệm định lượng protein toàn phần trong nước tiểu và CSF; Thành phần: R1: Pyrogallol đỏ 47 μmol/L;  Natri Molybdat 320 μmol/L; Axit succinic 50 mmol/L; Natri Benzoat 3,5 mmol/L; Natri Oxalate 1 mmol/L; Methanol 0,8% w/v; Chất hiệu chuẩn: Albumin huyết thanh người 0,5 g/L; Phương pháp: Đỏ Pyrogallol Molybdat; Dải tuyến tính: 0,01–2 g/L; Bước sóng: 600nm; Loại mẫu: Nước tiểu, dịch não tủy; Độ lặp lại: CV ≤ 5,0%; Độ chụm toàn phần: CV ≤ 10,0%</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XÉT NGHIỆM SINH HÓA HOÀN TOÀN TỰ ĐỘNG AUDIT 600 HOẶC TƯƠNG ĐƯƠNG</w:t>
            </w:r>
          </w:p>
        </w:tc>
      </w:tr>
      <w:tr w:rsidR="007E4DD6" w:rsidRPr="007E4DD6" w:rsidTr="00367D6F">
        <w:trPr>
          <w:trHeight w:val="357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Albumin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Albumin trong máu.</w:t>
            </w:r>
            <w:r w:rsidRPr="007E4DD6">
              <w:rPr>
                <w:color w:val="000000"/>
                <w:sz w:val="20"/>
              </w:rPr>
              <w:br/>
              <w:t>*. Nồng độ các thành phần trong thuốc thử:</w:t>
            </w:r>
            <w:r w:rsidRPr="007E4DD6">
              <w:rPr>
                <w:color w:val="000000"/>
                <w:sz w:val="20"/>
              </w:rPr>
              <w:br/>
              <w:t>- Succinate buffer  ≤ 108 mmol/L</w:t>
            </w:r>
            <w:r w:rsidRPr="007E4DD6">
              <w:rPr>
                <w:color w:val="000000"/>
                <w:sz w:val="20"/>
              </w:rPr>
              <w:br/>
              <w:t>- Bromocresol green (BCG)  ≤ 0.35  mmol/L</w:t>
            </w:r>
            <w:r w:rsidRPr="007E4DD6">
              <w:rPr>
                <w:color w:val="000000"/>
                <w:sz w:val="20"/>
              </w:rPr>
              <w:br/>
              <w:t>- Sodium hydroxide  ≤ 60 mmol/L</w:t>
            </w:r>
            <w:r w:rsidRPr="007E4DD6">
              <w:rPr>
                <w:color w:val="000000"/>
                <w:sz w:val="20"/>
              </w:rPr>
              <w:br/>
              <w:t>- Detergent</w:t>
            </w:r>
            <w:r w:rsidRPr="007E4DD6">
              <w:rPr>
                <w:color w:val="000000"/>
                <w:sz w:val="20"/>
              </w:rPr>
              <w:br/>
              <w:t>- Preservative</w:t>
            </w:r>
            <w:r w:rsidRPr="007E4DD6">
              <w:rPr>
                <w:color w:val="000000"/>
                <w:sz w:val="20"/>
              </w:rPr>
              <w:br/>
              <w:t>*. Độ nhạy: 1.14 g/dl (11.4 g/l).</w:t>
            </w:r>
            <w:r w:rsidRPr="007E4DD6">
              <w:rPr>
                <w:color w:val="000000"/>
                <w:sz w:val="20"/>
              </w:rPr>
              <w:br/>
              <w:t>*. Độ tuyến tính: lên đến 6.5 g/dl (65.0 g/L)</w:t>
            </w:r>
            <w:r w:rsidRPr="007E4DD6">
              <w:rPr>
                <w:color w:val="000000"/>
                <w:sz w:val="20"/>
              </w:rPr>
              <w:br/>
              <w:t>*. Độ đặc hiệu: Hemoglobin lên đến 2.5 g/dl, ascorbate lên đến 62 mg/l, bilirubin lên đến 20 mg/dl và triglyceride lên đến 1200 mg/dl không ảnh hưởng đến kết quả mẫu xét nghiệm.</w:t>
            </w:r>
            <w:r w:rsidRPr="007E4DD6">
              <w:rPr>
                <w:color w:val="000000"/>
                <w:sz w:val="20"/>
              </w:rPr>
              <w:br/>
              <w:t>- Phương pháp: BCG</w:t>
            </w:r>
            <w:r w:rsidRPr="007E4DD6">
              <w:rPr>
                <w:color w:val="000000"/>
                <w:sz w:val="20"/>
              </w:rPr>
              <w:br/>
              <w:t>- Đạt tiêu chuẩn: ISO 13485:2016, FSC</w:t>
            </w:r>
          </w:p>
        </w:tc>
      </w:tr>
      <w:tr w:rsidR="007E4DD6" w:rsidRPr="007E4DD6" w:rsidTr="00367D6F">
        <w:trPr>
          <w:trHeight w:val="38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Bilirubin Total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Bilirubin toàn phần trong máu</w:t>
            </w:r>
            <w:r w:rsidRPr="007E4DD6">
              <w:rPr>
                <w:color w:val="000000"/>
                <w:sz w:val="20"/>
              </w:rPr>
              <w:br/>
              <w:t>*. Nồng độ các thành phần trong thuốc thử:</w:t>
            </w:r>
            <w:r w:rsidRPr="007E4DD6">
              <w:rPr>
                <w:color w:val="000000"/>
                <w:sz w:val="20"/>
              </w:rPr>
              <w:br/>
              <w:t xml:space="preserve">R1: </w:t>
            </w:r>
            <w:r w:rsidRPr="007E4DD6">
              <w:rPr>
                <w:color w:val="000000"/>
                <w:sz w:val="20"/>
              </w:rPr>
              <w:br/>
              <w:t>- Citrate buffer  (pH 2.8)  90 mmol/L</w:t>
            </w:r>
            <w:r w:rsidRPr="007E4DD6">
              <w:rPr>
                <w:color w:val="000000"/>
                <w:sz w:val="20"/>
              </w:rPr>
              <w:br/>
              <w:t xml:space="preserve">- Detergent                         </w:t>
            </w:r>
            <w:r w:rsidRPr="007E4DD6">
              <w:rPr>
                <w:color w:val="000000"/>
                <w:sz w:val="20"/>
              </w:rPr>
              <w:br/>
              <w:t xml:space="preserve">R2: </w:t>
            </w:r>
            <w:r w:rsidRPr="007E4DD6">
              <w:rPr>
                <w:color w:val="000000"/>
                <w:sz w:val="20"/>
              </w:rPr>
              <w:br/>
              <w:t xml:space="preserve">- Phosphate buffer (pH 7.0) 4.6 mmol/L      </w:t>
            </w:r>
            <w:r w:rsidRPr="007E4DD6">
              <w:rPr>
                <w:color w:val="000000"/>
                <w:sz w:val="20"/>
              </w:rPr>
              <w:br/>
              <w:t>- Sodium metavanadate  3.0 mmol/L</w:t>
            </w:r>
            <w:r w:rsidRPr="007E4DD6">
              <w:rPr>
                <w:color w:val="000000"/>
                <w:sz w:val="20"/>
              </w:rPr>
              <w:br/>
              <w:t>*. Độ nhạy: 0.20 mg/dl (3.42 μmol/L)</w:t>
            </w:r>
            <w:r w:rsidRPr="007E4DD6">
              <w:rPr>
                <w:color w:val="000000"/>
                <w:sz w:val="20"/>
              </w:rPr>
              <w:br/>
              <w:t>*. Độ tuyến tính: Lên đến 59 mg/dl (1009 μmol/L)</w:t>
            </w:r>
            <w:r w:rsidRPr="007E4DD6">
              <w:rPr>
                <w:color w:val="000000"/>
                <w:sz w:val="20"/>
              </w:rPr>
              <w:br/>
              <w:t>*. Độ đặc hiệu: Haemoglobin lên đến 0.25 g/dl, ascorbic acid lên đến 500 mg/l và triglycerides lên đến 250 mg/dl không ảnh hưởng đến kết quả mẫu xét nghiệm.</w:t>
            </w:r>
            <w:r w:rsidRPr="007E4DD6">
              <w:rPr>
                <w:color w:val="000000"/>
                <w:sz w:val="20"/>
              </w:rPr>
              <w:br/>
              <w:t>- Phương pháp: VANAD</w:t>
            </w:r>
            <w:r w:rsidRPr="007E4DD6">
              <w:rPr>
                <w:color w:val="000000"/>
                <w:sz w:val="20"/>
              </w:rPr>
              <w:br/>
              <w:t>- Đạt tiêu chuẩn: ISO 13485:2016, FSC</w:t>
            </w:r>
          </w:p>
        </w:tc>
      </w:tr>
      <w:tr w:rsidR="007E4DD6" w:rsidRPr="007E4DD6" w:rsidTr="00367D6F">
        <w:trPr>
          <w:trHeight w:val="58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77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Bilirubin Direct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Bilirubin trực tiếp trong máu</w:t>
            </w:r>
            <w:r w:rsidRPr="007E4DD6">
              <w:rPr>
                <w:color w:val="000000"/>
                <w:sz w:val="20"/>
              </w:rPr>
              <w:br w:type="page"/>
              <w:t>*. Nồng độ các thành phần trong thuốc thử:</w:t>
            </w:r>
            <w:r w:rsidRPr="007E4DD6">
              <w:rPr>
                <w:color w:val="000000"/>
                <w:sz w:val="20"/>
              </w:rPr>
              <w:br w:type="page"/>
              <w:t xml:space="preserve">R1: </w:t>
            </w:r>
            <w:r w:rsidRPr="007E4DD6">
              <w:rPr>
                <w:color w:val="000000"/>
                <w:sz w:val="20"/>
              </w:rPr>
              <w:br w:type="page"/>
              <w:t>- Citrate buffer</w:t>
            </w:r>
            <w:r w:rsidRPr="007E4DD6">
              <w:rPr>
                <w:color w:val="000000"/>
                <w:sz w:val="20"/>
              </w:rPr>
              <w:br w:type="page"/>
              <w:t xml:space="preserve">- Hydroxylammonium chloride </w:t>
            </w:r>
            <w:r w:rsidRPr="007E4DD6">
              <w:rPr>
                <w:color w:val="000000"/>
                <w:sz w:val="20"/>
              </w:rPr>
              <w:br w:type="page"/>
              <w:t>- Stabilizers</w:t>
            </w:r>
            <w:r w:rsidRPr="007E4DD6">
              <w:rPr>
                <w:color w:val="000000"/>
                <w:sz w:val="20"/>
              </w:rPr>
              <w:br w:type="page"/>
              <w:t>- Detergent</w:t>
            </w:r>
            <w:r w:rsidRPr="007E4DD6">
              <w:rPr>
                <w:color w:val="000000"/>
                <w:sz w:val="20"/>
              </w:rPr>
              <w:br w:type="page"/>
              <w:t xml:space="preserve">- pH adjuster </w:t>
            </w:r>
            <w:r w:rsidRPr="007E4DD6">
              <w:rPr>
                <w:color w:val="000000"/>
                <w:sz w:val="20"/>
              </w:rPr>
              <w:br w:type="page"/>
              <w:t>- Preservative</w:t>
            </w:r>
            <w:r w:rsidRPr="007E4DD6">
              <w:rPr>
                <w:color w:val="000000"/>
                <w:sz w:val="20"/>
              </w:rPr>
              <w:br w:type="page"/>
              <w:t xml:space="preserve">R2: </w:t>
            </w:r>
            <w:r w:rsidRPr="007E4DD6">
              <w:rPr>
                <w:color w:val="000000"/>
                <w:sz w:val="20"/>
              </w:rPr>
              <w:br w:type="page"/>
              <w:t>- Sodium metavanadate  4.1 mmol/L</w:t>
            </w:r>
            <w:r w:rsidRPr="007E4DD6">
              <w:rPr>
                <w:color w:val="000000"/>
                <w:sz w:val="20"/>
              </w:rPr>
              <w:br w:type="page"/>
              <w:t>- Phosphate buffer</w:t>
            </w:r>
            <w:r w:rsidRPr="007E4DD6">
              <w:rPr>
                <w:color w:val="000000"/>
                <w:sz w:val="20"/>
              </w:rPr>
              <w:br w:type="page"/>
              <w:t>- pH adjuster</w:t>
            </w:r>
            <w:r w:rsidRPr="007E4DD6">
              <w:rPr>
                <w:color w:val="000000"/>
                <w:sz w:val="20"/>
              </w:rPr>
              <w:br w:type="page"/>
              <w:t>- Stabilizers</w:t>
            </w:r>
            <w:r w:rsidRPr="007E4DD6">
              <w:rPr>
                <w:color w:val="000000"/>
                <w:sz w:val="20"/>
              </w:rPr>
              <w:br w:type="page"/>
              <w:t>*. Độ tuyến tính: Lên đến 40 mg/dl (684 μmol/l) - Biolis 30i</w:t>
            </w:r>
            <w:r w:rsidRPr="007E4DD6">
              <w:rPr>
                <w:color w:val="000000"/>
                <w:sz w:val="20"/>
              </w:rPr>
              <w:br w:type="page"/>
              <w:t>*. Phạm vi đo: 0.04 mg/dl - 40 mg/dl (0.684 μmol/l - 684 μmol/l) - Biolis 30i</w:t>
            </w:r>
            <w:r w:rsidRPr="007E4DD6">
              <w:rPr>
                <w:color w:val="000000"/>
                <w:sz w:val="20"/>
              </w:rPr>
              <w:br w:type="page"/>
              <w:t>*. Độ đặc hiệu: Ascorbic acid lên đến 62 mg/l và triglyceride lên đến 550 mg/dl (trong các mẫu máu có nồng độ bilirubin trực tiếp thấp) và lên đến 900 mg/dl (trong các mẫu máu có nồng độ bilirubin trực tiếp cao) không ảnh hưởng đến kết quả mẫu xét nghiệm. Ngay cả Hemoglobin bị ảnh hưởng với 1 lượng nhỏ đến việc xét nghiệm.</w:t>
            </w:r>
            <w:r w:rsidRPr="007E4DD6">
              <w:rPr>
                <w:color w:val="000000"/>
                <w:sz w:val="20"/>
              </w:rPr>
              <w:br w:type="page"/>
              <w:t>- Phương pháp: VANAD</w:t>
            </w:r>
            <w:r w:rsidRPr="007E4DD6">
              <w:rPr>
                <w:color w:val="000000"/>
                <w:sz w:val="20"/>
              </w:rPr>
              <w:br w:type="page"/>
              <w:t>- Đạt tiêu chuẩn: ISO 13485:2016, FSC</w:t>
            </w:r>
          </w:p>
        </w:tc>
      </w:tr>
      <w:tr w:rsidR="007E4DD6" w:rsidRPr="007E4DD6" w:rsidTr="00367D6F">
        <w:trPr>
          <w:trHeight w:val="484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Cholesterol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Cholesterol trong máu</w:t>
            </w:r>
            <w:r w:rsidRPr="007E4DD6">
              <w:rPr>
                <w:color w:val="000000"/>
                <w:sz w:val="20"/>
              </w:rPr>
              <w:br/>
              <w:t>*.  Nồng độ các thành phần trong thuốc thử:</w:t>
            </w:r>
            <w:r w:rsidRPr="007E4DD6">
              <w:rPr>
                <w:color w:val="000000"/>
                <w:sz w:val="20"/>
              </w:rPr>
              <w:br/>
              <w:t>- Peroxidase (POD) 21.67 μkatl/L</w:t>
            </w:r>
            <w:r w:rsidRPr="007E4DD6">
              <w:rPr>
                <w:color w:val="000000"/>
                <w:sz w:val="20"/>
              </w:rPr>
              <w:br/>
              <w:t>- Cholesterol esterase (CHE) 4.33 μkat/L</w:t>
            </w:r>
            <w:r w:rsidRPr="007E4DD6">
              <w:rPr>
                <w:color w:val="000000"/>
                <w:sz w:val="20"/>
              </w:rPr>
              <w:br/>
              <w:t>- Cholesterol oxidase (CHO)  3.17 μkat/L</w:t>
            </w:r>
            <w:r w:rsidRPr="007E4DD6">
              <w:rPr>
                <w:color w:val="000000"/>
                <w:sz w:val="20"/>
              </w:rPr>
              <w:br/>
              <w:t>- Phenol 5 mmol/L</w:t>
            </w:r>
            <w:r w:rsidRPr="007E4DD6">
              <w:rPr>
                <w:color w:val="000000"/>
                <w:sz w:val="20"/>
              </w:rPr>
              <w:br/>
              <w:t>- 4-aminoantypiryne  0.3 mmol/L</w:t>
            </w:r>
            <w:r w:rsidRPr="007E4DD6">
              <w:rPr>
                <w:color w:val="000000"/>
                <w:sz w:val="20"/>
              </w:rPr>
              <w:br/>
              <w:t>- Buffer (pH 6.4)</w:t>
            </w:r>
            <w:r w:rsidRPr="007E4DD6">
              <w:rPr>
                <w:color w:val="000000"/>
                <w:sz w:val="20"/>
              </w:rPr>
              <w:br/>
              <w:t>- Stabilizers</w:t>
            </w:r>
            <w:r w:rsidRPr="007E4DD6">
              <w:rPr>
                <w:color w:val="000000"/>
                <w:sz w:val="20"/>
              </w:rPr>
              <w:br/>
              <w:t>- Preservative</w:t>
            </w:r>
            <w:r w:rsidRPr="007E4DD6">
              <w:rPr>
                <w:color w:val="000000"/>
                <w:sz w:val="20"/>
              </w:rPr>
              <w:br/>
              <w:t>- Detergent</w:t>
            </w:r>
            <w:r w:rsidRPr="007E4DD6">
              <w:rPr>
                <w:color w:val="000000"/>
                <w:sz w:val="20"/>
              </w:rPr>
              <w:br/>
              <w:t xml:space="preserve">*. Độ tuyến tính: </w:t>
            </w:r>
            <w:r w:rsidRPr="007E4DD6">
              <w:rPr>
                <w:color w:val="000000"/>
                <w:sz w:val="20"/>
              </w:rPr>
              <w:br/>
              <w:t>- Lên đến 700 mg/dL (18.1 mmol/L) - Multi+</w:t>
            </w:r>
            <w:r w:rsidRPr="007E4DD6">
              <w:rPr>
                <w:color w:val="000000"/>
                <w:sz w:val="20"/>
              </w:rPr>
              <w:br/>
              <w:t>- Lên đến 1000 mg/dL (25.9 mmol/L) - Biolis 30i</w:t>
            </w:r>
            <w:r w:rsidRPr="007E4DD6">
              <w:rPr>
                <w:color w:val="000000"/>
                <w:sz w:val="20"/>
              </w:rPr>
              <w:br/>
              <w:t>*. Phạm vi đo lường:</w:t>
            </w:r>
            <w:r w:rsidRPr="007E4DD6">
              <w:rPr>
                <w:color w:val="000000"/>
                <w:sz w:val="20"/>
              </w:rPr>
              <w:br/>
              <w:t>- 16.0-700 mg/dL (0.41-18.1 mmol/L) - Multi+</w:t>
            </w:r>
            <w:r w:rsidRPr="007E4DD6">
              <w:rPr>
                <w:color w:val="000000"/>
                <w:sz w:val="20"/>
              </w:rPr>
              <w:br/>
              <w:t>-  4.5-1000 mg/dL (0.12-25.9 mmol/L) - Biolis 30i</w:t>
            </w:r>
            <w:r w:rsidRPr="007E4DD6">
              <w:rPr>
                <w:color w:val="000000"/>
                <w:sz w:val="20"/>
              </w:rPr>
              <w:br/>
              <w:t>- Phương pháp: Đo màu</w:t>
            </w:r>
            <w:r w:rsidRPr="007E4DD6">
              <w:rPr>
                <w:color w:val="000000"/>
                <w:sz w:val="20"/>
              </w:rPr>
              <w:br/>
              <w:t>- Đạt tiêu chuẩn: ISO 13485:2016, FSC</w:t>
            </w:r>
          </w:p>
        </w:tc>
      </w:tr>
      <w:tr w:rsidR="007E4DD6" w:rsidRPr="007E4DD6" w:rsidTr="00367D6F">
        <w:trPr>
          <w:trHeight w:val="73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79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HDL Direct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HDL-Cholesterol trong máu</w:t>
            </w:r>
            <w:r w:rsidRPr="007E4DD6">
              <w:rPr>
                <w:color w:val="000000"/>
                <w:sz w:val="20"/>
              </w:rPr>
              <w:br w:type="page"/>
              <w:t>*. Nồng độ các thành phần trong thuốc thử:</w:t>
            </w:r>
            <w:r w:rsidRPr="007E4DD6">
              <w:rPr>
                <w:color w:val="000000"/>
                <w:sz w:val="20"/>
              </w:rPr>
              <w:br w:type="page"/>
              <w:t xml:space="preserve">R1: </w:t>
            </w:r>
            <w:r w:rsidRPr="007E4DD6">
              <w:rPr>
                <w:color w:val="000000"/>
                <w:sz w:val="20"/>
              </w:rPr>
              <w:br w:type="page"/>
              <w:t>- Buffer</w:t>
            </w:r>
            <w:r w:rsidRPr="007E4DD6">
              <w:rPr>
                <w:color w:val="000000"/>
                <w:sz w:val="20"/>
              </w:rPr>
              <w:br w:type="page"/>
              <w:t>- Cholesterol oxidase (E.coli)  &lt; 1000 U/l</w:t>
            </w:r>
            <w:r w:rsidRPr="007E4DD6">
              <w:rPr>
                <w:color w:val="000000"/>
                <w:sz w:val="20"/>
              </w:rPr>
              <w:br w:type="page"/>
              <w:t>- Peroxidase (horseradish)   &lt; 1300 ppg U/l</w:t>
            </w:r>
            <w:r w:rsidRPr="007E4DD6">
              <w:rPr>
                <w:color w:val="000000"/>
                <w:sz w:val="20"/>
              </w:rPr>
              <w:br w:type="page"/>
              <w:t>- N,N-bis (sulfobutyl)-toluidine, disodium  DSBmT &lt; 1mM</w:t>
            </w:r>
            <w:r w:rsidRPr="007E4DD6">
              <w:rPr>
                <w:color w:val="000000"/>
                <w:sz w:val="20"/>
              </w:rPr>
              <w:br w:type="page"/>
              <w:t>- Accelerator  &lt; 1mM</w:t>
            </w:r>
            <w:r w:rsidRPr="007E4DD6">
              <w:rPr>
                <w:color w:val="000000"/>
                <w:sz w:val="20"/>
              </w:rPr>
              <w:br w:type="page"/>
              <w:t>- Preservative &lt; 0.06 %</w:t>
            </w:r>
            <w:r w:rsidRPr="007E4DD6">
              <w:rPr>
                <w:color w:val="000000"/>
                <w:sz w:val="20"/>
              </w:rPr>
              <w:br w:type="page"/>
              <w:t>- Ascorbic acid oxidase (Curcubita spp) 3000 U/l</w:t>
            </w:r>
            <w:r w:rsidRPr="007E4DD6">
              <w:rPr>
                <w:color w:val="000000"/>
                <w:sz w:val="20"/>
              </w:rPr>
              <w:br w:type="page"/>
              <w:t xml:space="preserve">R2: </w:t>
            </w:r>
            <w:r w:rsidRPr="007E4DD6">
              <w:rPr>
                <w:color w:val="000000"/>
                <w:sz w:val="20"/>
              </w:rPr>
              <w:br w:type="page"/>
              <w:t>- Buffer</w:t>
            </w:r>
            <w:r w:rsidRPr="007E4DD6">
              <w:rPr>
                <w:color w:val="000000"/>
                <w:sz w:val="20"/>
              </w:rPr>
              <w:br w:type="page"/>
              <w:t>- Cholesterol esterase (Pseudomonas spp) &lt; 1500 U/l</w:t>
            </w:r>
            <w:r w:rsidRPr="007E4DD6">
              <w:rPr>
                <w:color w:val="000000"/>
                <w:sz w:val="20"/>
              </w:rPr>
              <w:br w:type="page"/>
              <w:t>- 4-aminoantipyrine (4-AAP) &lt; 1 mM</w:t>
            </w:r>
            <w:r w:rsidRPr="007E4DD6">
              <w:rPr>
                <w:color w:val="000000"/>
                <w:sz w:val="20"/>
              </w:rPr>
              <w:br w:type="page"/>
              <w:t>- Detergent  &lt; 2 %</w:t>
            </w:r>
            <w:r w:rsidRPr="007E4DD6">
              <w:rPr>
                <w:color w:val="000000"/>
                <w:sz w:val="20"/>
              </w:rPr>
              <w:br w:type="page"/>
              <w:t>Preservative &lt; 0.06 %</w:t>
            </w:r>
            <w:r w:rsidRPr="007E4DD6">
              <w:rPr>
                <w:color w:val="000000"/>
                <w:sz w:val="20"/>
              </w:rPr>
              <w:br w:type="page"/>
              <w:t xml:space="preserve">*. Độ nhạy:  </w:t>
            </w:r>
            <w:r w:rsidRPr="007E4DD6">
              <w:rPr>
                <w:color w:val="000000"/>
                <w:sz w:val="20"/>
              </w:rPr>
              <w:br w:type="page"/>
              <w:t>- 11.5 mg/dl (0.298 mmol/l) - Epoll 20</w:t>
            </w:r>
            <w:r w:rsidRPr="007E4DD6">
              <w:rPr>
                <w:color w:val="000000"/>
                <w:sz w:val="20"/>
              </w:rPr>
              <w:br w:type="page"/>
              <w:t>- 1.1 mg/dl (0.028 mmol/l) - Biolis 24i Premium</w:t>
            </w:r>
            <w:r w:rsidRPr="007E4DD6">
              <w:rPr>
                <w:color w:val="000000"/>
                <w:sz w:val="20"/>
              </w:rPr>
              <w:br w:type="page"/>
              <w:t xml:space="preserve">*. Độ tuyến tính: </w:t>
            </w:r>
            <w:r w:rsidRPr="007E4DD6">
              <w:rPr>
                <w:color w:val="000000"/>
                <w:sz w:val="20"/>
              </w:rPr>
              <w:br w:type="page"/>
              <w:t>- Lên đến 282 mg/dl (7.30 mmol/l)-Epoll 20</w:t>
            </w:r>
            <w:r w:rsidRPr="007E4DD6">
              <w:rPr>
                <w:color w:val="000000"/>
                <w:sz w:val="20"/>
              </w:rPr>
              <w:br w:type="page"/>
              <w:t>- Lên đến 200 mg/dl (5.18 mmol/l) - Biolis 24i Premium</w:t>
            </w:r>
            <w:r w:rsidRPr="007E4DD6">
              <w:rPr>
                <w:color w:val="000000"/>
                <w:sz w:val="20"/>
              </w:rPr>
              <w:br w:type="page"/>
              <w:t>*. Độ đặc hiệu: Bilirubin conjugated lên đến 60 mg/dl, bilirubin total lên đến 60 mg/dl, haemoglobin lên đến 1 g/dl, ascorbic acid lên đến 100 mg/dl, Intralipid lên đến 1800 mg/dl, triglycerides lên đến 2000 mg/dl và gamma-globulins lên đến 5000 mg/dl  không ảnh hưởng đến kết quả mẫu xét nghiệm.</w:t>
            </w:r>
            <w:r w:rsidRPr="007E4DD6">
              <w:rPr>
                <w:color w:val="000000"/>
                <w:sz w:val="20"/>
              </w:rPr>
              <w:br w:type="page"/>
              <w:t>- Phương pháp: DIRECT</w:t>
            </w:r>
            <w:r w:rsidRPr="007E4DD6">
              <w:rPr>
                <w:color w:val="000000"/>
                <w:sz w:val="20"/>
              </w:rPr>
              <w:br w:type="page"/>
              <w:t>- Đạt tiêu chuẩn: ISO 13485:2016, FSC</w:t>
            </w:r>
          </w:p>
        </w:tc>
      </w:tr>
      <w:tr w:rsidR="007E4DD6" w:rsidRPr="007E4DD6" w:rsidTr="00367D6F">
        <w:trPr>
          <w:trHeight w:val="71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LDL Direct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LDL-Cholesterol trong máu</w:t>
            </w:r>
            <w:r w:rsidRPr="007E4DD6">
              <w:rPr>
                <w:color w:val="000000"/>
                <w:sz w:val="20"/>
              </w:rPr>
              <w:br/>
              <w:t xml:space="preserve">- Nồng độ các thành phần trong thuốc thử: </w:t>
            </w:r>
            <w:r w:rsidRPr="007E4DD6">
              <w:rPr>
                <w:color w:val="000000"/>
                <w:sz w:val="20"/>
              </w:rPr>
              <w:br/>
              <w:t xml:space="preserve">*. R1: </w:t>
            </w:r>
            <w:r w:rsidRPr="007E4DD6">
              <w:rPr>
                <w:color w:val="000000"/>
                <w:sz w:val="20"/>
              </w:rPr>
              <w:br/>
              <w:t>- Buffer</w:t>
            </w:r>
            <w:r w:rsidRPr="007E4DD6">
              <w:rPr>
                <w:color w:val="000000"/>
                <w:sz w:val="20"/>
              </w:rPr>
              <w:br/>
              <w:t>- Detergent 1 ˂ 1.0%</w:t>
            </w:r>
            <w:r w:rsidRPr="007E4DD6">
              <w:rPr>
                <w:color w:val="000000"/>
                <w:sz w:val="20"/>
              </w:rPr>
              <w:br/>
              <w:t>- Cholesterol esterase (Pseudomonas sp) ˂ 1500 U/l</w:t>
            </w:r>
            <w:r w:rsidRPr="007E4DD6">
              <w:rPr>
                <w:color w:val="000000"/>
                <w:sz w:val="20"/>
              </w:rPr>
              <w:br/>
              <w:t>- Cholesterol oxidase (Cellulomonas spp) ˂ 1500 U/l</w:t>
            </w:r>
            <w:r w:rsidRPr="007E4DD6">
              <w:rPr>
                <w:color w:val="000000"/>
                <w:sz w:val="20"/>
              </w:rPr>
              <w:br/>
              <w:t>- Peroxidase (horseradish) ˂ 1300 ppg U/l</w:t>
            </w:r>
            <w:r w:rsidRPr="007E4DD6">
              <w:rPr>
                <w:color w:val="000000"/>
                <w:sz w:val="20"/>
              </w:rPr>
              <w:br/>
              <w:t>- 4-aminoantipyrine  ˂ 0.1%</w:t>
            </w:r>
            <w:r w:rsidRPr="007E4DD6">
              <w:rPr>
                <w:color w:val="000000"/>
                <w:sz w:val="20"/>
              </w:rPr>
              <w:br/>
              <w:t>- Ascorbic Acid Oxidase (Curcubita sp) ˂ 3000 U/l</w:t>
            </w:r>
            <w:r w:rsidRPr="007E4DD6">
              <w:rPr>
                <w:color w:val="000000"/>
                <w:sz w:val="20"/>
              </w:rPr>
              <w:br/>
              <w:t>- Preservative</w:t>
            </w:r>
            <w:r w:rsidRPr="007E4DD6">
              <w:rPr>
                <w:color w:val="000000"/>
                <w:sz w:val="20"/>
              </w:rPr>
              <w:br/>
              <w:t xml:space="preserve">*. R2: </w:t>
            </w:r>
            <w:r w:rsidRPr="007E4DD6">
              <w:rPr>
                <w:color w:val="000000"/>
                <w:sz w:val="20"/>
              </w:rPr>
              <w:br/>
              <w:t>- Buffer</w:t>
            </w:r>
            <w:r w:rsidRPr="007E4DD6">
              <w:rPr>
                <w:color w:val="000000"/>
                <w:sz w:val="20"/>
              </w:rPr>
              <w:br/>
              <w:t>- Detergent 2 ˂ 1.0%</w:t>
            </w:r>
            <w:r w:rsidRPr="007E4DD6">
              <w:rPr>
                <w:color w:val="000000"/>
                <w:sz w:val="20"/>
              </w:rPr>
              <w:br/>
              <w:t>- N,N, Bis (sulfobutyl)- toluidine, disodium (DSBmT) ˂ 1.0 mM</w:t>
            </w:r>
            <w:r w:rsidRPr="007E4DD6">
              <w:rPr>
                <w:color w:val="000000"/>
                <w:sz w:val="20"/>
              </w:rPr>
              <w:br/>
              <w:t>- Presevative</w:t>
            </w:r>
            <w:r w:rsidRPr="007E4DD6">
              <w:rPr>
                <w:color w:val="000000"/>
                <w:sz w:val="20"/>
              </w:rPr>
              <w:br/>
              <w:t xml:space="preserve">*. Độ nhạy: </w:t>
            </w:r>
            <w:r w:rsidRPr="007E4DD6">
              <w:rPr>
                <w:color w:val="000000"/>
                <w:sz w:val="20"/>
              </w:rPr>
              <w:br/>
              <w:t>- 5.5 mg/dl (0.14 mmol/l) - Multi+</w:t>
            </w:r>
            <w:r w:rsidRPr="007E4DD6">
              <w:rPr>
                <w:color w:val="000000"/>
                <w:sz w:val="20"/>
              </w:rPr>
              <w:br/>
              <w:t>- 4.2 mg/dl (0.11 mmol/l) - Biolis 24i Premium</w:t>
            </w:r>
            <w:r w:rsidRPr="007E4DD6">
              <w:rPr>
                <w:color w:val="000000"/>
                <w:sz w:val="20"/>
              </w:rPr>
              <w:br/>
              <w:t xml:space="preserve">*. Độ tuyến tính: </w:t>
            </w:r>
            <w:r w:rsidRPr="007E4DD6">
              <w:rPr>
                <w:color w:val="000000"/>
                <w:sz w:val="20"/>
              </w:rPr>
              <w:br/>
              <w:t>- Lên đến 316 mg/dl (8.18 mmol/l) - Multi+</w:t>
            </w:r>
            <w:r w:rsidRPr="007E4DD6">
              <w:rPr>
                <w:color w:val="000000"/>
                <w:sz w:val="20"/>
              </w:rPr>
              <w:br/>
              <w:t>- Lên đến 700 mg/dl (18.13 mmol/l) - Biolis 24i Premium</w:t>
            </w:r>
            <w:r w:rsidRPr="007E4DD6">
              <w:rPr>
                <w:color w:val="000000"/>
                <w:sz w:val="20"/>
              </w:rPr>
              <w:br/>
              <w:t>*. Độ đặc hiệu: Triglycerides lên đến 1293 mg/dl, bilirubin conjugated lên đến 20 mg/dl, bilirubin total lên đến 20 mg/dl, haemoglobin lên đến 0.5 g/dl, ascorbic acid lên đến 500 mg/l và gamma-globulins lên đến 5000 mg/dl không ảnh hưởng đến kết quả mẫu xét nghiệm.</w:t>
            </w:r>
            <w:r w:rsidRPr="007E4DD6">
              <w:rPr>
                <w:color w:val="000000"/>
                <w:sz w:val="20"/>
              </w:rPr>
              <w:br/>
              <w:t>- Phương pháp: DIRECT</w:t>
            </w:r>
            <w:r w:rsidRPr="007E4DD6">
              <w:rPr>
                <w:color w:val="000000"/>
                <w:sz w:val="20"/>
              </w:rPr>
              <w:br/>
              <w:t>- Đạt tiêu chuẩn: ISO 13485:2016, FSC</w:t>
            </w:r>
          </w:p>
        </w:tc>
      </w:tr>
      <w:tr w:rsidR="007E4DD6" w:rsidRPr="007E4DD6" w:rsidTr="00367D6F">
        <w:trPr>
          <w:trHeight w:val="56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81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Creatinine Enzymatic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Creatinine trong máu</w:t>
            </w:r>
            <w:r w:rsidRPr="007E4DD6">
              <w:rPr>
                <w:color w:val="000000"/>
                <w:sz w:val="20"/>
              </w:rPr>
              <w:br w:type="page"/>
              <w:t xml:space="preserve">- Nồng độ các thành phần trong thuốc thử:: </w:t>
            </w:r>
            <w:r w:rsidRPr="007E4DD6">
              <w:rPr>
                <w:color w:val="000000"/>
                <w:sz w:val="20"/>
              </w:rPr>
              <w:br w:type="page"/>
              <w:t xml:space="preserve">* R1: </w:t>
            </w:r>
            <w:r w:rsidRPr="007E4DD6">
              <w:rPr>
                <w:color w:val="000000"/>
                <w:sz w:val="20"/>
              </w:rPr>
              <w:br w:type="page"/>
              <w:t>- Good’s buffer  ≤ 5%</w:t>
            </w:r>
            <w:r w:rsidRPr="007E4DD6">
              <w:rPr>
                <w:color w:val="000000"/>
                <w:sz w:val="20"/>
              </w:rPr>
              <w:br w:type="page"/>
              <w:t>- Creatinase  ≤ 5%</w:t>
            </w:r>
            <w:r w:rsidRPr="007E4DD6">
              <w:rPr>
                <w:color w:val="000000"/>
                <w:sz w:val="20"/>
              </w:rPr>
              <w:br w:type="page"/>
              <w:t>- N-ethyl-N-(3-sulfopropyl)-3 ethylaniline (ESPMT)  ≤ 5%</w:t>
            </w:r>
            <w:r w:rsidRPr="007E4DD6">
              <w:rPr>
                <w:color w:val="000000"/>
                <w:sz w:val="20"/>
              </w:rPr>
              <w:br w:type="page"/>
              <w:t>- Sarcosine oxidase   ≤ 0.01%</w:t>
            </w:r>
            <w:r w:rsidRPr="007E4DD6">
              <w:rPr>
                <w:color w:val="000000"/>
                <w:sz w:val="20"/>
              </w:rPr>
              <w:br w:type="page"/>
              <w:t>- Ascorbate oxidase  ≤ 1%</w:t>
            </w:r>
            <w:r w:rsidRPr="007E4DD6">
              <w:rPr>
                <w:color w:val="000000"/>
                <w:sz w:val="20"/>
              </w:rPr>
              <w:br w:type="page"/>
              <w:t xml:space="preserve">- Detergents, stabilizers và preservatives </w:t>
            </w:r>
            <w:r w:rsidRPr="007E4DD6">
              <w:rPr>
                <w:color w:val="000000"/>
                <w:sz w:val="20"/>
              </w:rPr>
              <w:br w:type="page"/>
              <w:t xml:space="preserve">* R2: </w:t>
            </w:r>
            <w:r w:rsidRPr="007E4DD6">
              <w:rPr>
                <w:color w:val="000000"/>
                <w:sz w:val="20"/>
              </w:rPr>
              <w:br w:type="page"/>
              <w:t>- Good’s buffer  ≤ 5%</w:t>
            </w:r>
            <w:r w:rsidRPr="007E4DD6">
              <w:rPr>
                <w:color w:val="000000"/>
                <w:sz w:val="20"/>
              </w:rPr>
              <w:br w:type="page"/>
              <w:t>- Creatininase  ≤ 1%</w:t>
            </w:r>
            <w:r w:rsidRPr="007E4DD6">
              <w:rPr>
                <w:color w:val="000000"/>
                <w:sz w:val="20"/>
              </w:rPr>
              <w:br w:type="page"/>
              <w:t>- Peroxidase  ≤ 5%</w:t>
            </w:r>
            <w:r w:rsidRPr="007E4DD6">
              <w:rPr>
                <w:color w:val="000000"/>
                <w:sz w:val="20"/>
              </w:rPr>
              <w:br w:type="page"/>
              <w:t>- 4-Ammoantipyrine (4-AA)  ≤ 0.01%</w:t>
            </w:r>
            <w:r w:rsidRPr="007E4DD6">
              <w:rPr>
                <w:color w:val="000000"/>
                <w:sz w:val="20"/>
              </w:rPr>
              <w:br w:type="page"/>
              <w:t>- Stabilizers và preservatives</w:t>
            </w:r>
            <w:r w:rsidRPr="007E4DD6">
              <w:rPr>
                <w:color w:val="000000"/>
                <w:sz w:val="20"/>
              </w:rPr>
              <w:br w:type="page"/>
              <w:t xml:space="preserve">*. Độ nhạy: 0.08 mg/dl (7.07 µmol/l) </w:t>
            </w:r>
            <w:r w:rsidRPr="007E4DD6">
              <w:rPr>
                <w:color w:val="000000"/>
                <w:sz w:val="20"/>
              </w:rPr>
              <w:br w:type="page"/>
              <w:t>*. Độ tuyến tính: lên đến 24 mg/dl (2122 μmol/l)</w:t>
            </w:r>
            <w:r w:rsidRPr="007E4DD6">
              <w:rPr>
                <w:color w:val="000000"/>
                <w:sz w:val="20"/>
              </w:rPr>
              <w:br w:type="page"/>
              <w:t>*. Độ đặc hiệu: Haemoglobin lên đến 5 g/dl, Ascorbic acid lên đến 62 mg/l , Bilirubin lên đến 20 mg/dl, Triglycerides lên đến 1000 mg/dl và Creatine lên đến 20 mg/dl không ảnh hưởng đến kết quả mẫu xét nghiệm của huyết thanh và nước tiểu.</w:t>
            </w:r>
            <w:r w:rsidRPr="007E4DD6">
              <w:rPr>
                <w:color w:val="000000"/>
                <w:sz w:val="20"/>
              </w:rPr>
              <w:br w:type="page"/>
              <w:t>- Đạt tiêu chuẩn: ISO 13485:2016, FSC</w:t>
            </w:r>
          </w:p>
        </w:tc>
      </w:tr>
      <w:tr w:rsidR="007E4DD6" w:rsidRPr="007E4DD6" w:rsidTr="00367D6F">
        <w:trPr>
          <w:trHeight w:val="63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Glucose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Glucose trong máu</w:t>
            </w:r>
            <w:r w:rsidRPr="007E4DD6">
              <w:rPr>
                <w:color w:val="000000"/>
                <w:sz w:val="20"/>
              </w:rPr>
              <w:br/>
              <w:t>*. Nồng độ các thành phần trong thuốc thử:</w:t>
            </w:r>
            <w:r w:rsidRPr="007E4DD6">
              <w:rPr>
                <w:color w:val="000000"/>
                <w:sz w:val="20"/>
              </w:rPr>
              <w:br/>
              <w:t>- Reaction stabilizer 10 mmol/L</w:t>
            </w:r>
            <w:r w:rsidRPr="007E4DD6">
              <w:rPr>
                <w:color w:val="000000"/>
                <w:sz w:val="20"/>
              </w:rPr>
              <w:br/>
              <w:t>- Phenol 5 mmol/L</w:t>
            </w:r>
            <w:r w:rsidRPr="007E4DD6">
              <w:rPr>
                <w:color w:val="000000"/>
                <w:sz w:val="20"/>
              </w:rPr>
              <w:br/>
              <w:t>- 4-aminoantipyrine (4-AA) 0.75 mmol/L</w:t>
            </w:r>
            <w:r w:rsidRPr="007E4DD6">
              <w:rPr>
                <w:color w:val="000000"/>
                <w:sz w:val="20"/>
              </w:rPr>
              <w:br/>
              <w:t>- Glucose oxidase (GOD) 333.33 µkat/L</w:t>
            </w:r>
            <w:r w:rsidRPr="007E4DD6">
              <w:rPr>
                <w:color w:val="000000"/>
                <w:sz w:val="20"/>
              </w:rPr>
              <w:br/>
              <w:t>- Peroxidase (POD) 38.33 µkat/L</w:t>
            </w:r>
            <w:r w:rsidRPr="007E4DD6">
              <w:rPr>
                <w:color w:val="000000"/>
                <w:sz w:val="20"/>
              </w:rPr>
              <w:br/>
              <w:t>- Buffer</w:t>
            </w:r>
            <w:r w:rsidRPr="007E4DD6">
              <w:rPr>
                <w:color w:val="000000"/>
                <w:sz w:val="20"/>
              </w:rPr>
              <w:br/>
              <w:t>- Metal ion chelator</w:t>
            </w:r>
            <w:r w:rsidRPr="007E4DD6">
              <w:rPr>
                <w:color w:val="000000"/>
                <w:sz w:val="20"/>
              </w:rPr>
              <w:br/>
              <w:t>- Stabilizer</w:t>
            </w:r>
            <w:r w:rsidRPr="007E4DD6">
              <w:rPr>
                <w:color w:val="000000"/>
                <w:sz w:val="20"/>
              </w:rPr>
              <w:br/>
              <w:t>- Preservative</w:t>
            </w:r>
            <w:r w:rsidRPr="007E4DD6">
              <w:rPr>
                <w:color w:val="000000"/>
                <w:sz w:val="20"/>
              </w:rPr>
              <w:br/>
              <w:t>*. Khả năng phát hiện:</w:t>
            </w:r>
            <w:r w:rsidRPr="007E4DD6">
              <w:rPr>
                <w:color w:val="000000"/>
                <w:sz w:val="20"/>
              </w:rPr>
              <w:br/>
              <w:t>- LoB (Giới hạn mẫu trắng): 0.0 mg/dL (0.0 mmol/L)</w:t>
            </w:r>
            <w:r w:rsidRPr="007E4DD6">
              <w:rPr>
                <w:color w:val="000000"/>
                <w:sz w:val="20"/>
              </w:rPr>
              <w:br/>
              <w:t>- LoD (Giới hạn phát hiện): 0.3 mg/dL (0.02mmol/L)</w:t>
            </w:r>
            <w:r w:rsidRPr="007E4DD6">
              <w:rPr>
                <w:color w:val="000000"/>
                <w:sz w:val="20"/>
              </w:rPr>
              <w:br/>
              <w:t xml:space="preserve">- LoQ (Giới hạn định lượng): </w:t>
            </w:r>
            <w:r w:rsidRPr="007E4DD6">
              <w:rPr>
                <w:color w:val="000000"/>
                <w:sz w:val="20"/>
              </w:rPr>
              <w:br/>
              <w:t xml:space="preserve">  12.0 mg/dL (0.67 mmol/L) - Multi+</w:t>
            </w:r>
            <w:r w:rsidRPr="007E4DD6">
              <w:rPr>
                <w:color w:val="000000"/>
                <w:sz w:val="20"/>
              </w:rPr>
              <w:br/>
              <w:t xml:space="preserve">   6.0 mg/dL (0.33 mmol/L) - Biolis 30i</w:t>
            </w:r>
            <w:r w:rsidRPr="007E4DD6">
              <w:rPr>
                <w:color w:val="000000"/>
                <w:sz w:val="20"/>
              </w:rPr>
              <w:br/>
              <w:t xml:space="preserve">*. Độ tuyến tính: </w:t>
            </w:r>
            <w:r w:rsidRPr="007E4DD6">
              <w:rPr>
                <w:color w:val="000000"/>
                <w:sz w:val="20"/>
              </w:rPr>
              <w:br/>
              <w:t>- Lên đến 350 mg/dL (19.4 mmol/L) - Multi+</w:t>
            </w:r>
            <w:r w:rsidRPr="007E4DD6">
              <w:rPr>
                <w:color w:val="000000"/>
                <w:sz w:val="20"/>
              </w:rPr>
              <w:br/>
              <w:t>- Lên đến 600 mg/dL (33.3 mmol/L) - Biolis 30i</w:t>
            </w:r>
            <w:r w:rsidRPr="007E4DD6">
              <w:rPr>
                <w:color w:val="000000"/>
                <w:sz w:val="20"/>
              </w:rPr>
              <w:br/>
              <w:t xml:space="preserve">*. Phạm vi dãy đo: </w:t>
            </w:r>
            <w:r w:rsidRPr="007E4DD6">
              <w:rPr>
                <w:color w:val="000000"/>
                <w:sz w:val="20"/>
              </w:rPr>
              <w:br/>
              <w:t>- 12.0-350 mg/L (0.67-19.4 mmol/L) - Multi+</w:t>
            </w:r>
            <w:r w:rsidRPr="007E4DD6">
              <w:rPr>
                <w:color w:val="000000"/>
                <w:sz w:val="20"/>
              </w:rPr>
              <w:br/>
              <w:t>- 6.0 -600 mgL (0.33-33.3 mmol/L) - Biolis 30i</w:t>
            </w:r>
            <w:r w:rsidRPr="007E4DD6">
              <w:rPr>
                <w:color w:val="000000"/>
                <w:sz w:val="20"/>
              </w:rPr>
              <w:br/>
              <w:t>- Phương pháp: GOD</w:t>
            </w:r>
            <w:r w:rsidRPr="007E4DD6">
              <w:rPr>
                <w:color w:val="000000"/>
                <w:sz w:val="20"/>
              </w:rPr>
              <w:br/>
              <w:t>- Đạt tiêu chuẩn: ISO 13485:2016, FSC</w:t>
            </w:r>
          </w:p>
        </w:tc>
      </w:tr>
      <w:tr w:rsidR="007E4DD6" w:rsidRPr="007E4DD6" w:rsidTr="00367D6F">
        <w:trPr>
          <w:trHeight w:val="408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83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Protein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Protein toàn phần trong máu</w:t>
            </w:r>
            <w:r w:rsidRPr="007E4DD6">
              <w:rPr>
                <w:color w:val="000000"/>
                <w:sz w:val="20"/>
              </w:rPr>
              <w:br w:type="page"/>
              <w:t>*. Nồng độ các thành phần trong thuốc thử:</w:t>
            </w:r>
            <w:r w:rsidRPr="007E4DD6">
              <w:rPr>
                <w:color w:val="000000"/>
                <w:sz w:val="20"/>
              </w:rPr>
              <w:br w:type="page"/>
              <w:t>- Sodium-potassium tartrate  30 mmol/L</w:t>
            </w:r>
            <w:r w:rsidRPr="007E4DD6">
              <w:rPr>
                <w:color w:val="000000"/>
                <w:sz w:val="20"/>
              </w:rPr>
              <w:br w:type="page"/>
              <w:t>- Potassium iodide 30 mmol/L</w:t>
            </w:r>
            <w:r w:rsidRPr="007E4DD6">
              <w:rPr>
                <w:color w:val="000000"/>
                <w:sz w:val="20"/>
              </w:rPr>
              <w:br w:type="page"/>
              <w:t>- Copper sulfate 12 mmol/L</w:t>
            </w:r>
            <w:r w:rsidRPr="007E4DD6">
              <w:rPr>
                <w:color w:val="000000"/>
                <w:sz w:val="20"/>
              </w:rPr>
              <w:br w:type="page"/>
              <w:t>- Sodium hydroxide</w:t>
            </w:r>
            <w:r w:rsidRPr="007E4DD6">
              <w:rPr>
                <w:color w:val="000000"/>
                <w:sz w:val="20"/>
              </w:rPr>
              <w:br w:type="page"/>
              <w:t>*. Khả năng phát hiện:</w:t>
            </w:r>
            <w:r w:rsidRPr="007E4DD6">
              <w:rPr>
                <w:color w:val="000000"/>
                <w:sz w:val="20"/>
              </w:rPr>
              <w:br w:type="page"/>
              <w:t>- LoB (Giới hạn mẫu trắng): 0.03 g/dl (0.3 g/l)</w:t>
            </w:r>
            <w:r w:rsidRPr="007E4DD6">
              <w:rPr>
                <w:color w:val="000000"/>
                <w:sz w:val="20"/>
              </w:rPr>
              <w:br w:type="page"/>
              <w:t>- LoD (Giới hạn phát hiện):  0.05 g/dl (0.5 g/l)</w:t>
            </w:r>
            <w:r w:rsidRPr="007E4DD6">
              <w:rPr>
                <w:color w:val="000000"/>
                <w:sz w:val="20"/>
              </w:rPr>
              <w:br w:type="page"/>
              <w:t>- LoQ (Giới hạn định lượng): 0.15 g/dl (1.5 g/l)</w:t>
            </w:r>
            <w:r w:rsidRPr="007E4DD6">
              <w:rPr>
                <w:color w:val="000000"/>
                <w:sz w:val="20"/>
              </w:rPr>
              <w:br w:type="page"/>
              <w:t>*. Độ tuyến tính: lên đến 19 g/dl (190 g/l)</w:t>
            </w:r>
            <w:r w:rsidRPr="007E4DD6">
              <w:rPr>
                <w:color w:val="000000"/>
                <w:sz w:val="20"/>
              </w:rPr>
              <w:br w:type="page"/>
              <w:t>*. Độ đặc hiệu: Haemoglobin lên đến 0.31 g/dl, Ascorbate lên đến 62 mg/l, Bilirubin lên đến 20mg/dl và Triglycerides lên đến 950 mg/dl không ảnh hưởng đến kết quả mẫu xét nghiệm.</w:t>
            </w:r>
            <w:r w:rsidRPr="007E4DD6">
              <w:rPr>
                <w:color w:val="000000"/>
                <w:sz w:val="20"/>
              </w:rPr>
              <w:br w:type="page"/>
              <w:t>- Phương pháp: BIURET</w:t>
            </w:r>
            <w:r w:rsidRPr="007E4DD6">
              <w:rPr>
                <w:color w:val="000000"/>
                <w:sz w:val="20"/>
              </w:rPr>
              <w:br w:type="page"/>
              <w:t>- Đạt tiêu chuẩn: ISO 13485:2016, FSC</w:t>
            </w:r>
          </w:p>
        </w:tc>
      </w:tr>
      <w:tr w:rsidR="007E4DD6" w:rsidRPr="007E4DD6" w:rsidTr="00367D6F">
        <w:trPr>
          <w:trHeight w:val="433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Triglycerides Mono</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Tryglycerides trong máu</w:t>
            </w:r>
            <w:r w:rsidRPr="007E4DD6">
              <w:rPr>
                <w:color w:val="000000"/>
                <w:sz w:val="20"/>
              </w:rPr>
              <w:br/>
              <w:t>*. Nồng độ các thành phần trong thuốc thử:</w:t>
            </w:r>
            <w:r w:rsidRPr="007E4DD6">
              <w:rPr>
                <w:color w:val="000000"/>
                <w:sz w:val="20"/>
              </w:rPr>
              <w:br/>
              <w:t>- Buffer PIPES (PH 7.0)  40 mmol/L</w:t>
            </w:r>
            <w:r w:rsidRPr="007E4DD6">
              <w:rPr>
                <w:color w:val="000000"/>
                <w:sz w:val="20"/>
              </w:rPr>
              <w:br/>
              <w:t>- 4-aminoantipyrine (4-AA)  0.4 mmol/L</w:t>
            </w:r>
            <w:r w:rsidRPr="007E4DD6">
              <w:rPr>
                <w:color w:val="000000"/>
                <w:sz w:val="20"/>
              </w:rPr>
              <w:br/>
              <w:t>- ATP  1.5 mmol/L</w:t>
            </w:r>
            <w:r w:rsidRPr="007E4DD6">
              <w:rPr>
                <w:color w:val="000000"/>
                <w:sz w:val="20"/>
              </w:rPr>
              <w:br/>
              <w:t>- Mg2+  1.6 mmol/L</w:t>
            </w:r>
            <w:r w:rsidRPr="007E4DD6">
              <w:rPr>
                <w:color w:val="000000"/>
                <w:sz w:val="20"/>
              </w:rPr>
              <w:br/>
              <w:t>- ADPS  0.6 mmol/L</w:t>
            </w:r>
            <w:r w:rsidRPr="007E4DD6">
              <w:rPr>
                <w:color w:val="000000"/>
                <w:sz w:val="20"/>
              </w:rPr>
              <w:br/>
              <w:t>- Glycerol kinase (GK)  &gt; 66.67 μkat/L</w:t>
            </w:r>
            <w:r w:rsidRPr="007E4DD6">
              <w:rPr>
                <w:color w:val="000000"/>
                <w:sz w:val="20"/>
              </w:rPr>
              <w:br/>
              <w:t>- Glycerol -3 - phosphate oxidase (GPO) &gt; 60.00 μkat/L</w:t>
            </w:r>
            <w:r w:rsidRPr="007E4DD6">
              <w:rPr>
                <w:color w:val="000000"/>
                <w:sz w:val="20"/>
              </w:rPr>
              <w:br/>
              <w:t>- Peroxidase (POD) &gt; 20.00 μkat/L</w:t>
            </w:r>
            <w:r w:rsidRPr="007E4DD6">
              <w:rPr>
                <w:color w:val="000000"/>
                <w:sz w:val="20"/>
              </w:rPr>
              <w:br/>
              <w:t>- Lipoprotein lipase (LPL) &gt; 16.67 μkat/L</w:t>
            </w:r>
            <w:r w:rsidRPr="007E4DD6">
              <w:rPr>
                <w:color w:val="000000"/>
                <w:sz w:val="20"/>
              </w:rPr>
              <w:br/>
              <w:t>*. Độ nhạy: 11.5 mg/dl (0.13 mmol/l)</w:t>
            </w:r>
            <w:r w:rsidRPr="007E4DD6">
              <w:rPr>
                <w:color w:val="000000"/>
                <w:sz w:val="20"/>
              </w:rPr>
              <w:br/>
              <w:t>*. Độ tuyến tính: lên đến 2000 mg/dl (22.6 mmol/l)</w:t>
            </w:r>
            <w:r w:rsidRPr="007E4DD6">
              <w:rPr>
                <w:color w:val="000000"/>
                <w:sz w:val="20"/>
              </w:rPr>
              <w:br/>
              <w:t>*. Độ đặc hiệu: Haemoglobin lên đến 2.50 g/dl, Bilirubin lên đến 20 mg/dl và Ascorbate lên đến 62 mg/l không ảnh hưởng đến kết quả mẫu xét nghiệm.</w:t>
            </w:r>
            <w:r w:rsidRPr="007E4DD6">
              <w:rPr>
                <w:color w:val="000000"/>
                <w:sz w:val="20"/>
              </w:rPr>
              <w:br/>
              <w:t>- Đạt tiêu chuẩn: ISO 13485:2016, FSC</w:t>
            </w:r>
          </w:p>
        </w:tc>
      </w:tr>
      <w:tr w:rsidR="007E4DD6" w:rsidRPr="007E4DD6" w:rsidTr="00367D6F">
        <w:trPr>
          <w:trHeight w:val="63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Urea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Urea trong máu</w:t>
            </w:r>
            <w:r w:rsidRPr="007E4DD6">
              <w:rPr>
                <w:color w:val="000000"/>
                <w:sz w:val="20"/>
              </w:rPr>
              <w:br/>
              <w:t>*. Nồng độ các thành phần trong thuốc thử:</w:t>
            </w:r>
            <w:r w:rsidRPr="007E4DD6">
              <w:rPr>
                <w:color w:val="000000"/>
                <w:sz w:val="20"/>
              </w:rPr>
              <w:br/>
              <w:t xml:space="preserve">R1: </w:t>
            </w:r>
            <w:r w:rsidRPr="007E4DD6">
              <w:rPr>
                <w:color w:val="000000"/>
                <w:sz w:val="20"/>
              </w:rPr>
              <w:br/>
              <w:t>- Tris (pH 7.8) ≤ 144 mmol/l</w:t>
            </w:r>
            <w:r w:rsidRPr="007E4DD6">
              <w:rPr>
                <w:color w:val="000000"/>
                <w:sz w:val="20"/>
              </w:rPr>
              <w:br/>
              <w:t>- ADP ≤ 0.84 mmol/l</w:t>
            </w:r>
            <w:r w:rsidRPr="007E4DD6">
              <w:rPr>
                <w:color w:val="000000"/>
                <w:sz w:val="20"/>
              </w:rPr>
              <w:br/>
              <w:t>- Urease ≤ 250 µkat/l</w:t>
            </w:r>
            <w:r w:rsidRPr="007E4DD6">
              <w:rPr>
                <w:color w:val="000000"/>
                <w:sz w:val="20"/>
              </w:rPr>
              <w:br/>
              <w:t>- GLDH ≤ 10.5 µkat/l</w:t>
            </w:r>
            <w:r w:rsidRPr="007E4DD6">
              <w:rPr>
                <w:color w:val="000000"/>
                <w:sz w:val="20"/>
              </w:rPr>
              <w:br/>
              <w:t>- Stabilizers, detergents, preservatives</w:t>
            </w:r>
            <w:r w:rsidRPr="007E4DD6">
              <w:rPr>
                <w:color w:val="000000"/>
                <w:sz w:val="20"/>
              </w:rPr>
              <w:br/>
              <w:t xml:space="preserve">R2: </w:t>
            </w:r>
            <w:r w:rsidRPr="007E4DD6">
              <w:rPr>
                <w:color w:val="000000"/>
                <w:sz w:val="20"/>
              </w:rPr>
              <w:br/>
              <w:t>- 2-oxoglutarate ≤ 48.6 mmol/l</w:t>
            </w:r>
            <w:r w:rsidRPr="007E4DD6">
              <w:rPr>
                <w:color w:val="000000"/>
                <w:sz w:val="20"/>
              </w:rPr>
              <w:br/>
              <w:t>- NADH ≤ 1.6 mmol/l</w:t>
            </w:r>
            <w:r w:rsidRPr="007E4DD6">
              <w:rPr>
                <w:color w:val="000000"/>
                <w:sz w:val="20"/>
              </w:rPr>
              <w:br/>
              <w:t>- Buffer, preservative</w:t>
            </w:r>
            <w:r w:rsidRPr="007E4DD6">
              <w:rPr>
                <w:color w:val="000000"/>
                <w:sz w:val="20"/>
              </w:rPr>
              <w:br/>
              <w:t xml:space="preserve">*. Khả năng phát hiện: </w:t>
            </w:r>
            <w:r w:rsidRPr="007E4DD6">
              <w:rPr>
                <w:color w:val="000000"/>
                <w:sz w:val="20"/>
              </w:rPr>
              <w:br/>
              <w:t>- LoB (Giới hạn mẫu trắng):</w:t>
            </w:r>
            <w:r w:rsidRPr="007E4DD6">
              <w:rPr>
                <w:color w:val="000000"/>
                <w:sz w:val="20"/>
              </w:rPr>
              <w:br/>
              <w:t xml:space="preserve">  1.4 mg/dl (0.23 mmol/l)</w:t>
            </w:r>
            <w:r w:rsidRPr="007E4DD6">
              <w:rPr>
                <w:color w:val="000000"/>
                <w:sz w:val="20"/>
              </w:rPr>
              <w:br/>
              <w:t>- LoD (Giới hạn phát hiện):</w:t>
            </w:r>
            <w:r w:rsidRPr="007E4DD6">
              <w:rPr>
                <w:color w:val="000000"/>
                <w:sz w:val="20"/>
              </w:rPr>
              <w:br/>
              <w:t xml:space="preserve">   2.1 mg/dl (0.35 mmol/l)</w:t>
            </w:r>
            <w:r w:rsidRPr="007E4DD6">
              <w:rPr>
                <w:color w:val="000000"/>
                <w:sz w:val="20"/>
              </w:rPr>
              <w:br/>
              <w:t>- LoQ (Giới hạn định lượng):</w:t>
            </w:r>
            <w:r w:rsidRPr="007E4DD6">
              <w:rPr>
                <w:color w:val="000000"/>
                <w:sz w:val="20"/>
              </w:rPr>
              <w:br/>
              <w:t xml:space="preserve">  4.5 mg/dl (0.75 mmol/l)</w:t>
            </w:r>
            <w:r w:rsidRPr="007E4DD6">
              <w:rPr>
                <w:color w:val="000000"/>
                <w:sz w:val="20"/>
              </w:rPr>
              <w:br/>
              <w:t>*. Độ tuyến tính: Lên đến 250 mg/dl (41.5 mmol/l)</w:t>
            </w:r>
            <w:r w:rsidRPr="007E4DD6">
              <w:rPr>
                <w:color w:val="000000"/>
                <w:sz w:val="20"/>
              </w:rPr>
              <w:br/>
              <w:t>*. Độ đặc hiệu: Haemoglobin lên đến 5 g/dl, Ascorbate lên đến 62 mg/l, Bilirubin lên đến 20 mg/dl và Triglycerides lên đến 1000 mg/dl không ảnh hưởng đến kết quả mẫu xét nghiệm.</w:t>
            </w:r>
            <w:r w:rsidRPr="007E4DD6">
              <w:rPr>
                <w:color w:val="000000"/>
                <w:sz w:val="20"/>
              </w:rPr>
              <w:br/>
              <w:t>- Phương pháp: UREASE</w:t>
            </w:r>
            <w:r w:rsidRPr="007E4DD6">
              <w:rPr>
                <w:color w:val="000000"/>
                <w:sz w:val="20"/>
              </w:rPr>
              <w:br/>
              <w:t>- Đạt tiêu chuẩn: ISO 13485:2016, FSC</w:t>
            </w:r>
          </w:p>
        </w:tc>
      </w:tr>
      <w:tr w:rsidR="007E4DD6" w:rsidRPr="007E4DD6" w:rsidTr="00367D6F">
        <w:trPr>
          <w:trHeight w:val="819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86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Uric Acid</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Uric acid trong máu</w:t>
            </w:r>
            <w:r w:rsidRPr="007E4DD6">
              <w:rPr>
                <w:color w:val="000000"/>
                <w:sz w:val="20"/>
              </w:rPr>
              <w:br w:type="page"/>
              <w:t>*. Nồng độ các thành phần trong thuốc thử:</w:t>
            </w:r>
            <w:r w:rsidRPr="007E4DD6">
              <w:rPr>
                <w:color w:val="000000"/>
                <w:sz w:val="20"/>
              </w:rPr>
              <w:br w:type="page"/>
              <w:t xml:space="preserve">R1: </w:t>
            </w:r>
            <w:r w:rsidRPr="007E4DD6">
              <w:rPr>
                <w:color w:val="000000"/>
                <w:sz w:val="20"/>
              </w:rPr>
              <w:br w:type="page"/>
              <w:t xml:space="preserve">- Ascorbate oxidase ≤ 104 µkat/l </w:t>
            </w:r>
            <w:r w:rsidRPr="007E4DD6">
              <w:rPr>
                <w:color w:val="000000"/>
                <w:sz w:val="20"/>
              </w:rPr>
              <w:br w:type="page"/>
              <w:t>- Peroxidase (POD) ≤ 22.4 μkat/l</w:t>
            </w:r>
            <w:r w:rsidRPr="007E4DD6">
              <w:rPr>
                <w:color w:val="000000"/>
                <w:sz w:val="20"/>
              </w:rPr>
              <w:br w:type="page"/>
              <w:t>- 4-aminoantipyrine ≤ 1.2 mmol/l</w:t>
            </w:r>
            <w:r w:rsidRPr="007E4DD6">
              <w:rPr>
                <w:color w:val="000000"/>
                <w:sz w:val="20"/>
              </w:rPr>
              <w:br w:type="page"/>
              <w:t>- Sodium hydroxide ≤ 0.8 %</w:t>
            </w:r>
            <w:r w:rsidRPr="007E4DD6">
              <w:rPr>
                <w:color w:val="000000"/>
                <w:sz w:val="20"/>
              </w:rPr>
              <w:br w:type="page"/>
              <w:t>- Buffer PIPES (pH 7.0) ≤ 120 mmol/l</w:t>
            </w:r>
            <w:r w:rsidRPr="007E4DD6">
              <w:rPr>
                <w:color w:val="000000"/>
                <w:sz w:val="20"/>
              </w:rPr>
              <w:br w:type="page"/>
              <w:t>- Stabilizers, preservatives, detergent</w:t>
            </w:r>
            <w:r w:rsidRPr="007E4DD6">
              <w:rPr>
                <w:color w:val="000000"/>
                <w:sz w:val="20"/>
              </w:rPr>
              <w:br w:type="page"/>
              <w:t xml:space="preserve">R2: </w:t>
            </w:r>
            <w:r w:rsidRPr="007E4DD6">
              <w:rPr>
                <w:color w:val="000000"/>
                <w:sz w:val="20"/>
              </w:rPr>
              <w:br w:type="page"/>
              <w:t>- Buffer PIPES (pH 7.0) ≤ 60 mmol/l</w:t>
            </w:r>
            <w:r w:rsidRPr="007E4DD6">
              <w:rPr>
                <w:color w:val="000000"/>
                <w:sz w:val="20"/>
              </w:rPr>
              <w:br w:type="page"/>
              <w:t>- ADPS ≤ 2 mmol/l</w:t>
            </w:r>
            <w:r w:rsidRPr="007E4DD6">
              <w:rPr>
                <w:color w:val="000000"/>
                <w:sz w:val="20"/>
              </w:rPr>
              <w:br w:type="page"/>
              <w:t>- Uricase ≤ 9.9 µkat/l</w:t>
            </w:r>
            <w:r w:rsidRPr="007E4DD6">
              <w:rPr>
                <w:color w:val="000000"/>
                <w:sz w:val="20"/>
              </w:rPr>
              <w:br w:type="page"/>
              <w:t>- Ferricyanide potassium ≤ 22.8 µmol/l</w:t>
            </w:r>
            <w:r w:rsidRPr="007E4DD6">
              <w:rPr>
                <w:color w:val="000000"/>
                <w:sz w:val="20"/>
              </w:rPr>
              <w:br w:type="page"/>
              <w:t>- Sodium hydroxide ≤ 0.4 %</w:t>
            </w:r>
            <w:r w:rsidRPr="007E4DD6">
              <w:rPr>
                <w:color w:val="000000"/>
                <w:sz w:val="20"/>
              </w:rPr>
              <w:br w:type="page"/>
              <w:t>- Stabilizers, preservatives, detergent</w:t>
            </w:r>
            <w:r w:rsidRPr="007E4DD6">
              <w:rPr>
                <w:color w:val="000000"/>
                <w:sz w:val="20"/>
              </w:rPr>
              <w:br w:type="page"/>
              <w:t xml:space="preserve">*. Khả năng phát hiện: </w:t>
            </w:r>
            <w:r w:rsidRPr="007E4DD6">
              <w:rPr>
                <w:color w:val="000000"/>
                <w:sz w:val="20"/>
              </w:rPr>
              <w:br w:type="page"/>
              <w:t>- LoB (Giới hạn mẫu trắng): 0.04 mg/dl (2.38µmol/l)-Biolis 30i</w:t>
            </w:r>
            <w:r w:rsidRPr="007E4DD6">
              <w:rPr>
                <w:color w:val="000000"/>
                <w:sz w:val="20"/>
              </w:rPr>
              <w:br w:type="page"/>
              <w:t>- LoD (Giới hạn phát hiện): 0.09 mg/dl (5.35 µmol/l)-Biolis 30i</w:t>
            </w:r>
            <w:r w:rsidRPr="007E4DD6">
              <w:rPr>
                <w:color w:val="000000"/>
                <w:sz w:val="20"/>
              </w:rPr>
              <w:br w:type="page"/>
              <w:t>- LoQ (Giới hạn định lượng):</w:t>
            </w:r>
            <w:r w:rsidRPr="007E4DD6">
              <w:rPr>
                <w:color w:val="000000"/>
                <w:sz w:val="20"/>
              </w:rPr>
              <w:br w:type="page"/>
              <w:t>0.3 mg/dl (17.84 µmol/l)-Huyết thanh/huyết tương-Biolis 30i</w:t>
            </w:r>
            <w:r w:rsidRPr="007E4DD6">
              <w:rPr>
                <w:color w:val="000000"/>
                <w:sz w:val="20"/>
              </w:rPr>
              <w:br w:type="page"/>
              <w:t>0.14 mg/dl (8.33 µmol/l) - Nước tiểu - Biolis 30i</w:t>
            </w:r>
            <w:r w:rsidRPr="007E4DD6">
              <w:rPr>
                <w:color w:val="000000"/>
                <w:sz w:val="20"/>
              </w:rPr>
              <w:br w:type="page"/>
              <w:t>0.6 mg/dl (35.69 µmol/l - Huyết thanh/huyết tương-Multi+</w:t>
            </w:r>
            <w:r w:rsidRPr="007E4DD6">
              <w:rPr>
                <w:color w:val="000000"/>
                <w:sz w:val="20"/>
              </w:rPr>
              <w:br w:type="page"/>
              <w:t xml:space="preserve">*. Độ tuyến tính: </w:t>
            </w:r>
            <w:r w:rsidRPr="007E4DD6">
              <w:rPr>
                <w:color w:val="000000"/>
                <w:sz w:val="20"/>
              </w:rPr>
              <w:br w:type="page"/>
              <w:t>- Lên đến 40 mg/dl (2379.2 µmol/l)-Huyết thanh/huyết tương-Biolis 30i</w:t>
            </w:r>
            <w:r w:rsidRPr="007E4DD6">
              <w:rPr>
                <w:color w:val="000000"/>
                <w:sz w:val="20"/>
              </w:rPr>
              <w:br w:type="page"/>
              <w:t>- Lên đến 56 mg/dl (3330.88 µmol/l) - Nước tiểu - Biolis 30i</w:t>
            </w:r>
            <w:r w:rsidRPr="007E4DD6">
              <w:rPr>
                <w:color w:val="000000"/>
                <w:sz w:val="20"/>
              </w:rPr>
              <w:br w:type="page"/>
              <w:t>- Lên đến 36 mg/dl (2141.28 µmol/l)-Huyết thanh/huyết tương-Multi+</w:t>
            </w:r>
            <w:r w:rsidRPr="007E4DD6">
              <w:rPr>
                <w:color w:val="000000"/>
                <w:sz w:val="20"/>
              </w:rPr>
              <w:br w:type="page"/>
              <w:t>*. Độ đặc hiệu: Haemoglobin lên đến 5 g/dl, Ascorbate lên đến 30 mg/dl để đo mẫu huyết thanh, Ascorbate lên đến 50 mg/dl để đo mẫu nước tiểu, Bilirubin lên đến 20mg/dl và Triglycerides lên đến 1000mg/dl không ảnh hưởng đến kết quả mẫu xét nghiệm.</w:t>
            </w:r>
            <w:r w:rsidRPr="007E4DD6">
              <w:rPr>
                <w:color w:val="000000"/>
                <w:sz w:val="20"/>
              </w:rPr>
              <w:br w:type="page"/>
              <w:t>- Phương pháp: URICASE</w:t>
            </w:r>
            <w:r w:rsidRPr="007E4DD6">
              <w:rPr>
                <w:color w:val="000000"/>
                <w:sz w:val="20"/>
              </w:rPr>
              <w:br w:type="page"/>
              <w:t>- Đạt tiêu chuẩn: ISO 13485:2016, FSC</w:t>
            </w:r>
          </w:p>
        </w:tc>
      </w:tr>
      <w:tr w:rsidR="007E4DD6" w:rsidRPr="007E4DD6" w:rsidTr="00367D6F">
        <w:trPr>
          <w:trHeight w:val="484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Ethanol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cồn trong máu</w:t>
            </w:r>
            <w:r w:rsidRPr="007E4DD6">
              <w:rPr>
                <w:color w:val="000000"/>
                <w:sz w:val="20"/>
              </w:rPr>
              <w:br/>
              <w:t>*. Nồng độ các thành phần trong thuốc thử:</w:t>
            </w:r>
            <w:r w:rsidRPr="007E4DD6">
              <w:rPr>
                <w:color w:val="000000"/>
                <w:sz w:val="20"/>
              </w:rPr>
              <w:br/>
              <w:t>- Buffer (pH 7.3)</w:t>
            </w:r>
            <w:r w:rsidRPr="007E4DD6">
              <w:rPr>
                <w:color w:val="000000"/>
                <w:sz w:val="20"/>
              </w:rPr>
              <w:br/>
              <w:t>- NADanalog 1.35 mmol/L</w:t>
            </w:r>
            <w:r w:rsidRPr="007E4DD6">
              <w:rPr>
                <w:color w:val="000000"/>
                <w:sz w:val="20"/>
              </w:rPr>
              <w:br/>
              <w:t>- Alcohol dehydrogenase &gt; 203 kU/l</w:t>
            </w:r>
            <w:r w:rsidRPr="007E4DD6">
              <w:rPr>
                <w:color w:val="000000"/>
                <w:sz w:val="20"/>
              </w:rPr>
              <w:br/>
              <w:t>- Stabilizers, preservatives</w:t>
            </w:r>
            <w:r w:rsidRPr="007E4DD6">
              <w:rPr>
                <w:color w:val="000000"/>
                <w:sz w:val="20"/>
              </w:rPr>
              <w:br/>
              <w:t xml:space="preserve">*. Khả năng phát hiện: </w:t>
            </w:r>
            <w:r w:rsidRPr="007E4DD6">
              <w:rPr>
                <w:color w:val="000000"/>
                <w:sz w:val="20"/>
              </w:rPr>
              <w:br/>
              <w:t>- LoB (Giới hạn mẫu trắng):  1.2 mg/dl (0.26 mmol/l)</w:t>
            </w:r>
            <w:r w:rsidRPr="007E4DD6">
              <w:rPr>
                <w:color w:val="000000"/>
                <w:sz w:val="20"/>
              </w:rPr>
              <w:br/>
              <w:t>- LoD (Giới hạn phát hiện):  2.9 mg/dl (0.63 mmol/l)</w:t>
            </w:r>
            <w:r w:rsidRPr="007E4DD6">
              <w:rPr>
                <w:color w:val="000000"/>
                <w:sz w:val="20"/>
              </w:rPr>
              <w:br/>
              <w:t>- LoQ (Giới hạn định lượng): 7.0 mg/dl (1.52 mmol/l)</w:t>
            </w:r>
            <w:r w:rsidRPr="007E4DD6">
              <w:rPr>
                <w:color w:val="000000"/>
                <w:sz w:val="20"/>
              </w:rPr>
              <w:br/>
              <w:t>*. Độ tuyến tính: lên đến 800 mg/dl (173.6 mmol/l)</w:t>
            </w:r>
            <w:r w:rsidRPr="007E4DD6">
              <w:rPr>
                <w:color w:val="000000"/>
                <w:sz w:val="20"/>
              </w:rPr>
              <w:br/>
              <w:t>- Độ đặc hiệu: Haemoglobin lên đến 0.6 g/dl, Bilirubin lên đến 40 mg/dl, Intralipid lên đến 1000 mg/dl, LDH lên đến 10000 U/l (với sự có mặt 200 mg/dl của lactate) không ảnh hưởng đến kết quả mẫu xét nghiệm.</w:t>
            </w:r>
            <w:r w:rsidRPr="007E4DD6">
              <w:rPr>
                <w:color w:val="000000"/>
                <w:sz w:val="20"/>
              </w:rPr>
              <w:br/>
              <w:t>- Acetone lên đến 2000 mg/dl, Butanol lên đến 200 mg/dl, Ethylene glycol lên đến 2000 mg/dl, Methanol lên đến 2000 mg/dl và Isopropanol lên đến 2000 mg/dl không ảnh hưởng đến kết quả mẫu xét nghiệm, điều này xác nhận rằng xét nghiệm đặc trưng cho Ethanol.</w:t>
            </w:r>
            <w:r w:rsidRPr="007E4DD6">
              <w:rPr>
                <w:color w:val="000000"/>
                <w:sz w:val="20"/>
              </w:rPr>
              <w:br/>
              <w:t>- Đạt tiêu chuẩn: ISO 13485:2016, FSC</w:t>
            </w:r>
          </w:p>
        </w:tc>
      </w:tr>
      <w:tr w:rsidR="007E4DD6" w:rsidRPr="007E4DD6" w:rsidTr="00367D6F">
        <w:trPr>
          <w:trHeight w:val="71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88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Lipase 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Lipase trong máu</w:t>
            </w:r>
            <w:r w:rsidRPr="007E4DD6">
              <w:rPr>
                <w:color w:val="000000"/>
                <w:sz w:val="20"/>
              </w:rPr>
              <w:br w:type="page"/>
              <w:t>- Nồng độ các thành phần trong thuốc thử:</w:t>
            </w:r>
            <w:r w:rsidRPr="007E4DD6">
              <w:rPr>
                <w:color w:val="000000"/>
                <w:sz w:val="20"/>
              </w:rPr>
              <w:br w:type="page"/>
              <w:t xml:space="preserve">*. R1: </w:t>
            </w:r>
            <w:r w:rsidRPr="007E4DD6">
              <w:rPr>
                <w:color w:val="000000"/>
                <w:sz w:val="20"/>
              </w:rPr>
              <w:br w:type="page"/>
              <w:t>- TAPS[ N-Tris (hydroxymethyl) methyl-3-aminopropanesulfonic acid] 100 mM</w:t>
            </w:r>
            <w:r w:rsidRPr="007E4DD6">
              <w:rPr>
                <w:color w:val="000000"/>
                <w:sz w:val="20"/>
              </w:rPr>
              <w:br w:type="page"/>
              <w:t>- Sodium hydroxide  40 mM</w:t>
            </w:r>
            <w:r w:rsidRPr="007E4DD6">
              <w:rPr>
                <w:color w:val="000000"/>
                <w:sz w:val="20"/>
              </w:rPr>
              <w:br w:type="page"/>
              <w:t>- Sodium deoxycholate  34 mM</w:t>
            </w:r>
            <w:r w:rsidRPr="007E4DD6">
              <w:rPr>
                <w:color w:val="000000"/>
                <w:sz w:val="20"/>
              </w:rPr>
              <w:br w:type="page"/>
              <w:t xml:space="preserve">*. R2: </w:t>
            </w:r>
            <w:r w:rsidRPr="007E4DD6">
              <w:rPr>
                <w:color w:val="000000"/>
                <w:sz w:val="20"/>
              </w:rPr>
              <w:br w:type="page"/>
              <w:t xml:space="preserve">- Tartaric acid   9.5 mM </w:t>
            </w:r>
            <w:r w:rsidRPr="007E4DD6">
              <w:rPr>
                <w:color w:val="000000"/>
                <w:sz w:val="20"/>
              </w:rPr>
              <w:br w:type="page"/>
              <w:t>- Sodium hydroxide  19 mM</w:t>
            </w:r>
            <w:r w:rsidRPr="007E4DD6">
              <w:rPr>
                <w:color w:val="000000"/>
                <w:sz w:val="20"/>
              </w:rPr>
              <w:br w:type="page"/>
              <w:t>- Colipase  460 IU/ml</w:t>
            </w:r>
            <w:r w:rsidRPr="007E4DD6">
              <w:rPr>
                <w:color w:val="000000"/>
                <w:sz w:val="20"/>
              </w:rPr>
              <w:br w:type="page"/>
              <w:t>- 2-Propanol  0.65 M</w:t>
            </w:r>
            <w:r w:rsidRPr="007E4DD6">
              <w:rPr>
                <w:color w:val="000000"/>
                <w:sz w:val="20"/>
              </w:rPr>
              <w:br w:type="page"/>
              <w:t>- DGGMR[1,2-o-dilauryl-rac-glycero-3- glutaric acid-(6’-methylresorufin)-ester] 0.4 mM</w:t>
            </w:r>
            <w:r w:rsidRPr="007E4DD6">
              <w:rPr>
                <w:color w:val="000000"/>
                <w:sz w:val="20"/>
              </w:rPr>
              <w:br w:type="page"/>
              <w:t xml:space="preserve">Khả năng phát hiện: </w:t>
            </w:r>
            <w:r w:rsidRPr="007E4DD6">
              <w:rPr>
                <w:color w:val="000000"/>
                <w:sz w:val="20"/>
              </w:rPr>
              <w:br w:type="page"/>
              <w:t>- LoB (Giới hạn mẫu trằng): 0.2 U/l (0.003 µkat/l)</w:t>
            </w:r>
            <w:r w:rsidRPr="007E4DD6">
              <w:rPr>
                <w:color w:val="000000"/>
                <w:sz w:val="20"/>
              </w:rPr>
              <w:br w:type="page"/>
              <w:t>- LoD (Giới hạn phát hiện): 0.4 U/l (0.007 µkat/l)</w:t>
            </w:r>
            <w:r w:rsidRPr="007E4DD6">
              <w:rPr>
                <w:color w:val="000000"/>
                <w:sz w:val="20"/>
              </w:rPr>
              <w:br w:type="page"/>
              <w:t xml:space="preserve">- LoQ (Giới hạn định lượng): </w:t>
            </w:r>
            <w:r w:rsidRPr="007E4DD6">
              <w:rPr>
                <w:color w:val="000000"/>
                <w:sz w:val="20"/>
              </w:rPr>
              <w:br w:type="page"/>
              <w:t xml:space="preserve">   15 U/l (0.25 µkat/l) - Multi+</w:t>
            </w:r>
            <w:r w:rsidRPr="007E4DD6">
              <w:rPr>
                <w:color w:val="000000"/>
                <w:sz w:val="20"/>
              </w:rPr>
              <w:br w:type="page"/>
              <w:t xml:space="preserve">   6 U/l (0.10 µkat/l) - Biolis 30i</w:t>
            </w:r>
            <w:r w:rsidRPr="007E4DD6">
              <w:rPr>
                <w:color w:val="000000"/>
                <w:sz w:val="20"/>
              </w:rPr>
              <w:br w:type="page"/>
              <w:t xml:space="preserve">*. Độ tuyến tính: </w:t>
            </w:r>
            <w:r w:rsidRPr="007E4DD6">
              <w:rPr>
                <w:color w:val="000000"/>
                <w:sz w:val="20"/>
              </w:rPr>
              <w:br w:type="page"/>
              <w:t xml:space="preserve"> - Lên đến 250 U/l (4.17 µkat/l) - Multi+</w:t>
            </w:r>
            <w:r w:rsidRPr="007E4DD6">
              <w:rPr>
                <w:color w:val="000000"/>
                <w:sz w:val="20"/>
              </w:rPr>
              <w:br w:type="page"/>
              <w:t xml:space="preserve"> - Lên đến 330 U/l (5.50 μkat/l) - Biolis 30i</w:t>
            </w:r>
            <w:r w:rsidRPr="007E4DD6">
              <w:rPr>
                <w:color w:val="000000"/>
                <w:sz w:val="20"/>
              </w:rPr>
              <w:br w:type="page"/>
              <w:t>*. Độ đặc hiệu: Hemoglobin lên đến 0.16 g/dl, Ascorbate lên đến 62 mg/l, Bilirubin lên đến 15 mg/dl và Tryglycerides lên đến 750 mg/dl không ảnh hưởng đến kết quả mẫu xét nghiệm</w:t>
            </w:r>
            <w:r w:rsidRPr="007E4DD6">
              <w:rPr>
                <w:color w:val="000000"/>
                <w:sz w:val="20"/>
              </w:rPr>
              <w:br w:type="page"/>
              <w:t>- Phương pháp: Đo màu</w:t>
            </w:r>
            <w:r w:rsidRPr="007E4DD6">
              <w:rPr>
                <w:color w:val="000000"/>
                <w:sz w:val="20"/>
              </w:rPr>
              <w:br w:type="page"/>
              <w:t>- Đạt tiêu chuẩn ISO 13485:2016, FSC</w:t>
            </w:r>
          </w:p>
        </w:tc>
      </w:tr>
      <w:tr w:rsidR="007E4DD6" w:rsidRPr="007E4DD6" w:rsidTr="00367D6F">
        <w:trPr>
          <w:trHeight w:val="484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Urine Protein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Đo nồng độ Total Protein trong nước tiểu và dịch não tủy</w:t>
            </w:r>
            <w:r w:rsidRPr="007E4DD6">
              <w:rPr>
                <w:color w:val="000000"/>
                <w:sz w:val="20"/>
              </w:rPr>
              <w:br/>
              <w:t xml:space="preserve">*. Nồng độ các thành phần trong thuốc thử: </w:t>
            </w:r>
            <w:r w:rsidRPr="007E4DD6">
              <w:rPr>
                <w:color w:val="000000"/>
                <w:sz w:val="20"/>
              </w:rPr>
              <w:br/>
              <w:t>- Succinate buffer ≤ 60 mmol/L</w:t>
            </w:r>
            <w:r w:rsidRPr="007E4DD6">
              <w:rPr>
                <w:color w:val="000000"/>
                <w:sz w:val="20"/>
              </w:rPr>
              <w:br/>
              <w:t>- Pyrogallol red  ≤ 0.07 mmol/L</w:t>
            </w:r>
            <w:r w:rsidRPr="007E4DD6">
              <w:rPr>
                <w:color w:val="000000"/>
                <w:sz w:val="20"/>
              </w:rPr>
              <w:br/>
              <w:t>- Sodium molybdate ≤ 0.05 mmol/L</w:t>
            </w:r>
            <w:r w:rsidRPr="007E4DD6">
              <w:rPr>
                <w:color w:val="000000"/>
                <w:sz w:val="20"/>
              </w:rPr>
              <w:br/>
              <w:t>- Stabilizers, preservative</w:t>
            </w:r>
            <w:r w:rsidRPr="007E4DD6">
              <w:rPr>
                <w:color w:val="000000"/>
                <w:sz w:val="20"/>
              </w:rPr>
              <w:br/>
              <w:t xml:space="preserve">*. Khả ăng phát hiện: </w:t>
            </w:r>
            <w:r w:rsidRPr="007E4DD6">
              <w:rPr>
                <w:color w:val="000000"/>
                <w:sz w:val="20"/>
              </w:rPr>
              <w:br/>
              <w:t>- LoB (Giới hạn mẫu trắng): 0.23 mg/dL (0.0023 g/L)</w:t>
            </w:r>
            <w:r w:rsidRPr="007E4DD6">
              <w:rPr>
                <w:color w:val="000000"/>
                <w:sz w:val="20"/>
              </w:rPr>
              <w:br/>
              <w:t>- LoD (Giới hạn phát hiện): 0.32 mg/dL (0.0032 g/L)</w:t>
            </w:r>
            <w:r w:rsidRPr="007E4DD6">
              <w:rPr>
                <w:color w:val="000000"/>
                <w:sz w:val="20"/>
              </w:rPr>
              <w:br/>
              <w:t>- LoQ (Giới hạn định lượng): 5.5 mg/dL (0.055 g/L)</w:t>
            </w:r>
            <w:r w:rsidRPr="007E4DD6">
              <w:rPr>
                <w:color w:val="000000"/>
                <w:sz w:val="20"/>
              </w:rPr>
              <w:br/>
              <w:t>*. Độ tuyến tính: lên đến 164 mg/dL (1.64 g/L)</w:t>
            </w:r>
            <w:r w:rsidRPr="007E4DD6">
              <w:rPr>
                <w:color w:val="000000"/>
                <w:sz w:val="20"/>
              </w:rPr>
              <w:br/>
              <w:t>*. Độ đặc hiệu: Hemoglobin lên đến 0.004 g/dl, Ascorbic acid lên đến 20 mg/dl, Creatinine lên đến 6 g/l, Bilirubin lên đến 5 mg/dl, Conjugate bilirubin lên đến 60 mg/dl, Uric acid lên đến 85 mg/dl, Glucose lên đến 35 g/l, Citrates lên đến 250 mg/dl, Oxalates lên đến 90 mg/dl, Calcium ions lên đến 130 mg/dl, Magnesium ions lên đến 1,8 g/l, Phosphate ions lên đến 1.2 g/l, Urea đến 50 g/l không ảnh hưởng đến kết quả mẫu xét nghiệm</w:t>
            </w:r>
            <w:r w:rsidRPr="007E4DD6">
              <w:rPr>
                <w:color w:val="000000"/>
                <w:sz w:val="20"/>
              </w:rPr>
              <w:br/>
              <w:t>- Phương pháp: DIRECT</w:t>
            </w:r>
            <w:r w:rsidRPr="007E4DD6">
              <w:rPr>
                <w:color w:val="000000"/>
                <w:sz w:val="20"/>
              </w:rPr>
              <w:br/>
              <w:t>- Đạt tiêu chuẩn: ISO 13485:2016, FSC</w:t>
            </w:r>
          </w:p>
        </w:tc>
      </w:tr>
      <w:tr w:rsidR="007E4DD6" w:rsidRPr="007E4DD6" w:rsidTr="00367D6F">
        <w:trPr>
          <w:trHeight w:val="38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90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Amylase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α-amylase trong máu</w:t>
            </w:r>
            <w:r w:rsidRPr="007E4DD6">
              <w:rPr>
                <w:color w:val="000000"/>
                <w:sz w:val="20"/>
              </w:rPr>
              <w:br/>
              <w:t>*. Nồng độ các thành phần trong thuốc thử:</w:t>
            </w:r>
            <w:r w:rsidRPr="007E4DD6">
              <w:rPr>
                <w:color w:val="000000"/>
                <w:sz w:val="20"/>
              </w:rPr>
              <w:br/>
              <w:t>- MES buffer &lt; 120 mmol/L</w:t>
            </w:r>
            <w:r w:rsidRPr="007E4DD6">
              <w:rPr>
                <w:color w:val="000000"/>
                <w:sz w:val="20"/>
              </w:rPr>
              <w:br/>
              <w:t>- Calcium acetate &lt; 7 mmol/L</w:t>
            </w:r>
            <w:r w:rsidRPr="007E4DD6">
              <w:rPr>
                <w:color w:val="000000"/>
                <w:sz w:val="20"/>
              </w:rPr>
              <w:br/>
              <w:t>- Potassium hydroxide &lt; 40 mmol/L</w:t>
            </w:r>
            <w:r w:rsidRPr="007E4DD6">
              <w:rPr>
                <w:color w:val="000000"/>
                <w:sz w:val="20"/>
              </w:rPr>
              <w:br/>
              <w:t>- Potassium thiocyanate &lt; 1100 mmol/L</w:t>
            </w:r>
            <w:r w:rsidRPr="007E4DD6">
              <w:rPr>
                <w:color w:val="000000"/>
                <w:sz w:val="20"/>
              </w:rPr>
              <w:br/>
              <w:t>- 2-chloro-4-nitrophenyl-α-maltotrioside &lt; 2 mmol/L</w:t>
            </w:r>
            <w:r w:rsidRPr="007E4DD6">
              <w:rPr>
                <w:color w:val="000000"/>
                <w:sz w:val="20"/>
              </w:rPr>
              <w:br/>
              <w:t>- Preservative, stabilizer</w:t>
            </w:r>
            <w:r w:rsidRPr="007E4DD6">
              <w:rPr>
                <w:color w:val="000000"/>
                <w:sz w:val="20"/>
              </w:rPr>
              <w:br/>
              <w:t>*. Độ nhạy: 2.5 U/l (0.042 µkat/l)</w:t>
            </w:r>
            <w:r w:rsidRPr="007E4DD6">
              <w:rPr>
                <w:color w:val="000000"/>
                <w:sz w:val="20"/>
              </w:rPr>
              <w:br/>
              <w:t>*. Độ tuyến tính: lên đến 1500 U/l (25 μkat/l)</w:t>
            </w:r>
            <w:r w:rsidRPr="007E4DD6">
              <w:rPr>
                <w:color w:val="000000"/>
                <w:sz w:val="20"/>
              </w:rPr>
              <w:br/>
              <w:t>*. Độ đặc hiệu: Haemoglobin lên đến 2.5 g/dl, Ascorbate lên đến 62 mg/l, Bilirubin lên đến 20 mg/dl và Triglycerides lên đến 1000 mg/dl không ảnh hưởng đến kết quả mẫu xét nghiệm.</w:t>
            </w:r>
            <w:r w:rsidRPr="007E4DD6">
              <w:rPr>
                <w:color w:val="000000"/>
                <w:sz w:val="20"/>
              </w:rPr>
              <w:br/>
              <w:t>- Phương pháp: CNP-G3</w:t>
            </w:r>
            <w:r w:rsidRPr="007E4DD6">
              <w:rPr>
                <w:color w:val="000000"/>
                <w:sz w:val="20"/>
              </w:rPr>
              <w:br/>
              <w:t>- Đạt tiêu chuẩn: ISO 13485:2016, FSC</w:t>
            </w:r>
          </w:p>
        </w:tc>
      </w:tr>
      <w:tr w:rsidR="007E4DD6" w:rsidRPr="007E4DD6" w:rsidTr="00367D6F">
        <w:trPr>
          <w:trHeight w:val="71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ASAT/GOT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ASAT trong máu</w:t>
            </w:r>
            <w:r w:rsidRPr="007E4DD6">
              <w:rPr>
                <w:color w:val="000000"/>
                <w:sz w:val="20"/>
              </w:rPr>
              <w:br w:type="page"/>
              <w:t>*. Nồng độ các thành phần trong thuốc thử:</w:t>
            </w:r>
            <w:r w:rsidRPr="007E4DD6">
              <w:rPr>
                <w:color w:val="000000"/>
                <w:sz w:val="20"/>
              </w:rPr>
              <w:br w:type="page"/>
              <w:t xml:space="preserve">R1: </w:t>
            </w:r>
            <w:r w:rsidRPr="007E4DD6">
              <w:rPr>
                <w:color w:val="000000"/>
                <w:sz w:val="20"/>
              </w:rPr>
              <w:br w:type="page"/>
              <w:t>- L-aspartic acid  300 mmol/L</w:t>
            </w:r>
            <w:r w:rsidRPr="007E4DD6">
              <w:rPr>
                <w:color w:val="000000"/>
                <w:sz w:val="20"/>
              </w:rPr>
              <w:br w:type="page"/>
              <w:t>- LDH  1.95 U/mL</w:t>
            </w:r>
            <w:r w:rsidRPr="007E4DD6">
              <w:rPr>
                <w:color w:val="000000"/>
                <w:sz w:val="20"/>
              </w:rPr>
              <w:br w:type="page"/>
              <w:t>- MDH  1.15 U/mL</w:t>
            </w:r>
            <w:r w:rsidRPr="007E4DD6">
              <w:rPr>
                <w:color w:val="000000"/>
                <w:sz w:val="20"/>
              </w:rPr>
              <w:br w:type="page"/>
              <w:t>- Buffer</w:t>
            </w:r>
            <w:r w:rsidRPr="007E4DD6">
              <w:rPr>
                <w:color w:val="000000"/>
                <w:sz w:val="20"/>
              </w:rPr>
              <w:br w:type="page"/>
              <w:t>- Stabilizers</w:t>
            </w:r>
            <w:r w:rsidRPr="007E4DD6">
              <w:rPr>
                <w:color w:val="000000"/>
                <w:sz w:val="20"/>
              </w:rPr>
              <w:br w:type="page"/>
              <w:t>- Preservative</w:t>
            </w:r>
            <w:r w:rsidRPr="007E4DD6">
              <w:rPr>
                <w:color w:val="000000"/>
                <w:sz w:val="20"/>
              </w:rPr>
              <w:br w:type="page"/>
              <w:t xml:space="preserve">R2: </w:t>
            </w:r>
            <w:r w:rsidRPr="007E4DD6">
              <w:rPr>
                <w:color w:val="000000"/>
                <w:sz w:val="20"/>
              </w:rPr>
              <w:br w:type="page"/>
              <w:t>- 2-oxoglutarate  62 mmol/L</w:t>
            </w:r>
            <w:r w:rsidRPr="007E4DD6">
              <w:rPr>
                <w:color w:val="000000"/>
                <w:sz w:val="20"/>
              </w:rPr>
              <w:br w:type="page"/>
              <w:t>- NADH  1.4 mmol/L</w:t>
            </w:r>
            <w:r w:rsidRPr="007E4DD6">
              <w:rPr>
                <w:color w:val="000000"/>
                <w:sz w:val="20"/>
              </w:rPr>
              <w:br w:type="page"/>
              <w:t>- Buffer</w:t>
            </w:r>
            <w:r w:rsidRPr="007E4DD6">
              <w:rPr>
                <w:color w:val="000000"/>
                <w:sz w:val="20"/>
              </w:rPr>
              <w:br w:type="page"/>
              <w:t>- Preservative</w:t>
            </w:r>
            <w:r w:rsidRPr="007E4DD6">
              <w:rPr>
                <w:color w:val="000000"/>
                <w:sz w:val="20"/>
              </w:rPr>
              <w:br w:type="page"/>
              <w:t xml:space="preserve">*. Khả năng phát hiện: </w:t>
            </w:r>
            <w:r w:rsidRPr="007E4DD6">
              <w:rPr>
                <w:color w:val="000000"/>
                <w:sz w:val="20"/>
              </w:rPr>
              <w:br w:type="page"/>
              <w:t>- LoB (Giới hạn mẫu trằng): 1.8 U/L (0.03 µkat/L)</w:t>
            </w:r>
            <w:r w:rsidRPr="007E4DD6">
              <w:rPr>
                <w:color w:val="000000"/>
                <w:sz w:val="20"/>
              </w:rPr>
              <w:br w:type="page"/>
              <w:t>- LoD (Giới hạn phát hiện): 3.0 U/L (0.05 µkat/L)</w:t>
            </w:r>
            <w:r w:rsidRPr="007E4DD6">
              <w:rPr>
                <w:color w:val="000000"/>
                <w:sz w:val="20"/>
              </w:rPr>
              <w:br w:type="page"/>
              <w:t xml:space="preserve">- LoQ (Giới hạn định lượng): </w:t>
            </w:r>
            <w:r w:rsidRPr="007E4DD6">
              <w:rPr>
                <w:color w:val="000000"/>
                <w:sz w:val="20"/>
              </w:rPr>
              <w:br w:type="page"/>
              <w:t xml:space="preserve">   7.0 U/L ( 0.12 µkat/L) - Multi+</w:t>
            </w:r>
            <w:r w:rsidRPr="007E4DD6">
              <w:rPr>
                <w:color w:val="000000"/>
                <w:sz w:val="20"/>
              </w:rPr>
              <w:br w:type="page"/>
              <w:t xml:space="preserve">   7.0 U/L ( 0.12 µkat/L) - Biolis 30i</w:t>
            </w:r>
            <w:r w:rsidRPr="007E4DD6">
              <w:rPr>
                <w:color w:val="000000"/>
                <w:sz w:val="20"/>
              </w:rPr>
              <w:br w:type="page"/>
              <w:t xml:space="preserve">*. Độ tuyến tính: </w:t>
            </w:r>
            <w:r w:rsidRPr="007E4DD6">
              <w:rPr>
                <w:color w:val="000000"/>
                <w:sz w:val="20"/>
              </w:rPr>
              <w:br w:type="page"/>
              <w:t>- Lên đến 650 U/L (10.86 µkat/L)-Multi+</w:t>
            </w:r>
            <w:r w:rsidRPr="007E4DD6">
              <w:rPr>
                <w:color w:val="000000"/>
                <w:sz w:val="20"/>
              </w:rPr>
              <w:br w:type="page"/>
              <w:t>- Lên đến 750 U/L (12.53 µkat/L) - Biolis 30i</w:t>
            </w:r>
            <w:r w:rsidRPr="007E4DD6">
              <w:rPr>
                <w:color w:val="000000"/>
                <w:sz w:val="20"/>
              </w:rPr>
              <w:br w:type="page"/>
              <w:t xml:space="preserve">*. Phạm vi dãy đo: </w:t>
            </w:r>
            <w:r w:rsidRPr="007E4DD6">
              <w:rPr>
                <w:color w:val="000000"/>
                <w:sz w:val="20"/>
              </w:rPr>
              <w:br w:type="page"/>
              <w:t>- 7.0-650U/L (0.12-10.86µkat/L) - Multi+</w:t>
            </w:r>
            <w:r w:rsidRPr="007E4DD6">
              <w:rPr>
                <w:color w:val="000000"/>
                <w:sz w:val="20"/>
              </w:rPr>
              <w:br w:type="page"/>
              <w:t>- 7.0-750 U/L (0.12-12.53 µkat/L) - Biolis 30i</w:t>
            </w:r>
            <w:r w:rsidRPr="007E4DD6">
              <w:rPr>
                <w:color w:val="000000"/>
                <w:sz w:val="20"/>
              </w:rPr>
              <w:br w:type="page"/>
              <w:t>- Phương pháp: IFCC</w:t>
            </w:r>
            <w:r w:rsidRPr="007E4DD6">
              <w:rPr>
                <w:color w:val="000000"/>
                <w:sz w:val="20"/>
              </w:rPr>
              <w:br w:type="page"/>
              <w:t>- Đạt tiêu chuẩn: ISO 13485:2016, FSC</w:t>
            </w:r>
          </w:p>
        </w:tc>
      </w:tr>
      <w:tr w:rsidR="007E4DD6" w:rsidRPr="007E4DD6" w:rsidTr="00367D6F">
        <w:trPr>
          <w:trHeight w:val="76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92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ALAT/GPT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ALAT trong máu</w:t>
            </w:r>
            <w:r w:rsidRPr="007E4DD6">
              <w:rPr>
                <w:color w:val="000000"/>
                <w:sz w:val="20"/>
              </w:rPr>
              <w:br/>
              <w:t>*. Nồng độ các thành phần trong thuốc thử:</w:t>
            </w:r>
            <w:r w:rsidRPr="007E4DD6">
              <w:rPr>
                <w:color w:val="000000"/>
                <w:sz w:val="20"/>
              </w:rPr>
              <w:br/>
              <w:t xml:space="preserve">R1: </w:t>
            </w:r>
            <w:r w:rsidRPr="007E4DD6">
              <w:rPr>
                <w:color w:val="000000"/>
                <w:sz w:val="20"/>
              </w:rPr>
              <w:br/>
              <w:t>- L-alanine  625 mmol/L</w:t>
            </w:r>
            <w:r w:rsidRPr="007E4DD6">
              <w:rPr>
                <w:color w:val="000000"/>
                <w:sz w:val="20"/>
              </w:rPr>
              <w:br/>
              <w:t>- LDH  3.3 U/mL</w:t>
            </w:r>
            <w:r w:rsidRPr="007E4DD6">
              <w:rPr>
                <w:color w:val="000000"/>
                <w:sz w:val="20"/>
              </w:rPr>
              <w:br/>
              <w:t>- Tris buffer</w:t>
            </w:r>
            <w:r w:rsidRPr="007E4DD6">
              <w:rPr>
                <w:color w:val="000000"/>
                <w:sz w:val="20"/>
              </w:rPr>
              <w:br/>
              <w:t>- Stabilizers</w:t>
            </w:r>
            <w:r w:rsidRPr="007E4DD6">
              <w:rPr>
                <w:color w:val="000000"/>
                <w:sz w:val="20"/>
              </w:rPr>
              <w:br/>
              <w:t>- pH regulator</w:t>
            </w:r>
            <w:r w:rsidRPr="007E4DD6">
              <w:rPr>
                <w:color w:val="000000"/>
                <w:sz w:val="20"/>
              </w:rPr>
              <w:br/>
              <w:t>- Detergent</w:t>
            </w:r>
            <w:r w:rsidRPr="007E4DD6">
              <w:rPr>
                <w:color w:val="000000"/>
                <w:sz w:val="20"/>
              </w:rPr>
              <w:br/>
              <w:t>- Preservative</w:t>
            </w:r>
            <w:r w:rsidRPr="007E4DD6">
              <w:rPr>
                <w:color w:val="000000"/>
                <w:sz w:val="20"/>
              </w:rPr>
              <w:br/>
              <w:t xml:space="preserve">R2: </w:t>
            </w:r>
            <w:r w:rsidRPr="007E4DD6">
              <w:rPr>
                <w:color w:val="000000"/>
                <w:sz w:val="20"/>
              </w:rPr>
              <w:br/>
              <w:t>- 2-oxoglutarate 62 mmol/L</w:t>
            </w:r>
            <w:r w:rsidRPr="007E4DD6">
              <w:rPr>
                <w:color w:val="000000"/>
                <w:sz w:val="20"/>
              </w:rPr>
              <w:br/>
              <w:t>- NADH 1.4 mmol/L</w:t>
            </w:r>
            <w:r w:rsidRPr="007E4DD6">
              <w:rPr>
                <w:color w:val="000000"/>
                <w:sz w:val="20"/>
              </w:rPr>
              <w:br/>
              <w:t>- Buffer</w:t>
            </w:r>
            <w:r w:rsidRPr="007E4DD6">
              <w:rPr>
                <w:color w:val="000000"/>
                <w:sz w:val="20"/>
              </w:rPr>
              <w:br/>
              <w:t>- pH regulator</w:t>
            </w:r>
            <w:r w:rsidRPr="007E4DD6">
              <w:rPr>
                <w:color w:val="000000"/>
                <w:sz w:val="20"/>
              </w:rPr>
              <w:br/>
              <w:t>- Preservative</w:t>
            </w:r>
            <w:r w:rsidRPr="007E4DD6">
              <w:rPr>
                <w:color w:val="000000"/>
                <w:sz w:val="20"/>
              </w:rPr>
              <w:br/>
              <w:t xml:space="preserve">*. Khả năng phát hiện: </w:t>
            </w:r>
            <w:r w:rsidRPr="007E4DD6">
              <w:rPr>
                <w:color w:val="000000"/>
                <w:sz w:val="20"/>
              </w:rPr>
              <w:br/>
              <w:t>- LoB (Giới hạn mẫu trằng): 2.0 U/L (0.03 µkat/L)</w:t>
            </w:r>
            <w:r w:rsidRPr="007E4DD6">
              <w:rPr>
                <w:color w:val="000000"/>
                <w:sz w:val="20"/>
              </w:rPr>
              <w:br/>
              <w:t>- LoD (Giới hạn phát hiện): 3.0 U/L (0.05 µkat/L)</w:t>
            </w:r>
            <w:r w:rsidRPr="007E4DD6">
              <w:rPr>
                <w:color w:val="000000"/>
                <w:sz w:val="20"/>
              </w:rPr>
              <w:br/>
              <w:t xml:space="preserve">- LoQ (Giới hạn định lượng): </w:t>
            </w:r>
            <w:r w:rsidRPr="007E4DD6">
              <w:rPr>
                <w:color w:val="000000"/>
                <w:sz w:val="20"/>
              </w:rPr>
              <w:br/>
              <w:t xml:space="preserve">   7.0 U/L (0.12 µkat/L) - Multi+</w:t>
            </w:r>
            <w:r w:rsidRPr="007E4DD6">
              <w:rPr>
                <w:color w:val="000000"/>
                <w:sz w:val="20"/>
              </w:rPr>
              <w:br/>
              <w:t xml:space="preserve">   7.0 U/L (0.12 µkat/L) - Biolis 30i</w:t>
            </w:r>
            <w:r w:rsidRPr="007E4DD6">
              <w:rPr>
                <w:color w:val="000000"/>
                <w:sz w:val="20"/>
              </w:rPr>
              <w:br/>
              <w:t>*. Độ tuyến tính:</w:t>
            </w:r>
            <w:r w:rsidRPr="007E4DD6">
              <w:rPr>
                <w:color w:val="000000"/>
                <w:sz w:val="20"/>
              </w:rPr>
              <w:br/>
              <w:t>- Lên đến 600 U/L (10.2 µkat/L)-Multi+</w:t>
            </w:r>
            <w:r w:rsidRPr="007E4DD6">
              <w:rPr>
                <w:color w:val="000000"/>
                <w:sz w:val="20"/>
              </w:rPr>
              <w:br/>
              <w:t>- Lên đến 675 U/L (11.27 µkat/L)-Biolis 30i</w:t>
            </w:r>
            <w:r w:rsidRPr="007E4DD6">
              <w:rPr>
                <w:color w:val="000000"/>
                <w:sz w:val="20"/>
              </w:rPr>
              <w:br/>
              <w:t xml:space="preserve">*. Phạm vi dãy đo: </w:t>
            </w:r>
            <w:r w:rsidRPr="007E4DD6">
              <w:rPr>
                <w:color w:val="000000"/>
                <w:sz w:val="20"/>
              </w:rPr>
              <w:br/>
              <w:t>- 7.0-600 U/L (0.12-10.2µkat/L) - Multi+</w:t>
            </w:r>
            <w:r w:rsidRPr="007E4DD6">
              <w:rPr>
                <w:color w:val="000000"/>
                <w:sz w:val="20"/>
              </w:rPr>
              <w:br/>
              <w:t>- 7.0-675 U/L (0.12-11.27µkat/L)-Biolis 30i</w:t>
            </w:r>
            <w:r w:rsidRPr="007E4DD6">
              <w:rPr>
                <w:color w:val="000000"/>
                <w:sz w:val="20"/>
              </w:rPr>
              <w:br/>
              <w:t>- Phương pháp: IFCC</w:t>
            </w:r>
            <w:r w:rsidRPr="007E4DD6">
              <w:rPr>
                <w:color w:val="000000"/>
                <w:sz w:val="20"/>
              </w:rPr>
              <w:br/>
              <w:t>- Đạt tiêu chuẩn: ISO 13485:2016, FSC</w:t>
            </w:r>
          </w:p>
        </w:tc>
      </w:tr>
      <w:tr w:rsidR="007E4DD6" w:rsidRPr="007E4DD6" w:rsidTr="00367D6F">
        <w:trPr>
          <w:trHeight w:val="66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CK</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CK (Creatine Kinase) trong máu</w:t>
            </w:r>
            <w:r w:rsidRPr="007E4DD6">
              <w:rPr>
                <w:color w:val="000000"/>
                <w:sz w:val="20"/>
              </w:rPr>
              <w:br w:type="page"/>
              <w:t xml:space="preserve">- Nồng độ các thành phần trong thuốc thử: </w:t>
            </w:r>
            <w:r w:rsidRPr="007E4DD6">
              <w:rPr>
                <w:color w:val="000000"/>
                <w:sz w:val="20"/>
              </w:rPr>
              <w:br w:type="page"/>
              <w:t xml:space="preserve">*. R1: </w:t>
            </w:r>
            <w:r w:rsidRPr="007E4DD6">
              <w:rPr>
                <w:color w:val="000000"/>
                <w:sz w:val="20"/>
              </w:rPr>
              <w:br w:type="page"/>
              <w:t>- Imidazole buffer 100 mmol/l</w:t>
            </w:r>
            <w:r w:rsidRPr="007E4DD6">
              <w:rPr>
                <w:color w:val="000000"/>
                <w:sz w:val="20"/>
              </w:rPr>
              <w:br w:type="page"/>
              <w:t>- Glucose 20 mmol/l</w:t>
            </w:r>
            <w:r w:rsidRPr="007E4DD6">
              <w:rPr>
                <w:color w:val="000000"/>
                <w:sz w:val="20"/>
              </w:rPr>
              <w:br w:type="page"/>
              <w:t>- N- acetylcysteine 20 mmol/l</w:t>
            </w:r>
            <w:r w:rsidRPr="007E4DD6">
              <w:rPr>
                <w:color w:val="000000"/>
                <w:sz w:val="20"/>
              </w:rPr>
              <w:br w:type="page"/>
              <w:t xml:space="preserve">- Magnesium acetate 10 mmol/l </w:t>
            </w:r>
            <w:r w:rsidRPr="007E4DD6">
              <w:rPr>
                <w:color w:val="000000"/>
                <w:sz w:val="20"/>
              </w:rPr>
              <w:br w:type="page"/>
              <w:t>- EDTA   2 mmol/l</w:t>
            </w:r>
            <w:r w:rsidRPr="007E4DD6">
              <w:rPr>
                <w:color w:val="000000"/>
                <w:sz w:val="20"/>
              </w:rPr>
              <w:br w:type="page"/>
              <w:t>- NADP  2 mmol/l</w:t>
            </w:r>
            <w:r w:rsidRPr="007E4DD6">
              <w:rPr>
                <w:color w:val="000000"/>
                <w:sz w:val="20"/>
              </w:rPr>
              <w:br w:type="page"/>
              <w:t>- ADP     2 mmol/l</w:t>
            </w:r>
            <w:r w:rsidRPr="007E4DD6">
              <w:rPr>
                <w:color w:val="000000"/>
                <w:sz w:val="20"/>
              </w:rPr>
              <w:br w:type="page"/>
              <w:t>- AMP    5 mmol/l</w:t>
            </w:r>
            <w:r w:rsidRPr="007E4DD6">
              <w:rPr>
                <w:color w:val="000000"/>
                <w:sz w:val="20"/>
              </w:rPr>
              <w:br w:type="page"/>
              <w:t>- HK   ˃ 2.5 U/ml</w:t>
            </w:r>
            <w:r w:rsidRPr="007E4DD6">
              <w:rPr>
                <w:color w:val="000000"/>
                <w:sz w:val="20"/>
              </w:rPr>
              <w:br w:type="page"/>
              <w:t xml:space="preserve">*. R2: </w:t>
            </w:r>
            <w:r w:rsidRPr="007E4DD6">
              <w:rPr>
                <w:color w:val="000000"/>
                <w:sz w:val="20"/>
              </w:rPr>
              <w:br w:type="page"/>
              <w:t>- Diadenosinepentaphosphate  10 μmol/L</w:t>
            </w:r>
            <w:r w:rsidRPr="007E4DD6">
              <w:rPr>
                <w:color w:val="000000"/>
                <w:sz w:val="20"/>
              </w:rPr>
              <w:br w:type="page"/>
              <w:t>- Glucose-6-phosphate-dehydrogenase (G6P-DH)  ˃ 1.5 U/mL</w:t>
            </w:r>
            <w:r w:rsidRPr="007E4DD6">
              <w:rPr>
                <w:color w:val="000000"/>
                <w:sz w:val="20"/>
              </w:rPr>
              <w:br w:type="page"/>
              <w:t>- Creatine phosphate   30 mmol/L</w:t>
            </w:r>
            <w:r w:rsidRPr="007E4DD6">
              <w:rPr>
                <w:color w:val="000000"/>
                <w:sz w:val="20"/>
              </w:rPr>
              <w:br w:type="page"/>
              <w:t>*. Khả năng phát hiện:</w:t>
            </w:r>
            <w:r w:rsidRPr="007E4DD6">
              <w:rPr>
                <w:color w:val="000000"/>
                <w:sz w:val="20"/>
              </w:rPr>
              <w:br w:type="page"/>
              <w:t>- LoB (Giới hạn mẫu trằng): 1.0 U/l (0.017 µkat/l)</w:t>
            </w:r>
            <w:r w:rsidRPr="007E4DD6">
              <w:rPr>
                <w:color w:val="000000"/>
                <w:sz w:val="20"/>
              </w:rPr>
              <w:br w:type="page"/>
              <w:t>- LoD (Giới hạn phát hiện): 2.0 U/l (0.033 µkat/l)</w:t>
            </w:r>
            <w:r w:rsidRPr="007E4DD6">
              <w:rPr>
                <w:color w:val="000000"/>
                <w:sz w:val="20"/>
              </w:rPr>
              <w:br w:type="page"/>
              <w:t>- LoQ (Giới hạn định lượng): 8.5 U/l (0.14 µkat/l)</w:t>
            </w:r>
            <w:r w:rsidRPr="007E4DD6">
              <w:rPr>
                <w:color w:val="000000"/>
                <w:sz w:val="20"/>
              </w:rPr>
              <w:br w:type="page"/>
              <w:t>*. Độ tuyến tính 2800 U/l (46.67 µkat/l)</w:t>
            </w:r>
            <w:r w:rsidRPr="007E4DD6">
              <w:rPr>
                <w:color w:val="000000"/>
                <w:sz w:val="20"/>
              </w:rPr>
              <w:br w:type="page"/>
              <w:t>*. Độ đặc hiệu: Haemoglobin lên đến 0.156 g/dl, Bilirubin lên đến 20 mg/dl, Ascorbate lên đến 62 mg/l và Triglycerides lên đến 1000 mg/dl không ảnh hưởng đến kết quả mẫu xét nghiệm.</w:t>
            </w:r>
            <w:r w:rsidRPr="007E4DD6">
              <w:rPr>
                <w:color w:val="000000"/>
                <w:sz w:val="20"/>
              </w:rPr>
              <w:br w:type="page"/>
              <w:t>- Phương pháp: IFCC</w:t>
            </w:r>
            <w:r w:rsidRPr="007E4DD6">
              <w:rPr>
                <w:color w:val="000000"/>
                <w:sz w:val="20"/>
              </w:rPr>
              <w:br w:type="page"/>
              <w:t>- Đạt tiêu chuẩn ISO 13485:2016, FSC</w:t>
            </w:r>
          </w:p>
        </w:tc>
      </w:tr>
      <w:tr w:rsidR="007E4DD6" w:rsidRPr="007E4DD6" w:rsidTr="00367D6F">
        <w:trPr>
          <w:trHeight w:val="306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94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Gamma GT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Gamma GT trong máu</w:t>
            </w:r>
            <w:r w:rsidRPr="007E4DD6">
              <w:rPr>
                <w:color w:val="000000"/>
                <w:sz w:val="20"/>
              </w:rPr>
              <w:br/>
              <w:t>*. Nồng độ các thành phần trong thuốc thử:</w:t>
            </w:r>
            <w:r w:rsidRPr="007E4DD6">
              <w:rPr>
                <w:color w:val="000000"/>
                <w:sz w:val="20"/>
              </w:rPr>
              <w:br/>
              <w:t>- Tris (pH 8.25)   100 mmol/L</w:t>
            </w:r>
            <w:r w:rsidRPr="007E4DD6">
              <w:rPr>
                <w:color w:val="000000"/>
                <w:sz w:val="20"/>
              </w:rPr>
              <w:br/>
              <w:t>- Glycylglycine    100 mmol/L</w:t>
            </w:r>
            <w:r w:rsidRPr="007E4DD6">
              <w:rPr>
                <w:color w:val="000000"/>
                <w:sz w:val="20"/>
              </w:rPr>
              <w:br/>
              <w:t>- L-y-glutamyl-3-carboxy-4-nitroanilide   4 mmol/L</w:t>
            </w:r>
            <w:r w:rsidRPr="007E4DD6">
              <w:rPr>
                <w:color w:val="000000"/>
                <w:sz w:val="20"/>
              </w:rPr>
              <w:br/>
              <w:t>*. Độ nhạy: 11.2 U/l (0.187 µkat/l)</w:t>
            </w:r>
            <w:r w:rsidRPr="007E4DD6">
              <w:rPr>
                <w:color w:val="000000"/>
                <w:sz w:val="20"/>
              </w:rPr>
              <w:br/>
              <w:t>*. Độ tuyến tính: lên đến 580 U/l (9.667 µkat/l)</w:t>
            </w:r>
            <w:r w:rsidRPr="007E4DD6">
              <w:rPr>
                <w:color w:val="000000"/>
                <w:sz w:val="20"/>
              </w:rPr>
              <w:br/>
              <w:t>*. Độ đặc hiệu: Haemoglobin lên đến 0.16 g/dl, Ascorbate lên đến 62 mg/l, Bilirubin lên đến 20 mg/dl và Triglycerides lên đến 1000 mg/dl không ảnh hưởng đến kết quả mẫu xét nghiệm.</w:t>
            </w:r>
            <w:r w:rsidRPr="007E4DD6">
              <w:rPr>
                <w:color w:val="000000"/>
                <w:sz w:val="20"/>
              </w:rPr>
              <w:br/>
              <w:t xml:space="preserve">- Phương pháp: IFCC </w:t>
            </w:r>
            <w:r w:rsidRPr="007E4DD6">
              <w:rPr>
                <w:color w:val="000000"/>
                <w:sz w:val="20"/>
              </w:rPr>
              <w:br/>
              <w:t>- Đạt tiêu chuẩn: ISO 13485:2016, FSC</w:t>
            </w:r>
          </w:p>
        </w:tc>
      </w:tr>
      <w:tr w:rsidR="007E4DD6" w:rsidRPr="007E4DD6" w:rsidTr="00367D6F">
        <w:trPr>
          <w:trHeight w:val="331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LDH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LDH (Lactate dehydrogenase) trong máu</w:t>
            </w:r>
            <w:r w:rsidRPr="007E4DD6">
              <w:rPr>
                <w:color w:val="000000"/>
                <w:sz w:val="20"/>
              </w:rPr>
              <w:br/>
              <w:t>*. Nồng độ các thành phần trong thuốc thử:</w:t>
            </w:r>
            <w:r w:rsidRPr="007E4DD6">
              <w:rPr>
                <w:color w:val="000000"/>
                <w:sz w:val="20"/>
              </w:rPr>
              <w:br/>
              <w:t>- Phosphate buffer (pH 7.5) 50 mmol/L</w:t>
            </w:r>
            <w:r w:rsidRPr="007E4DD6">
              <w:rPr>
                <w:color w:val="000000"/>
                <w:sz w:val="20"/>
              </w:rPr>
              <w:br/>
              <w:t>- Pyruvate  0.6 mmol/L</w:t>
            </w:r>
            <w:r w:rsidRPr="007E4DD6">
              <w:rPr>
                <w:color w:val="000000"/>
                <w:sz w:val="20"/>
              </w:rPr>
              <w:br/>
              <w:t>- NADH  0.25 mmol/L</w:t>
            </w:r>
            <w:r w:rsidRPr="007E4DD6">
              <w:rPr>
                <w:color w:val="000000"/>
                <w:sz w:val="20"/>
              </w:rPr>
              <w:br/>
              <w:t xml:space="preserve">- Preservative </w:t>
            </w:r>
            <w:r w:rsidRPr="007E4DD6">
              <w:rPr>
                <w:color w:val="000000"/>
                <w:sz w:val="20"/>
              </w:rPr>
              <w:br/>
              <w:t>*. Độ nhạy: 20.1 U/l (0.36 µkat/l).</w:t>
            </w:r>
            <w:r w:rsidRPr="007E4DD6">
              <w:rPr>
                <w:color w:val="000000"/>
                <w:sz w:val="20"/>
              </w:rPr>
              <w:br/>
              <w:t>*. Độ tuyến tính: lên đến 2000 U/l (33.3 µkat/l)</w:t>
            </w:r>
            <w:r w:rsidRPr="007E4DD6">
              <w:rPr>
                <w:color w:val="000000"/>
                <w:sz w:val="20"/>
              </w:rPr>
              <w:br/>
              <w:t>*. Độ đặc hiệu: Haemoglobin lên đến 5 g/dl, Bilirubin lên đến 20 mg/dl, ascorbate lên đến 62 mg/l và Triglycerides lên đến 1000 mg/dl không ảnh hưởng đến kết quả mẫu xét nghiệm.</w:t>
            </w:r>
            <w:r w:rsidRPr="007E4DD6">
              <w:rPr>
                <w:color w:val="000000"/>
                <w:sz w:val="20"/>
              </w:rPr>
              <w:br/>
              <w:t>- Phương pháp: DGKC</w:t>
            </w:r>
            <w:r w:rsidRPr="007E4DD6">
              <w:rPr>
                <w:color w:val="000000"/>
                <w:sz w:val="20"/>
              </w:rPr>
              <w:br/>
              <w:t>- Đạt tiêu chuẩn: ISO 13485:2016, FSC</w:t>
            </w:r>
          </w:p>
        </w:tc>
      </w:tr>
      <w:tr w:rsidR="007E4DD6" w:rsidRPr="007E4DD6" w:rsidTr="00367D6F">
        <w:trPr>
          <w:trHeight w:val="51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Calcium Arsenazo</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Calcium trong máu</w:t>
            </w:r>
            <w:r w:rsidRPr="007E4DD6">
              <w:rPr>
                <w:color w:val="000000"/>
                <w:sz w:val="20"/>
              </w:rPr>
              <w:br w:type="page"/>
              <w:t xml:space="preserve">*. Nồng độ các thành phần trong thuốc thử: </w:t>
            </w:r>
            <w:r w:rsidRPr="007E4DD6">
              <w:rPr>
                <w:color w:val="000000"/>
                <w:sz w:val="20"/>
              </w:rPr>
              <w:br w:type="page"/>
              <w:t>- Phosphate buffer (pH 7.5):  &lt; 80 mmol/L</w:t>
            </w:r>
            <w:r w:rsidRPr="007E4DD6">
              <w:rPr>
                <w:color w:val="000000"/>
                <w:sz w:val="20"/>
              </w:rPr>
              <w:br w:type="page"/>
              <w:t>- 8-hydroxyquinoline-5-sulfonic acid: &lt; 6 mmol/L</w:t>
            </w:r>
            <w:r w:rsidRPr="007E4DD6">
              <w:rPr>
                <w:color w:val="000000"/>
                <w:sz w:val="20"/>
              </w:rPr>
              <w:br w:type="page"/>
              <w:t>- Arsenazo III : &lt; 120 μmol/L</w:t>
            </w:r>
            <w:r w:rsidRPr="007E4DD6">
              <w:rPr>
                <w:color w:val="000000"/>
                <w:sz w:val="20"/>
              </w:rPr>
              <w:br w:type="page"/>
              <w:t>- Detergents, preservative</w:t>
            </w:r>
            <w:r w:rsidRPr="007E4DD6">
              <w:rPr>
                <w:color w:val="000000"/>
                <w:sz w:val="20"/>
              </w:rPr>
              <w:br w:type="page"/>
              <w:t>*. Khả năng phát hiện:</w:t>
            </w:r>
            <w:r w:rsidRPr="007E4DD6">
              <w:rPr>
                <w:color w:val="000000"/>
                <w:sz w:val="20"/>
              </w:rPr>
              <w:br w:type="page"/>
              <w:t xml:space="preserve">- LoB (Giới hạn mẫu trằng): </w:t>
            </w:r>
            <w:r w:rsidRPr="007E4DD6">
              <w:rPr>
                <w:color w:val="000000"/>
                <w:sz w:val="20"/>
              </w:rPr>
              <w:br w:type="page"/>
              <w:t xml:space="preserve">  0.06 mg/dl (0.015 mmol/l)</w:t>
            </w:r>
            <w:r w:rsidRPr="007E4DD6">
              <w:rPr>
                <w:color w:val="000000"/>
                <w:sz w:val="20"/>
              </w:rPr>
              <w:br w:type="page"/>
              <w:t>- LoD (Giới hạn phát hiện):</w:t>
            </w:r>
            <w:r w:rsidRPr="007E4DD6">
              <w:rPr>
                <w:color w:val="000000"/>
                <w:sz w:val="20"/>
              </w:rPr>
              <w:br w:type="page"/>
              <w:t xml:space="preserve">  0.09 mg/dl (0.023 mmol/l)</w:t>
            </w:r>
            <w:r w:rsidRPr="007E4DD6">
              <w:rPr>
                <w:color w:val="000000"/>
                <w:sz w:val="20"/>
              </w:rPr>
              <w:br w:type="page"/>
              <w:t>- LoQ (Giới hạn định lượng):</w:t>
            </w:r>
            <w:r w:rsidRPr="007E4DD6">
              <w:rPr>
                <w:color w:val="000000"/>
                <w:sz w:val="20"/>
              </w:rPr>
              <w:br w:type="page"/>
              <w:t xml:space="preserve">  0.30 mg/dl (0.075 mmol/l)</w:t>
            </w:r>
            <w:r w:rsidRPr="007E4DD6">
              <w:rPr>
                <w:color w:val="000000"/>
                <w:sz w:val="20"/>
              </w:rPr>
              <w:br w:type="page"/>
              <w:t>*. Độ tuyến tính: lên đến 20.0 mg/dl (5.00 mmol/l)</w:t>
            </w:r>
            <w:r w:rsidRPr="007E4DD6">
              <w:rPr>
                <w:color w:val="000000"/>
                <w:sz w:val="20"/>
              </w:rPr>
              <w:br w:type="page"/>
              <w:t>*. Độ đặc hiệu: Haemoglobin lên đến 5 g/dl, Ascorbate lên đến 62 mg/l, Bilirubin lên đến 40 mg/dl, Triglycerides lên đến 2000 mg/dl và Magnesium lên đến 20 mg/dl không ảnh hưởng đến kết quả mẫu xét nghiệm.</w:t>
            </w:r>
            <w:r w:rsidRPr="007E4DD6">
              <w:rPr>
                <w:color w:val="000000"/>
                <w:sz w:val="20"/>
              </w:rPr>
              <w:br w:type="page"/>
              <w:t>- Phương pháp: ARSENAZO</w:t>
            </w:r>
            <w:r w:rsidRPr="007E4DD6">
              <w:rPr>
                <w:color w:val="000000"/>
                <w:sz w:val="20"/>
              </w:rPr>
              <w:br w:type="page"/>
              <w:t>- Đạt tiêu chuẩn: ISO 13485: 2016, FSC</w:t>
            </w:r>
          </w:p>
        </w:tc>
      </w:tr>
      <w:tr w:rsidR="007E4DD6" w:rsidRPr="007E4DD6" w:rsidTr="00367D6F">
        <w:trPr>
          <w:trHeight w:val="459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97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Micro Albumin Niệu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Microalbumin.</w:t>
            </w:r>
            <w:r w:rsidRPr="007E4DD6">
              <w:rPr>
                <w:color w:val="000000"/>
                <w:sz w:val="20"/>
              </w:rPr>
              <w:br/>
              <w:t>*. Nồng độ các thành phần trong thuốc thử:</w:t>
            </w:r>
            <w:r w:rsidRPr="007E4DD6">
              <w:rPr>
                <w:color w:val="000000"/>
                <w:sz w:val="20"/>
              </w:rPr>
              <w:br/>
              <w:t xml:space="preserve">*. R1: </w:t>
            </w:r>
            <w:r w:rsidRPr="007E4DD6">
              <w:rPr>
                <w:color w:val="000000"/>
                <w:sz w:val="20"/>
              </w:rPr>
              <w:br/>
              <w:t>- Tris buffer (pH 7.6) 18.2 mmol/l</w:t>
            </w:r>
            <w:r w:rsidRPr="007E4DD6">
              <w:rPr>
                <w:color w:val="000000"/>
                <w:sz w:val="20"/>
              </w:rPr>
              <w:br/>
              <w:t>- Sodium chloride 123.2 mmol/L</w:t>
            </w:r>
            <w:r w:rsidRPr="007E4DD6">
              <w:rPr>
                <w:color w:val="000000"/>
                <w:sz w:val="20"/>
              </w:rPr>
              <w:br/>
              <w:t>- PEG  &lt; 4%</w:t>
            </w:r>
            <w:r w:rsidRPr="007E4DD6">
              <w:rPr>
                <w:color w:val="000000"/>
                <w:sz w:val="20"/>
              </w:rPr>
              <w:br/>
              <w:t xml:space="preserve">*. R2: </w:t>
            </w:r>
            <w:r w:rsidRPr="007E4DD6">
              <w:rPr>
                <w:color w:val="000000"/>
                <w:sz w:val="20"/>
              </w:rPr>
              <w:br/>
              <w:t>- Sodium chloride  154 mmol/L</w:t>
            </w:r>
            <w:r w:rsidRPr="007E4DD6">
              <w:rPr>
                <w:color w:val="000000"/>
                <w:sz w:val="20"/>
              </w:rPr>
              <w:br/>
              <w:t xml:space="preserve">- Anti-human albumin antibodies </w:t>
            </w:r>
            <w:r w:rsidRPr="007E4DD6">
              <w:rPr>
                <w:color w:val="000000"/>
                <w:sz w:val="20"/>
              </w:rPr>
              <w:br/>
              <w:t>- Preservatives</w:t>
            </w:r>
            <w:r w:rsidRPr="007E4DD6">
              <w:rPr>
                <w:color w:val="000000"/>
                <w:sz w:val="20"/>
              </w:rPr>
              <w:br/>
              <w:t>*. Độ nhạy: 4.1 mg/l</w:t>
            </w:r>
            <w:r w:rsidRPr="007E4DD6">
              <w:rPr>
                <w:color w:val="000000"/>
                <w:sz w:val="20"/>
              </w:rPr>
              <w:br/>
              <w:t>*. Độ tuyến tính: lên đến nồng độ của chất hiệu chuẩn cao nhất</w:t>
            </w:r>
            <w:r w:rsidRPr="007E4DD6">
              <w:rPr>
                <w:color w:val="000000"/>
                <w:sz w:val="20"/>
              </w:rPr>
              <w:br/>
              <w:t>*. Độ đặc hiệu: Hemoglobin lên đến 2.5 g/dl, Ascorbate lên đến 200 mg/dl, Creatinine lên đến 6 g/l, Uric acid lên đến 100 mg/dl, Glucose lên đến 35 g/l, Urea lên đến 50 g/l, Bilirubin conjugated lên đến 60 mg/dl, Calcium ion lên đến 130 mg/dl, Magnesium ion lên đến 1.8 g/l, không ảnh hưởng đến kết quả mẫu xét nghiệm.</w:t>
            </w:r>
            <w:r w:rsidRPr="007E4DD6">
              <w:rPr>
                <w:color w:val="000000"/>
                <w:sz w:val="20"/>
              </w:rPr>
              <w:br/>
              <w:t>- Đạt tiêu chuẩn: ISO 13485:2016, FSC</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Microalbumin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Microalbumin</w:t>
            </w:r>
            <w:r w:rsidRPr="007E4DD6">
              <w:rPr>
                <w:color w:val="000000"/>
                <w:sz w:val="20"/>
              </w:rPr>
              <w:br/>
              <w:t>- Quy cách đóng gói: 1x2ml</w:t>
            </w:r>
            <w:r w:rsidRPr="007E4DD6">
              <w:rPr>
                <w:color w:val="000000"/>
                <w:sz w:val="20"/>
              </w:rPr>
              <w:br/>
              <w:t>- Đạt tiêu chuẩn: ISO 13485:2016,  FSC</w:t>
            </w:r>
          </w:p>
        </w:tc>
      </w:tr>
      <w:tr w:rsidR="007E4DD6" w:rsidRPr="007E4DD6" w:rsidTr="00367D6F">
        <w:trPr>
          <w:trHeight w:val="408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Lactate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Lactate trong máu</w:t>
            </w:r>
            <w:r w:rsidRPr="007E4DD6">
              <w:rPr>
                <w:color w:val="000000"/>
                <w:sz w:val="20"/>
              </w:rPr>
              <w:br/>
              <w:t>*. Nồng độ các thành phần trong thuốc thử:</w:t>
            </w:r>
            <w:r w:rsidRPr="007E4DD6">
              <w:rPr>
                <w:color w:val="000000"/>
                <w:sz w:val="20"/>
              </w:rPr>
              <w:br/>
              <w:t>- Tris buffer (pH 7.5)  ≥ 50mmol/l</w:t>
            </w:r>
            <w:r w:rsidRPr="007E4DD6">
              <w:rPr>
                <w:color w:val="000000"/>
                <w:sz w:val="20"/>
              </w:rPr>
              <w:br/>
              <w:t>- Lactate oxidase  ≥ 0.2 kU/L</w:t>
            </w:r>
            <w:r w:rsidRPr="007E4DD6">
              <w:rPr>
                <w:color w:val="000000"/>
                <w:sz w:val="20"/>
              </w:rPr>
              <w:br/>
              <w:t>- Peroxidase  ≥ 2 kU/L</w:t>
            </w:r>
            <w:r w:rsidRPr="007E4DD6">
              <w:rPr>
                <w:color w:val="000000"/>
                <w:sz w:val="20"/>
              </w:rPr>
              <w:br/>
              <w:t>- 4-aminoantipyrine  ≥ 0.4 mmol/L</w:t>
            </w:r>
            <w:r w:rsidRPr="007E4DD6">
              <w:rPr>
                <w:color w:val="000000"/>
                <w:sz w:val="20"/>
              </w:rPr>
              <w:br/>
              <w:t>*. Độ nhạy: 1.40 mg/dl (0.155 mmol/l)</w:t>
            </w:r>
            <w:r w:rsidRPr="007E4DD6">
              <w:rPr>
                <w:color w:val="000000"/>
                <w:sz w:val="20"/>
              </w:rPr>
              <w:br/>
              <w:t>*. Độ tuyến tính: lên đến 90 mg/dl (9.99 mmol/l)</w:t>
            </w:r>
            <w:r w:rsidRPr="007E4DD6">
              <w:rPr>
                <w:color w:val="000000"/>
                <w:sz w:val="20"/>
              </w:rPr>
              <w:br/>
              <w:t>*. Độ đặc hiệu:</w:t>
            </w:r>
            <w:r w:rsidRPr="007E4DD6">
              <w:rPr>
                <w:color w:val="000000"/>
                <w:sz w:val="20"/>
              </w:rPr>
              <w:br/>
              <w:t>- Trong mẫu huyết tương có chứa khoảng 12 mg/dl lactate, Hemoglobin lên đến 1.15 g/dl, Bilirubin 8 mg/dl, Triglycerides 330 mg/dl, Ascorbic acid 15.5 mg/l không ảnh hưởng đến kết quả mẫu xét nghiệm.</w:t>
            </w:r>
            <w:r w:rsidRPr="007E4DD6">
              <w:rPr>
                <w:color w:val="000000"/>
                <w:sz w:val="20"/>
              </w:rPr>
              <w:br/>
              <w:t>- Trong mẫu huyết tương có chứa khoảng 40 mg/dl lactate, Hemoglobin lên đến 1.25 g/dl, Bilirubin 10 mg/dl, Triglycerides 1000 mg/dl, Ascorbic acid 62 mg/l không ảnh hưởng đến kết quả mẫu xét nghiệm.</w:t>
            </w:r>
            <w:r w:rsidRPr="007E4DD6">
              <w:rPr>
                <w:color w:val="000000"/>
                <w:sz w:val="20"/>
              </w:rPr>
              <w:br/>
              <w:t>- Đạt tiêu chuẩn: ISO 13485:2016, FSC</w:t>
            </w:r>
          </w:p>
        </w:tc>
      </w:tr>
      <w:tr w:rsidR="007E4DD6" w:rsidRPr="007E4DD6" w:rsidTr="00367D6F">
        <w:trPr>
          <w:trHeight w:val="357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Beta-Hydroxybutytare (Cetone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Xác định định lượng Beta-Hydroxybuty rate trong huyết thanh hoặc huyết tương. </w:t>
            </w:r>
            <w:r w:rsidRPr="007E4DD6">
              <w:rPr>
                <w:color w:val="000000"/>
                <w:sz w:val="20"/>
              </w:rPr>
              <w:br w:type="page"/>
              <w:t xml:space="preserve">*. Thành phần hoạt chất: </w:t>
            </w:r>
            <w:r w:rsidRPr="007E4DD6">
              <w:rPr>
                <w:color w:val="000000"/>
                <w:sz w:val="20"/>
              </w:rPr>
              <w:br w:type="page"/>
              <w:t>- Glucose (2000 mg/dL) 96%</w:t>
            </w:r>
            <w:r w:rsidRPr="007E4DD6">
              <w:rPr>
                <w:color w:val="000000"/>
                <w:sz w:val="20"/>
              </w:rPr>
              <w:br w:type="page"/>
              <w:t>- Acetoacetic Acid (5 mM) 96%</w:t>
            </w:r>
            <w:r w:rsidRPr="007E4DD6">
              <w:rPr>
                <w:color w:val="000000"/>
                <w:sz w:val="20"/>
              </w:rPr>
              <w:br w:type="page"/>
              <w:t>- Creatinine (5 mg/dL) 106%</w:t>
            </w:r>
            <w:r w:rsidRPr="007E4DD6">
              <w:rPr>
                <w:color w:val="000000"/>
                <w:sz w:val="20"/>
              </w:rPr>
              <w:br w:type="page"/>
              <w:t>- Ascorbate (3 mg/dL) 106%</w:t>
            </w:r>
            <w:r w:rsidRPr="007E4DD6">
              <w:rPr>
                <w:color w:val="000000"/>
                <w:sz w:val="20"/>
              </w:rPr>
              <w:br w:type="page"/>
              <w:t>- Bilirubin (10 mg/dL) 96%</w:t>
            </w:r>
            <w:r w:rsidRPr="007E4DD6">
              <w:rPr>
                <w:color w:val="000000"/>
                <w:sz w:val="20"/>
              </w:rPr>
              <w:br w:type="page"/>
              <w:t>- Uric Acid (16 mg/dL) 102%</w:t>
            </w:r>
            <w:r w:rsidRPr="007E4DD6">
              <w:rPr>
                <w:color w:val="000000"/>
                <w:sz w:val="20"/>
              </w:rPr>
              <w:br w:type="page"/>
              <w:t>- Triglyerides (417 mg/dL) 104%</w:t>
            </w:r>
            <w:r w:rsidRPr="007E4DD6">
              <w:rPr>
                <w:color w:val="000000"/>
                <w:sz w:val="20"/>
              </w:rPr>
              <w:br w:type="page"/>
              <w:t>- Cholesterol (314 mg/dL) 94%</w:t>
            </w:r>
            <w:r w:rsidRPr="007E4DD6">
              <w:rPr>
                <w:color w:val="000000"/>
                <w:sz w:val="20"/>
              </w:rPr>
              <w:br w:type="page"/>
              <w:t>- Lactic dehydrogenase(1515 U/mL) 93%</w:t>
            </w:r>
            <w:r w:rsidRPr="007E4DD6">
              <w:rPr>
                <w:color w:val="000000"/>
                <w:sz w:val="20"/>
              </w:rPr>
              <w:br w:type="page"/>
              <w:t>- Sodium lactate (96 mg/dL)  99%</w:t>
            </w:r>
            <w:r w:rsidRPr="007E4DD6">
              <w:rPr>
                <w:color w:val="000000"/>
                <w:sz w:val="20"/>
              </w:rPr>
              <w:br w:type="page"/>
              <w:t>- Đạt tiêu chuẩn: ISO 13485:2016</w:t>
            </w:r>
          </w:p>
        </w:tc>
      </w:tr>
      <w:tr w:rsidR="007E4DD6" w:rsidRPr="007E4DD6" w:rsidTr="00367D6F">
        <w:trPr>
          <w:trHeight w:val="306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101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CRP Ultra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Đo nồng độ CRP (C-reactive protein) trong máu</w:t>
            </w:r>
            <w:r w:rsidRPr="007E4DD6">
              <w:rPr>
                <w:color w:val="000000"/>
                <w:sz w:val="20"/>
              </w:rPr>
              <w:br/>
              <w:t>*. Nồng độ các thành phần trong thuốc thử:</w:t>
            </w:r>
            <w:r w:rsidRPr="007E4DD6">
              <w:rPr>
                <w:color w:val="000000"/>
                <w:sz w:val="20"/>
              </w:rPr>
              <w:br/>
              <w:t>- Suspension of latex particles sensitized with anti-CRP antibodies (rabit) (p.h7.3)  0.20 w/v%</w:t>
            </w:r>
            <w:r w:rsidRPr="007E4DD6">
              <w:rPr>
                <w:color w:val="000000"/>
                <w:sz w:val="20"/>
              </w:rPr>
              <w:br/>
              <w:t>- Glycine buffer solution (pH 7.0)</w:t>
            </w:r>
            <w:r w:rsidRPr="007E4DD6">
              <w:rPr>
                <w:color w:val="000000"/>
                <w:sz w:val="20"/>
              </w:rPr>
              <w:br/>
              <w:t>- Preservative</w:t>
            </w:r>
            <w:r w:rsidRPr="007E4DD6">
              <w:rPr>
                <w:color w:val="000000"/>
                <w:sz w:val="20"/>
              </w:rPr>
              <w:br/>
              <w:t>*. Độ nhạy:  0.1 mg/dl</w:t>
            </w:r>
            <w:r w:rsidRPr="007E4DD6">
              <w:rPr>
                <w:color w:val="000000"/>
                <w:sz w:val="20"/>
              </w:rPr>
              <w:br/>
              <w:t>*. Độ tuyến tính: lên đến 32 mg/dl</w:t>
            </w:r>
            <w:r w:rsidRPr="007E4DD6">
              <w:rPr>
                <w:color w:val="000000"/>
                <w:sz w:val="20"/>
              </w:rPr>
              <w:br/>
              <w:t>*. Độ đặc hiệu: Haemoglobin lên đến 0.5 g/dl, Bilirubin lên đến 30 mg/dl, Triglycerides lên đến 500 mg/dl và RF lên đến 500 IU/ml không ảnh hưởng đến kết quả mẫu xét nghiệm.</w:t>
            </w:r>
            <w:r w:rsidRPr="007E4DD6">
              <w:rPr>
                <w:color w:val="000000"/>
                <w:sz w:val="20"/>
              </w:rPr>
              <w:br/>
              <w:t>- Đạt tiêu chuẩn: ISO 13485:2016, FSC</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HDL/LDL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HDL/LDL Cholesterol</w:t>
            </w:r>
            <w:r w:rsidRPr="007E4DD6">
              <w:rPr>
                <w:color w:val="000000"/>
                <w:sz w:val="20"/>
              </w:rPr>
              <w:br/>
              <w:t>- Quy cách đóng gói: 1x1ml</w:t>
            </w:r>
            <w:r w:rsidRPr="007E4DD6">
              <w:rPr>
                <w:color w:val="000000"/>
                <w:sz w:val="20"/>
              </w:rPr>
              <w:br/>
              <w:t>- Đạt tiêu chuẩn: ISO 13485:2016, FSC</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Multicalibrator Level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cho các xét nghiệm với mức 1</w:t>
            </w:r>
            <w:r w:rsidRPr="007E4DD6">
              <w:rPr>
                <w:color w:val="000000"/>
                <w:sz w:val="20"/>
              </w:rPr>
              <w:br/>
              <w:t>- Quy cách đóng gói: 10x5ml</w:t>
            </w:r>
            <w:r w:rsidRPr="007E4DD6">
              <w:rPr>
                <w:color w:val="000000"/>
                <w:sz w:val="20"/>
              </w:rPr>
              <w:br/>
              <w:t>- Đạt tiêu chuẩn: ISO 13485:2016, FSC</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CRP Ultra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CRP (C-reactive protein)</w:t>
            </w:r>
            <w:r w:rsidRPr="007E4DD6">
              <w:rPr>
                <w:color w:val="000000"/>
                <w:sz w:val="20"/>
              </w:rPr>
              <w:br/>
              <w:t>- Quy cách đóng gói: 5x2 ml</w:t>
            </w:r>
            <w:r w:rsidRPr="007E4DD6">
              <w:rPr>
                <w:color w:val="000000"/>
                <w:sz w:val="20"/>
              </w:rPr>
              <w:br/>
              <w:t>- Đạt tiêu chuẩn: ISO 13485:2016, FSC</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Alkaline Washing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Chai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chứa kiềm dùng để vệ sinh Cuvettes cho máy phân tích sinh hóa</w:t>
            </w:r>
            <w:r w:rsidRPr="007E4DD6">
              <w:rPr>
                <w:color w:val="000000"/>
                <w:sz w:val="20"/>
              </w:rPr>
              <w:br/>
              <w:t>*. Nồng độ các thành phần trong thuốc thử:</w:t>
            </w:r>
            <w:r w:rsidRPr="007E4DD6">
              <w:rPr>
                <w:color w:val="000000"/>
                <w:sz w:val="20"/>
              </w:rPr>
              <w:br/>
              <w:t>- Sodium hydroxide  1.25 mol/L</w:t>
            </w:r>
            <w:r w:rsidRPr="007E4DD6">
              <w:rPr>
                <w:color w:val="000000"/>
                <w:sz w:val="20"/>
              </w:rPr>
              <w:br/>
              <w:t>- Savinase   0.06 %</w:t>
            </w:r>
            <w:r w:rsidRPr="007E4DD6">
              <w:rPr>
                <w:color w:val="000000"/>
                <w:sz w:val="20"/>
              </w:rPr>
              <w:br/>
              <w:t xml:space="preserve">- Surfactant </w:t>
            </w:r>
            <w:r w:rsidRPr="007E4DD6">
              <w:rPr>
                <w:color w:val="000000"/>
                <w:sz w:val="20"/>
              </w:rPr>
              <w:br/>
              <w:t>- Preservative</w:t>
            </w:r>
            <w:r w:rsidRPr="007E4DD6">
              <w:rPr>
                <w:color w:val="000000"/>
                <w:sz w:val="20"/>
              </w:rPr>
              <w:br/>
              <w:t>- Đạt tiêu chuẩn: ISO 13485:2016, FSC</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Acid Washing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Chai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chứa Acid dùng để vệ sinh cuvettes cho máy phân tích sinh hóa</w:t>
            </w:r>
            <w:r w:rsidRPr="007E4DD6">
              <w:rPr>
                <w:color w:val="000000"/>
                <w:sz w:val="20"/>
              </w:rPr>
              <w:br/>
              <w:t xml:space="preserve">*. Nồng độ các thành phần trong thuốc thử:  </w:t>
            </w:r>
            <w:r w:rsidRPr="007E4DD6">
              <w:rPr>
                <w:color w:val="000000"/>
                <w:sz w:val="20"/>
              </w:rPr>
              <w:br/>
              <w:t>- Malic acid  294 mmol/L</w:t>
            </w:r>
            <w:r w:rsidRPr="007E4DD6">
              <w:rPr>
                <w:color w:val="000000"/>
                <w:sz w:val="20"/>
              </w:rPr>
              <w:br/>
              <w:t>- Thesit 0.2 %</w:t>
            </w:r>
            <w:r w:rsidRPr="007E4DD6">
              <w:rPr>
                <w:color w:val="000000"/>
                <w:sz w:val="20"/>
              </w:rPr>
              <w:br/>
              <w:t>- Citrate buffer</w:t>
            </w:r>
            <w:r w:rsidRPr="007E4DD6">
              <w:rPr>
                <w:color w:val="000000"/>
                <w:sz w:val="20"/>
              </w:rPr>
              <w:br/>
              <w:t>- Preservative</w:t>
            </w:r>
            <w:r w:rsidRPr="007E4DD6">
              <w:rPr>
                <w:color w:val="000000"/>
                <w:sz w:val="20"/>
              </w:rPr>
              <w:br/>
              <w:t>- Đạt tiêu chuẩn: ISO 13485:2016, FSC</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Urine Protein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Urine protein</w:t>
            </w:r>
            <w:r w:rsidRPr="007E4DD6">
              <w:rPr>
                <w:color w:val="000000"/>
                <w:sz w:val="20"/>
              </w:rPr>
              <w:br/>
              <w:t>- Quy cách đóng gói: 1x1ml</w:t>
            </w:r>
            <w:r w:rsidRPr="007E4DD6">
              <w:rPr>
                <w:color w:val="000000"/>
                <w:sz w:val="20"/>
              </w:rPr>
              <w:br/>
              <w:t>- Đạt tiêu chuẩn: ISO 13485:2016, FSC</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259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 xml:space="preserve">HÓA CHẤT MÁY ĐIỆN GIẢI  MEDICA HOẶC TƯƠNG ĐƯƠNG </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w:t>
            </w:r>
          </w:p>
        </w:tc>
      </w:tr>
      <w:tr w:rsidR="007E4DD6" w:rsidRPr="007E4DD6" w:rsidTr="00367D6F">
        <w:trPr>
          <w:trHeight w:val="331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điện giải Reagent Pack</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br w:type="page"/>
              <w:t>Hóa chất điện giải đùng dể xác định nồng độ Na/K/Cl/Ca/Li trong mẫu huyết thanh, huyết tương, máu toàn phần và nước tiểu.</w:t>
            </w:r>
            <w:r w:rsidRPr="007E4DD6">
              <w:rPr>
                <w:color w:val="000000"/>
                <w:sz w:val="20"/>
              </w:rPr>
              <w:br w:type="page"/>
              <w:t>1/ Thành phần và nồng độ:</w:t>
            </w:r>
            <w:r w:rsidRPr="007E4DD6">
              <w:rPr>
                <w:color w:val="000000"/>
                <w:sz w:val="20"/>
              </w:rPr>
              <w:br w:type="page"/>
              <w:t>Standard A Solution, 800mL: 140.0 mmol/L Na+, 4.0 mmol/L K+, 125.0 mmol/L Cl−, 1.25 mmol/L Ca++, 1.00 mmol/L Li+, Buffer, Preservative, Wetting Agent.</w:t>
            </w:r>
            <w:r w:rsidRPr="007E4DD6">
              <w:rPr>
                <w:color w:val="000000"/>
                <w:sz w:val="20"/>
              </w:rPr>
              <w:br w:type="page"/>
              <w:t>Standard B Solution, 180mL: 35.0 mmol/L Na+, 16.0 mmol/L K+, 41.0 mmol/L Cl−, 2.50 mmol/L Ca++, 0.40 mmol/L Li+, Buffer, Preservative, Wetting Agent</w:t>
            </w:r>
            <w:r w:rsidRPr="007E4DD6">
              <w:rPr>
                <w:color w:val="000000"/>
                <w:sz w:val="20"/>
              </w:rPr>
              <w:br w:type="page"/>
              <w:t>Wash Solution, 80mL: 0.1 mol/L Ammonium bifluoride</w:t>
            </w:r>
            <w:r w:rsidRPr="007E4DD6">
              <w:rPr>
                <w:color w:val="000000"/>
                <w:sz w:val="20"/>
              </w:rPr>
              <w:br w:type="page"/>
              <w:t>2/ Tiêu chuẩn chất lượng: ISO 13485 &amp; FDA USA &amp; CE</w:t>
            </w:r>
            <w:r w:rsidRPr="007E4DD6">
              <w:rPr>
                <w:color w:val="000000"/>
                <w:sz w:val="20"/>
              </w:rPr>
              <w:br w:type="page"/>
              <w:t>Xuất xứ: G7</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109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máy</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br/>
              <w:t>Dung dịch rửa hằng giúp loại bỏ protein có trong điện cực, ống dẫn mẫu, dây bơm có chứa chất Ammonium Biflouride</w:t>
            </w:r>
            <w:r w:rsidRPr="007E4DD6">
              <w:rPr>
                <w:color w:val="000000"/>
                <w:sz w:val="20"/>
              </w:rPr>
              <w:br/>
              <w:t>Thành phần và nồng độ:</w:t>
            </w:r>
            <w:r w:rsidRPr="007E4DD6">
              <w:rPr>
                <w:color w:val="000000"/>
                <w:sz w:val="20"/>
              </w:rPr>
              <w:br/>
              <w:t>- 1 chai Daily Cleaner Diluent 90mL, HCl (0.2 N), NH5F2 (0.05N) và muối</w:t>
            </w:r>
            <w:r w:rsidRPr="007E4DD6">
              <w:rPr>
                <w:color w:val="000000"/>
                <w:sz w:val="20"/>
              </w:rPr>
              <w:br/>
              <w:t>- 6 chai pepsin dạng bột 0,5 g</w:t>
            </w:r>
            <w:r w:rsidRPr="007E4DD6">
              <w:rPr>
                <w:color w:val="000000"/>
                <w:sz w:val="20"/>
              </w:rPr>
              <w:br/>
              <w:t>Đạt tiêu chuẩn ISO &amp; FDA USA &amp; CE</w:t>
            </w:r>
            <w:r w:rsidRPr="007E4DD6">
              <w:rPr>
                <w:color w:val="000000"/>
                <w:sz w:val="20"/>
              </w:rPr>
              <w:br/>
              <w:t>Xuất xứ: G7</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chuẩn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br/>
              <w:t>Chất nội kiểm 2 nồng độ dùng để kiểm chứng các giá trị ion chạy trên máy xét nghiệm điện giải.</w:t>
            </w:r>
            <w:r w:rsidRPr="007E4DD6">
              <w:rPr>
                <w:color w:val="000000"/>
                <w:sz w:val="20"/>
              </w:rPr>
              <w:br/>
              <w:t>Thành phần và nồng độ:</w:t>
            </w:r>
            <w:r w:rsidRPr="007E4DD6">
              <w:rPr>
                <w:color w:val="000000"/>
                <w:sz w:val="20"/>
              </w:rPr>
              <w:br/>
              <w:t>- Dung dịch muối, chất đệm, albumin bò và chất bảo quản. Và không chứa huyết thanh người.</w:t>
            </w:r>
            <w:r w:rsidRPr="007E4DD6">
              <w:rPr>
                <w:color w:val="000000"/>
                <w:sz w:val="20"/>
              </w:rPr>
              <w:br/>
              <w:t>Đạt tiêu chuẩn ISO &amp; FDA USA &amp; CE</w:t>
            </w:r>
            <w:r w:rsidRPr="007E4DD6">
              <w:rPr>
                <w:color w:val="000000"/>
                <w:sz w:val="20"/>
              </w:rPr>
              <w:br/>
              <w:t>Xuất xứ: G7</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MÁY ĐỊNH LƯỢNG TEST NHANH</w:t>
            </w:r>
          </w:p>
        </w:tc>
      </w:tr>
      <w:tr w:rsidR="007E4DD6" w:rsidRPr="007E4DD6" w:rsidTr="00367D6F">
        <w:trPr>
          <w:trHeight w:val="27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thử xét nghiệm định lượng D-Dimer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Chẩn đoán bệnh lý đông máu rải rác tĩnh mạch (DIC), </w:t>
            </w:r>
            <w:r w:rsidRPr="007E4DD6">
              <w:rPr>
                <w:color w:val="000000"/>
                <w:sz w:val="20"/>
              </w:rPr>
              <w:br/>
              <w:t>hiện tượng huyết khối tĩnh mạch sâu (DVT), Tắc nghẽn động mạch phổi</w:t>
            </w:r>
            <w:r w:rsidRPr="007E4DD6">
              <w:rPr>
                <w:color w:val="000000"/>
                <w:sz w:val="20"/>
              </w:rPr>
              <w:br/>
              <w:t>- Tiêu chuẩn: ISO và FDA Mỹ</w:t>
            </w:r>
            <w:r w:rsidRPr="007E4DD6">
              <w:rPr>
                <w:color w:val="000000"/>
                <w:sz w:val="20"/>
              </w:rPr>
              <w:br/>
              <w:t>- Công nghệ huỳnh quang phân giải thời gian (TRF)</w:t>
            </w:r>
            <w:r w:rsidRPr="007E4DD6">
              <w:rPr>
                <w:color w:val="000000"/>
                <w:sz w:val="20"/>
              </w:rPr>
              <w:br/>
              <w:t>- Phạm vi đo: 120 ng/mL - 4400 ng/mL</w:t>
            </w:r>
            <w:r w:rsidRPr="007E4DD6">
              <w:rPr>
                <w:color w:val="000000"/>
                <w:sz w:val="20"/>
              </w:rPr>
              <w:br/>
              <w:t>- LoB, LoD, LoQ</w:t>
            </w:r>
            <w:r w:rsidRPr="007E4DD6">
              <w:rPr>
                <w:color w:val="000000"/>
                <w:sz w:val="20"/>
              </w:rPr>
              <w:br/>
              <w:t xml:space="preserve">     LoB: 68 ng/mL</w:t>
            </w:r>
            <w:r w:rsidRPr="007E4DD6">
              <w:rPr>
                <w:color w:val="000000"/>
                <w:sz w:val="20"/>
              </w:rPr>
              <w:br/>
              <w:t xml:space="preserve">      LoD: 120 ng/mL</w:t>
            </w:r>
            <w:r w:rsidRPr="007E4DD6">
              <w:rPr>
                <w:color w:val="000000"/>
                <w:sz w:val="20"/>
              </w:rPr>
              <w:br/>
              <w:t xml:space="preserve">      LoQ: 120 ng/mL</w:t>
            </w:r>
          </w:p>
        </w:tc>
      </w:tr>
      <w:tr w:rsidR="007E4DD6" w:rsidRPr="007E4DD6" w:rsidTr="00367D6F">
        <w:trPr>
          <w:trHeight w:val="24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thử xét nghiệm định lượng NT-proBNP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420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Chẩn đoán và tiên lượng sớm suy tim </w:t>
            </w:r>
            <w:r w:rsidRPr="007E4DD6">
              <w:rPr>
                <w:color w:val="000000"/>
                <w:sz w:val="20"/>
              </w:rPr>
              <w:br/>
              <w:t>- Tiêu chuẩn: ISO 13485:2016, CE và CFS Đức</w:t>
            </w:r>
            <w:r w:rsidRPr="007E4DD6">
              <w:rPr>
                <w:color w:val="000000"/>
                <w:sz w:val="20"/>
              </w:rPr>
              <w:br/>
              <w:t>- Công nghệ huỳnh quang phân giải thời gian (TRF)</w:t>
            </w:r>
            <w:r w:rsidRPr="007E4DD6">
              <w:rPr>
                <w:color w:val="000000"/>
                <w:sz w:val="20"/>
              </w:rPr>
              <w:br/>
              <w:t>- Phạm vi đo: 20 pg/mL – 12000 pg/mL</w:t>
            </w:r>
            <w:r w:rsidRPr="007E4DD6">
              <w:rPr>
                <w:color w:val="000000"/>
                <w:sz w:val="20"/>
              </w:rPr>
              <w:br/>
              <w:t>- LoB, LoD, LoQ</w:t>
            </w:r>
            <w:r w:rsidRPr="007E4DD6">
              <w:rPr>
                <w:color w:val="000000"/>
                <w:sz w:val="20"/>
              </w:rPr>
              <w:br/>
              <w:t xml:space="preserve">     LoB: 12 pg/mL </w:t>
            </w:r>
            <w:r w:rsidRPr="007E4DD6">
              <w:rPr>
                <w:color w:val="000000"/>
                <w:sz w:val="20"/>
              </w:rPr>
              <w:br/>
              <w:t xml:space="preserve">      LoD: 20 pg/mL</w:t>
            </w:r>
            <w:r w:rsidRPr="007E4DD6">
              <w:rPr>
                <w:color w:val="000000"/>
                <w:sz w:val="20"/>
              </w:rPr>
              <w:br/>
              <w:t xml:space="preserve">      LoQ: 20 pg/mL</w:t>
            </w:r>
          </w:p>
        </w:tc>
      </w:tr>
      <w:tr w:rsidR="007E4DD6" w:rsidRPr="007E4DD6" w:rsidTr="00367D6F">
        <w:trPr>
          <w:trHeight w:val="24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thử xét nghiệm định lượng PCT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Chẩn đoán theo dõi nhiễm khuẩn và nhiễm trùng huyết</w:t>
            </w:r>
            <w:r w:rsidRPr="007E4DD6">
              <w:rPr>
                <w:color w:val="000000"/>
                <w:sz w:val="20"/>
              </w:rPr>
              <w:br/>
              <w:t>- Tiêu chuẩn: ISO 13485:2016, CE và CFS Đức</w:t>
            </w:r>
            <w:r w:rsidRPr="007E4DD6">
              <w:rPr>
                <w:color w:val="000000"/>
                <w:sz w:val="20"/>
              </w:rPr>
              <w:br/>
              <w:t>- Công nghệ huỳnh quang phân giải thời gian (TRF)</w:t>
            </w:r>
            <w:r w:rsidRPr="007E4DD6">
              <w:rPr>
                <w:color w:val="000000"/>
                <w:sz w:val="20"/>
              </w:rPr>
              <w:br/>
              <w:t>- Phạm vi đo: 0,07 ng/mL - 30 ng/mL</w:t>
            </w:r>
            <w:r w:rsidRPr="007E4DD6">
              <w:rPr>
                <w:color w:val="000000"/>
                <w:sz w:val="20"/>
              </w:rPr>
              <w:br/>
              <w:t>- LoB, LoD, LoQ</w:t>
            </w:r>
            <w:r w:rsidRPr="007E4DD6">
              <w:rPr>
                <w:color w:val="000000"/>
                <w:sz w:val="20"/>
              </w:rPr>
              <w:br/>
              <w:t xml:space="preserve">     LoB: 0,025 ng/mL</w:t>
            </w:r>
            <w:r w:rsidRPr="007E4DD6">
              <w:rPr>
                <w:color w:val="000000"/>
                <w:sz w:val="20"/>
              </w:rPr>
              <w:br/>
              <w:t xml:space="preserve">      LoD: 0,07 ng/mL</w:t>
            </w:r>
            <w:r w:rsidRPr="007E4DD6">
              <w:rPr>
                <w:color w:val="000000"/>
                <w:sz w:val="20"/>
              </w:rPr>
              <w:br/>
              <w:t xml:space="preserve">      LoQ: 0,07 ng/mL</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VTYT - HÓA CHẤT CHẠY MÁY VS TỰ ĐỘNG HOẶC TƯƠNG 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máu lắng chân không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thủy tinh chân không 8x120 mm chứa 0.32 mL chất chống đông dung dịch Natri citrate (3.2%). Thể tích mẫu: 1.28mL.Nút cao su butyl đảm bảo duy trì chân không. E-Beam Hồng ngoại</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HOÁ CHẤT MÁY XÉT NGHIỆM NHÓM MÁU STARGEL HOẶC TƯƠNG ĐƯƠNG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Group Check - Patients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11H5 x 2, 6F9 x 2, NaTH119 x 2; sodium azide &lt; 0.1%; có kết quả trong 5 phút.</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116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Crossmatch (A/B/D/N/AHG/AHG) N = Neutral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Birma1, LB2, RUM1, Neutral gel x 1, AHG( anti-IgG thỏ và anti-C3d dòng 12011D10) x2; sodium azide &lt; 0.1%; có kết quả sau 5 phút ủ và 5 phút ly tâm.</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Solution Buffer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chai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ion cường độ thấp trong môi trường sodium chloride &lt; 0.1%; Trimethoprim, Sulfamethoxazole, Glycine và Potassium di‐hydrogen phosphate. Chuẩn bị hồng cầu 0,8%.</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ANTI-A (ABO1)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Clone 9113D10, type IgM, sodium azide &lt; 0.1% w/v, sodium arsenite 0.02% và bovine albumin</w:t>
            </w:r>
            <w:r w:rsidRPr="007E4DD6">
              <w:rPr>
                <w:color w:val="000000"/>
                <w:sz w:val="20"/>
              </w:rPr>
              <w:br/>
              <w:t>Độ đặc hiệu: 100%</w:t>
            </w:r>
            <w:r w:rsidRPr="007E4DD6">
              <w:rPr>
                <w:color w:val="000000"/>
                <w:sz w:val="20"/>
              </w:rPr>
              <w:br/>
              <w:t>Xuất xứ G7</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ANTI-B (ABO2)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Clone 9621A8, type IgM, sodium azide &lt; 0.1% w/v, sodium arsenite 0.02% và bovine albumin</w:t>
            </w:r>
            <w:r w:rsidRPr="007E4DD6">
              <w:rPr>
                <w:color w:val="000000"/>
                <w:sz w:val="20"/>
              </w:rPr>
              <w:br/>
              <w:t>Độ đặc hiệu: 100%</w:t>
            </w:r>
            <w:r w:rsidRPr="007E4DD6">
              <w:rPr>
                <w:color w:val="000000"/>
                <w:sz w:val="20"/>
              </w:rPr>
              <w:br/>
              <w:t>Xuất xứ G7</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ANTI-D (RH1) TOTEM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Clone P3X61+P3X21223B10+P3X290+P3X35, type IgM + IgG, sodium azide &lt; 0.1% w/v, sodium arsenite 0.02% và bovine albumin</w:t>
            </w:r>
            <w:r w:rsidRPr="007E4DD6">
              <w:rPr>
                <w:color w:val="000000"/>
                <w:sz w:val="20"/>
              </w:rPr>
              <w:br/>
              <w:t>Độ đặc hiệu: 100%</w:t>
            </w:r>
            <w:r w:rsidRPr="007E4DD6">
              <w:rPr>
                <w:color w:val="000000"/>
                <w:sz w:val="20"/>
              </w:rPr>
              <w:br/>
              <w:t>Xuất xứ G7</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AGH MAESTRIA IGG+C3D</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Clone 18833+18896+12011D10, sodium azide &lt; 0.1% w/v, sodium arsenite 0.02% và bovine albumin</w:t>
            </w:r>
            <w:r w:rsidRPr="007E4DD6">
              <w:rPr>
                <w:color w:val="000000"/>
                <w:sz w:val="20"/>
              </w:rPr>
              <w:br/>
              <w:t>Độ đặc hiệu: 100% (DAT)</w:t>
            </w:r>
            <w:r w:rsidRPr="007E4DD6">
              <w:rPr>
                <w:color w:val="000000"/>
                <w:sz w:val="20"/>
              </w:rPr>
              <w:br/>
              <w:t>Xuất xứ G7</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B10E9F" w:rsidRDefault="007E4DD6" w:rsidP="00367D6F">
            <w:pPr>
              <w:jc w:val="left"/>
              <w:rPr>
                <w:b/>
                <w:bCs/>
                <w:color w:val="000000"/>
                <w:sz w:val="20"/>
              </w:rPr>
            </w:pPr>
            <w:r w:rsidRPr="007E4DD6">
              <w:rPr>
                <w:b/>
                <w:bCs/>
                <w:color w:val="000000"/>
                <w:sz w:val="20"/>
              </w:rPr>
              <w:t>CARD NHÓM MÁU TẠI GIƯỜNG (SỬ DỤNG TRONG TRUYỀN MÁU)</w:t>
            </w:r>
          </w:p>
        </w:tc>
      </w:tr>
      <w:tr w:rsidR="007E4DD6" w:rsidRPr="007E4DD6" w:rsidTr="00367D6F">
        <w:trPr>
          <w:trHeight w:val="331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SAFETY CARD AB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Túi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w:t>
            </w:r>
            <w:r w:rsidRPr="007E4DD6">
              <w:rPr>
                <w:color w:val="000000"/>
                <w:sz w:val="20"/>
              </w:rPr>
              <w:br/>
              <w:t>- 2 Ô chứa mẫu hoặc thực hiện autocontrol</w:t>
            </w:r>
            <w:r w:rsidRPr="007E4DD6">
              <w:rPr>
                <w:color w:val="000000"/>
                <w:sz w:val="20"/>
              </w:rPr>
              <w:br/>
              <w:t>- 2 Ô Anti-A: clone 9113D10, IgM, đệm Tris, hiệu giá ≥ 1:256, mức độ phản ứng ≥ 3+</w:t>
            </w:r>
            <w:r w:rsidRPr="007E4DD6">
              <w:rPr>
                <w:color w:val="000000"/>
                <w:sz w:val="20"/>
              </w:rPr>
              <w:br/>
              <w:t>- 2 Ô Anti-B: clone 9621A8, IgM, đệm Tris, hiệu giá ≥ 1:256, mức độ phản ứng ≥ 3+</w:t>
            </w:r>
            <w:r w:rsidRPr="007E4DD6">
              <w:rPr>
                <w:color w:val="000000"/>
                <w:sz w:val="20"/>
              </w:rPr>
              <w:br/>
              <w:t>Độ đặc hiệu: 100%, độ nhạy: 100%, độ chính xác: 100%</w:t>
            </w:r>
            <w:r w:rsidRPr="007E4DD6">
              <w:rPr>
                <w:color w:val="000000"/>
                <w:sz w:val="20"/>
              </w:rPr>
              <w:br/>
              <w:t>Sodium azide &lt;0.1%</w:t>
            </w:r>
            <w:r w:rsidRPr="007E4DD6">
              <w:rPr>
                <w:color w:val="000000"/>
                <w:sz w:val="20"/>
              </w:rPr>
              <w:br/>
              <w:t>Nhiệt độ bảo quản: 2-25˚C</w:t>
            </w:r>
            <w:r w:rsidRPr="007E4DD6">
              <w:rPr>
                <w:color w:val="000000"/>
                <w:sz w:val="20"/>
              </w:rPr>
              <w:br/>
              <w:t>ISO, CE. Xuất xứ G7</w:t>
            </w:r>
            <w:r w:rsidRPr="007E4DD6">
              <w:rPr>
                <w:color w:val="000000"/>
                <w:sz w:val="20"/>
              </w:rPr>
              <w:br/>
              <w:t>Có ô ghi kết quả hòa hợp giữa bệnh nhân và túi máu, kết luận được truyền máu ngay trên card</w:t>
            </w:r>
            <w:r w:rsidRPr="007E4DD6">
              <w:rPr>
                <w:color w:val="000000"/>
                <w:sz w:val="20"/>
              </w:rPr>
              <w:br/>
              <w:t xml:space="preserve"> </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TEST NHANH CHẠY THEO MÁY ĐỌC DATSR-100 HOẶC  TƯƠNG ĐƯƠNG</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Dengue NS1 Rapid Test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975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Độ nhạy 97.9%, độ đặc hiệu 99%, độ chính xác 98.6%. Cho kết quả trong15~ 20 phút.</w:t>
            </w:r>
            <w:r w:rsidRPr="007E4DD6">
              <w:rPr>
                <w:color w:val="000000"/>
                <w:sz w:val="20"/>
              </w:rPr>
              <w:br/>
              <w:t>- Thành phần gồm card và dropper: Dengue NS1 Monoclonal Antibody-1 (0.14±0.028µg);  Dengue NS1 Monoclonal Antibody- 2 (0.32±0.064µg); Goat anti-mouse  inmunoglobulin G (0.8±0.16µg)</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nhanh HIV 1/2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960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Độ nhạy 100% (HIV-1), 96.77% (HIV-2), độ đặc hiệu 100%. Cho kết quả nhanh trong 5 phút</w:t>
            </w:r>
            <w:r w:rsidRPr="007E4DD6">
              <w:rPr>
                <w:color w:val="000000"/>
                <w:sz w:val="20"/>
              </w:rPr>
              <w:br/>
              <w:t>- Thành phần gồm card và assay diluent dropper: HIV 1/2 antigen, gold conjugate (0.8±0.16µg); Recombinant HIV 1 antigen (0.6±0.12µg); Recombinant HIV 2 antigen (0.5±0.10µg); Goat anti-HIV Ag antibody (0.6±0.12µg)</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125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nhanh HCV</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Cassette 4.0mm, thời gian đọc kết quả 10-15 phút</w:t>
            </w:r>
            <w:r w:rsidRPr="007E4DD6">
              <w:rPr>
                <w:color w:val="000000"/>
                <w:sz w:val="20"/>
              </w:rPr>
              <w:br w:type="page"/>
              <w:t xml:space="preserve">Thành phần: </w:t>
            </w:r>
            <w:r w:rsidRPr="007E4DD6">
              <w:rPr>
                <w:color w:val="000000"/>
                <w:sz w:val="20"/>
              </w:rPr>
              <w:br w:type="page"/>
              <w:t>Test line: Recombinant HCV antigen (NS3-NS4-NS5-Core fused antigen): 1.8~2.2mg/ml</w:t>
            </w:r>
            <w:r w:rsidRPr="007E4DD6">
              <w:rPr>
                <w:color w:val="000000"/>
                <w:sz w:val="20"/>
              </w:rPr>
              <w:br w:type="page"/>
              <w:t>Colloidal Gold-HCV Antigen Conjugate ≥1.0mg/ml</w:t>
            </w:r>
            <w:r w:rsidRPr="007E4DD6">
              <w:rPr>
                <w:color w:val="000000"/>
                <w:sz w:val="20"/>
              </w:rPr>
              <w:br w:type="page"/>
              <w:t>Control line: Goat anti-mouse IgG: 0.6~1.2mg/ml</w:t>
            </w:r>
            <w:r w:rsidRPr="007E4DD6">
              <w:rPr>
                <w:color w:val="000000"/>
                <w:sz w:val="20"/>
              </w:rPr>
              <w:br w:type="page"/>
              <w:t>Độ nhạy chẩn đoán: 99.53%</w:t>
            </w:r>
            <w:r w:rsidRPr="007E4DD6">
              <w:rPr>
                <w:color w:val="000000"/>
                <w:sz w:val="20"/>
              </w:rPr>
              <w:br w:type="page"/>
              <w:t>Độ đặc hiệu chẩn đoán: 99.54%</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Syphilis Multi-Card</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Cassette 4.0mm, thời gian đọc kết quả 10-20 phút</w:t>
            </w:r>
            <w:r w:rsidRPr="007E4DD6">
              <w:rPr>
                <w:color w:val="000000"/>
                <w:sz w:val="20"/>
              </w:rPr>
              <w:br/>
              <w:t>Thành phần: Test line: TP antigen; Colloidal Gold-TP antigen Conjugate; Control line: goat anti-mouse IgG</w:t>
            </w:r>
            <w:r w:rsidRPr="007E4DD6">
              <w:rPr>
                <w:color w:val="000000"/>
                <w:sz w:val="20"/>
              </w:rPr>
              <w:br/>
              <w:t>Độ nhạy tương đối: 98.6%</w:t>
            </w:r>
            <w:r w:rsidRPr="007E4DD6">
              <w:rPr>
                <w:color w:val="000000"/>
                <w:sz w:val="20"/>
              </w:rPr>
              <w:br/>
              <w:t>Độ đặc hiệu tương đối: 99.1%</w:t>
            </w:r>
            <w:r w:rsidRPr="007E4DD6">
              <w:rPr>
                <w:color w:val="000000"/>
                <w:sz w:val="20"/>
              </w:rPr>
              <w:br/>
              <w:t>Độ chụm: 99%</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Malaria P.f/P.v Antigen Test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Cassette 3.0mm, thời gian đọc kết quả 10-20 phút</w:t>
            </w:r>
            <w:r w:rsidRPr="007E4DD6">
              <w:rPr>
                <w:color w:val="000000"/>
                <w:sz w:val="20"/>
              </w:rPr>
              <w:br/>
              <w:t>Thành phần: test region: antigen capture antibody; colloidal gold particles coated with Mal-antibody</w:t>
            </w:r>
            <w:r w:rsidRPr="007E4DD6">
              <w:rPr>
                <w:color w:val="000000"/>
                <w:sz w:val="20"/>
              </w:rPr>
              <w:br/>
              <w:t>- Pf: độ nhạy: 85.3%, độ đặc hiệu: 97.5%, độ chính xác: 91.9%</w:t>
            </w:r>
            <w:r w:rsidRPr="007E4DD6">
              <w:rPr>
                <w:color w:val="000000"/>
                <w:sz w:val="20"/>
              </w:rPr>
              <w:br/>
              <w:t>- Pv: độ nhạy: 92.9%, độ đặc hiệu: 96.5%, độ chính xác: 94.9%</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TPHA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Phát hiện kháng thể kháng Treponema pallidum.</w:t>
            </w:r>
            <w:r w:rsidRPr="007E4DD6">
              <w:rPr>
                <w:color w:val="000000"/>
                <w:sz w:val="20"/>
              </w:rPr>
              <w:br/>
              <w:t>Loại mẫu: Huyết thanh, huyết tương</w:t>
            </w:r>
            <w:r w:rsidRPr="007E4DD6">
              <w:rPr>
                <w:color w:val="000000"/>
                <w:sz w:val="20"/>
              </w:rPr>
              <w:br/>
              <w:t>Test Cells: Avian erythrocytes coated with antigens of T. pallidum - 15.2mL</w:t>
            </w:r>
            <w:r w:rsidRPr="007E4DD6">
              <w:rPr>
                <w:color w:val="000000"/>
                <w:sz w:val="20"/>
              </w:rPr>
              <w:br/>
              <w:t>Control Cells: Preserved chicken erythrocytes, not coated -  15.2mL</w:t>
            </w:r>
            <w:r w:rsidRPr="007E4DD6">
              <w:rPr>
                <w:color w:val="000000"/>
                <w:sz w:val="20"/>
              </w:rPr>
              <w:br/>
              <w:t>Sample Diluent: Saline solution containing absorbents - 40mL</w:t>
            </w:r>
            <w:r w:rsidRPr="007E4DD6">
              <w:rPr>
                <w:color w:val="000000"/>
                <w:sz w:val="20"/>
              </w:rPr>
              <w:br/>
              <w:t>Positive Control: Rabbit antiserum Titre 1/1280 Prediluted - 1mL</w:t>
            </w:r>
            <w:r w:rsidRPr="007E4DD6">
              <w:rPr>
                <w:color w:val="000000"/>
                <w:sz w:val="20"/>
              </w:rPr>
              <w:br/>
              <w:t>Negative Control: Normal Rabbit Serum Pre-diluted - 1mL</w:t>
            </w:r>
            <w:r w:rsidRPr="007E4DD6">
              <w:rPr>
                <w:color w:val="000000"/>
                <w:sz w:val="20"/>
              </w:rPr>
              <w:br/>
              <w:t>Độ nhạy: 100%</w:t>
            </w:r>
            <w:r w:rsidRPr="007E4DD6">
              <w:rPr>
                <w:color w:val="000000"/>
                <w:sz w:val="20"/>
              </w:rPr>
              <w:br/>
              <w:t>Độ đặc hiệu: 100%</w:t>
            </w:r>
          </w:p>
        </w:tc>
      </w:tr>
      <w:tr w:rsidR="007E4DD6" w:rsidRPr="007E4DD6" w:rsidTr="00367D6F">
        <w:trPr>
          <w:trHeight w:val="280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RF Latex Kit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Định tính và bán định lượng RF.</w:t>
            </w:r>
            <w:r w:rsidRPr="007E4DD6">
              <w:rPr>
                <w:color w:val="000000"/>
                <w:sz w:val="20"/>
              </w:rPr>
              <w:br/>
              <w:t>Loại mẫu: Huyết thanh</w:t>
            </w:r>
            <w:r w:rsidRPr="007E4DD6">
              <w:rPr>
                <w:color w:val="000000"/>
                <w:sz w:val="20"/>
              </w:rPr>
              <w:br/>
              <w:t xml:space="preserve">Thành phần: </w:t>
            </w:r>
            <w:r w:rsidRPr="007E4DD6">
              <w:rPr>
                <w:color w:val="000000"/>
                <w:sz w:val="20"/>
              </w:rPr>
              <w:br/>
              <w:t>- Latex: Polystyrene Latex particles coated with human gamma globulin. Sodium Azide: 0.9%</w:t>
            </w:r>
            <w:r w:rsidRPr="007E4DD6">
              <w:rPr>
                <w:color w:val="000000"/>
                <w:sz w:val="20"/>
              </w:rPr>
              <w:br/>
              <w:t>- Control + (red cap): Human Serum based, RF concentration &gt;30IU/ml</w:t>
            </w:r>
            <w:r w:rsidRPr="007E4DD6">
              <w:rPr>
                <w:color w:val="000000"/>
                <w:sz w:val="20"/>
              </w:rPr>
              <w:br/>
              <w:t xml:space="preserve">- Control - (green cap): Human/Animal serum based, RF negative control Sodium azide &lt;1%. </w:t>
            </w:r>
            <w:r w:rsidRPr="007E4DD6">
              <w:rPr>
                <w:color w:val="000000"/>
                <w:sz w:val="20"/>
              </w:rPr>
              <w:br/>
              <w:t>- Slide cards x10, plastic stirrers x100</w:t>
            </w:r>
            <w:r w:rsidRPr="007E4DD6">
              <w:rPr>
                <w:color w:val="000000"/>
                <w:sz w:val="20"/>
              </w:rPr>
              <w:br/>
              <w:t>Độ nhạy: 100%</w:t>
            </w:r>
            <w:r w:rsidRPr="007E4DD6">
              <w:rPr>
                <w:color w:val="000000"/>
                <w:sz w:val="20"/>
              </w:rPr>
              <w:br/>
              <w:t>Độ đặc hiệu: 100%</w:t>
            </w:r>
          </w:p>
        </w:tc>
      </w:tr>
      <w:tr w:rsidR="007E4DD6" w:rsidRPr="007E4DD6" w:rsidTr="00367D6F">
        <w:trPr>
          <w:trHeight w:val="306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ASO Latex Kit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Định tính phát hiện và bán định lượng ASO.</w:t>
            </w:r>
            <w:r w:rsidRPr="007E4DD6">
              <w:rPr>
                <w:color w:val="000000"/>
                <w:sz w:val="20"/>
              </w:rPr>
              <w:br/>
              <w:t>Loại mẫu: Huyết thanh</w:t>
            </w:r>
            <w:r w:rsidRPr="007E4DD6">
              <w:rPr>
                <w:color w:val="000000"/>
                <w:sz w:val="20"/>
              </w:rPr>
              <w:br/>
              <w:t xml:space="preserve">Thành phần: </w:t>
            </w:r>
            <w:r w:rsidRPr="007E4DD6">
              <w:rPr>
                <w:color w:val="000000"/>
                <w:sz w:val="20"/>
              </w:rPr>
              <w:br/>
              <w:t xml:space="preserve">- Latex: Polystyrene Latex particles coated with Streptolysin O. Sodium Azide: 0.9%. </w:t>
            </w:r>
            <w:r w:rsidRPr="007E4DD6">
              <w:rPr>
                <w:color w:val="000000"/>
                <w:sz w:val="20"/>
              </w:rPr>
              <w:br/>
              <w:t xml:space="preserve">- Control + (red cap): Human Serum based, ASO concentration &gt;250 IU/ML. </w:t>
            </w:r>
            <w:r w:rsidRPr="007E4DD6">
              <w:rPr>
                <w:color w:val="000000"/>
                <w:sz w:val="20"/>
              </w:rPr>
              <w:br/>
              <w:t xml:space="preserve">- Control - (green cap): Human/Animal serum based, ASO negative control Sodium azide &lt;1%. </w:t>
            </w:r>
            <w:r w:rsidRPr="007E4DD6">
              <w:rPr>
                <w:color w:val="000000"/>
                <w:sz w:val="20"/>
              </w:rPr>
              <w:br/>
              <w:t>- Slide cards x10, plastic stirrers x100</w:t>
            </w:r>
            <w:r w:rsidRPr="007E4DD6">
              <w:rPr>
                <w:color w:val="000000"/>
                <w:sz w:val="20"/>
              </w:rPr>
              <w:br/>
              <w:t xml:space="preserve">Độ nhạy: 98%, </w:t>
            </w:r>
            <w:r w:rsidRPr="007E4DD6">
              <w:rPr>
                <w:color w:val="000000"/>
                <w:sz w:val="20"/>
              </w:rPr>
              <w:br/>
              <w:t>Độ đặc hiệu: 97%</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131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thử thai HCG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Cassette 4.0mm, thời gian đọc kết quả 5 phút.</w:t>
            </w:r>
            <w:r w:rsidRPr="007E4DD6">
              <w:rPr>
                <w:color w:val="000000"/>
                <w:sz w:val="20"/>
              </w:rPr>
              <w:br/>
              <w:t>Thành phần: test line: anti-α HCG capture antibody; control line: goat anti-mouse; mouse anti-β HCG monoclonal</w:t>
            </w:r>
            <w:r w:rsidRPr="007E4DD6">
              <w:rPr>
                <w:color w:val="000000"/>
                <w:sz w:val="20"/>
              </w:rPr>
              <w:br/>
              <w:t>antibody-colloidal gold conjugate</w:t>
            </w:r>
            <w:r w:rsidRPr="007E4DD6">
              <w:rPr>
                <w:color w:val="000000"/>
                <w:sz w:val="20"/>
              </w:rPr>
              <w:br/>
              <w:t>Độ nhạy phân tích: ≥ 25 mIU/mL</w:t>
            </w:r>
            <w:r w:rsidRPr="007E4DD6">
              <w:rPr>
                <w:color w:val="000000"/>
                <w:sz w:val="20"/>
              </w:rPr>
              <w:br/>
              <w:t>Độ đặc hiệu phân tích: không phản ứng chéo với mẫu hLH 500 mIU/mL, hFSH 1000 mIU/mL và hTSH 1000 µIU/mL</w:t>
            </w:r>
            <w:r w:rsidRPr="007E4DD6">
              <w:rPr>
                <w:color w:val="000000"/>
                <w:sz w:val="20"/>
              </w:rPr>
              <w:br/>
              <w:t>Độ nhạy chẩn đoán: 100%</w:t>
            </w:r>
            <w:r w:rsidRPr="007E4DD6">
              <w:rPr>
                <w:color w:val="000000"/>
                <w:sz w:val="20"/>
              </w:rPr>
              <w:br/>
              <w:t>Độ đặc hiệu chẩn đoán: 100%</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259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TEST NHANH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w:t>
            </w:r>
          </w:p>
        </w:tc>
      </w:tr>
      <w:tr w:rsidR="007E4DD6" w:rsidRPr="007E4DD6" w:rsidTr="00367D6F">
        <w:trPr>
          <w:trHeight w:val="331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nhanh HAV IgM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w:t>
            </w:r>
          </w:p>
        </w:tc>
        <w:tc>
          <w:tcPr>
            <w:tcW w:w="4589" w:type="dxa"/>
            <w:tcBorders>
              <w:top w:val="nil"/>
              <w:left w:val="nil"/>
              <w:bottom w:val="single" w:sz="4" w:space="0" w:color="auto"/>
              <w:right w:val="single" w:sz="4" w:space="0" w:color="auto"/>
            </w:tcBorders>
            <w:shd w:val="clear" w:color="auto" w:fill="auto"/>
            <w:vAlign w:val="center"/>
            <w:hideMark/>
          </w:tcPr>
          <w:p w:rsidR="007E4DD6" w:rsidRDefault="007E4DD6" w:rsidP="00367D6F">
            <w:pPr>
              <w:jc w:val="left"/>
              <w:rPr>
                <w:color w:val="000000"/>
                <w:sz w:val="20"/>
              </w:rPr>
            </w:pPr>
            <w:r w:rsidRPr="007E4DD6">
              <w:rPr>
                <w:color w:val="000000"/>
                <w:sz w:val="20"/>
              </w:rPr>
              <w:br/>
              <w:t>Sử dụng phát hiện sự có mặt của kháng thể IgM kháng HAV trong huyết thanh hoặc huyết tương của người</w:t>
            </w:r>
            <w:r w:rsidRPr="007E4DD6">
              <w:rPr>
                <w:color w:val="000000"/>
                <w:sz w:val="20"/>
              </w:rPr>
              <w:br/>
              <w:t xml:space="preserve">Thành phần:  Kháng nguyên HAV tái tổ hợp, kháng thể kháng HAV và kháng thể kháng IgM của  người, </w:t>
            </w:r>
            <w:r w:rsidRPr="007E4DD6">
              <w:rPr>
                <w:color w:val="000000"/>
                <w:sz w:val="20"/>
              </w:rPr>
              <w:br/>
              <w:t>- Độ nhạy 100%,</w:t>
            </w:r>
            <w:r w:rsidRPr="007E4DD6">
              <w:rPr>
                <w:color w:val="000000"/>
                <w:sz w:val="20"/>
              </w:rPr>
              <w:br/>
              <w:t>- Độ đặc hiệu: 99.5%</w:t>
            </w:r>
            <w:r w:rsidRPr="007E4DD6">
              <w:rPr>
                <w:color w:val="000000"/>
                <w:sz w:val="20"/>
              </w:rPr>
              <w:br/>
              <w:t>- Độ chính xác: 99.6%.</w:t>
            </w:r>
            <w:r w:rsidRPr="007E4DD6">
              <w:rPr>
                <w:color w:val="000000"/>
                <w:sz w:val="20"/>
              </w:rPr>
              <w:br/>
              <w:t>Không bị gây nhiễu bởi các chất có nồng độ tương ứng sau: Hemoglobin 1000 mg/dl, Methanol 10%, Abumin 2000 mg/dl.</w:t>
            </w:r>
            <w:r w:rsidRPr="007E4DD6">
              <w:rPr>
                <w:color w:val="000000"/>
                <w:sz w:val="20"/>
              </w:rPr>
              <w:br/>
              <w:t>Không bị phản ứng chéo với các mẫu phẩm dương tính với HIV, HCV, HBV, HEV.</w:t>
            </w:r>
            <w:r w:rsidRPr="007E4DD6">
              <w:rPr>
                <w:color w:val="000000"/>
                <w:sz w:val="20"/>
              </w:rPr>
              <w:br/>
              <w:t>Đạt chứng nhận ISO&amp;CE.</w:t>
            </w:r>
          </w:p>
          <w:p w:rsidR="00D75BC0" w:rsidRPr="007E4DD6" w:rsidRDefault="00D75BC0" w:rsidP="00D75BC0">
            <w:pPr>
              <w:jc w:val="left"/>
              <w:rPr>
                <w:color w:val="000000"/>
                <w:sz w:val="20"/>
              </w:rPr>
            </w:pPr>
            <w:r>
              <w:rPr>
                <w:color w:val="000000"/>
                <w:sz w:val="20"/>
              </w:rPr>
              <w:t>Hoặc tương đương</w:t>
            </w:r>
          </w:p>
        </w:tc>
      </w:tr>
      <w:tr w:rsidR="007E4DD6" w:rsidRPr="007E4DD6" w:rsidTr="00367D6F">
        <w:trPr>
          <w:trHeight w:val="408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nhanh HEV IgM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40</w:t>
            </w:r>
          </w:p>
        </w:tc>
        <w:tc>
          <w:tcPr>
            <w:tcW w:w="4589" w:type="dxa"/>
            <w:tcBorders>
              <w:top w:val="nil"/>
              <w:left w:val="nil"/>
              <w:bottom w:val="single" w:sz="4" w:space="0" w:color="auto"/>
              <w:right w:val="single" w:sz="4" w:space="0" w:color="auto"/>
            </w:tcBorders>
            <w:shd w:val="clear" w:color="auto" w:fill="auto"/>
            <w:vAlign w:val="center"/>
            <w:hideMark/>
          </w:tcPr>
          <w:p w:rsidR="007E4DD6" w:rsidRDefault="007E4DD6" w:rsidP="00367D6F">
            <w:pPr>
              <w:jc w:val="left"/>
              <w:rPr>
                <w:color w:val="000000"/>
                <w:sz w:val="20"/>
              </w:rPr>
            </w:pPr>
            <w:r w:rsidRPr="007E4DD6">
              <w:rPr>
                <w:color w:val="000000"/>
                <w:sz w:val="20"/>
              </w:rPr>
              <w:br/>
              <w:t>Xét nghiệm chẩn đoán In-vitro định tính phát hiện kháng thể IgG và/ hoặc IgM kháng HEV trong huyết thanh hoặc huyết tương của người.</w:t>
            </w:r>
            <w:r w:rsidRPr="007E4DD6">
              <w:rPr>
                <w:color w:val="000000"/>
                <w:sz w:val="20"/>
              </w:rPr>
              <w:br/>
              <w:t>HOẠT CHẤT CHÍNH: Kháng nguyên HEV tái tổ hợp, kháng thể kháng IgM người, kháng thể kháng IgG người.</w:t>
            </w:r>
            <w:r w:rsidRPr="007E4DD6">
              <w:rPr>
                <w:color w:val="000000"/>
                <w:sz w:val="20"/>
              </w:rPr>
              <w:br/>
              <w:t>Đối với kháng thể IgM kháng HEV</w:t>
            </w:r>
            <w:r w:rsidRPr="007E4DD6">
              <w:rPr>
                <w:color w:val="000000"/>
                <w:sz w:val="20"/>
              </w:rPr>
              <w:br/>
              <w:t>- Độ nhạy tương quan: 93.3%</w:t>
            </w:r>
            <w:r w:rsidRPr="007E4DD6">
              <w:rPr>
                <w:color w:val="000000"/>
                <w:sz w:val="20"/>
              </w:rPr>
              <w:br/>
              <w:t>- Độ đặc hiệu tương quan: 98.6%</w:t>
            </w:r>
            <w:r w:rsidRPr="007E4DD6">
              <w:rPr>
                <w:color w:val="000000"/>
                <w:sz w:val="20"/>
              </w:rPr>
              <w:br/>
              <w:t>- Độ chính xác tương quan: 97.9%</w:t>
            </w:r>
            <w:r w:rsidRPr="007E4DD6">
              <w:rPr>
                <w:color w:val="000000"/>
                <w:sz w:val="20"/>
              </w:rPr>
              <w:br/>
              <w:t>Đối với kháng thể IgG kháng HEV</w:t>
            </w:r>
            <w:r w:rsidRPr="007E4DD6">
              <w:rPr>
                <w:color w:val="000000"/>
                <w:sz w:val="20"/>
              </w:rPr>
              <w:br/>
              <w:t>- Độ nhạy tương quan: 90%</w:t>
            </w:r>
            <w:r w:rsidRPr="007E4DD6">
              <w:rPr>
                <w:color w:val="000000"/>
                <w:sz w:val="20"/>
              </w:rPr>
              <w:br/>
              <w:t>- Độ đặc hiệu tương quan: 98.7%</w:t>
            </w:r>
            <w:r w:rsidRPr="007E4DD6">
              <w:rPr>
                <w:color w:val="000000"/>
                <w:sz w:val="20"/>
              </w:rPr>
              <w:br/>
              <w:t>- Độ chính xác tương quan: 97.7%</w:t>
            </w:r>
            <w:r w:rsidRPr="007E4DD6">
              <w:rPr>
                <w:color w:val="000000"/>
                <w:sz w:val="20"/>
              </w:rPr>
              <w:br/>
              <w:t>Không phản ứng chéo với với các mẫu dương tính HBV,HIV, HCV, Syphilis và mẫu chứa yếu tố dạng thấp (RF).</w:t>
            </w:r>
            <w:r w:rsidRPr="007E4DD6">
              <w:rPr>
                <w:color w:val="000000"/>
                <w:sz w:val="20"/>
              </w:rPr>
              <w:br/>
              <w:t>Đạt chứng nhận ISO&amp;CE.</w:t>
            </w:r>
          </w:p>
          <w:p w:rsidR="00D75BC0" w:rsidRPr="007E4DD6" w:rsidRDefault="00D75BC0" w:rsidP="00367D6F">
            <w:pPr>
              <w:jc w:val="left"/>
              <w:rPr>
                <w:color w:val="000000"/>
                <w:sz w:val="20"/>
              </w:rPr>
            </w:pPr>
            <w:r>
              <w:rPr>
                <w:color w:val="000000"/>
                <w:sz w:val="20"/>
              </w:rPr>
              <w:t>Hoặc tương đương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MIỄN DỊCH ELISA TỰ ĐỘNG ETIMAX 3000 HOẶC TƯƠNG ĐƯƠNG</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Đầu cone đen 300 ul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Đầu col đen tĩnh điện</w:t>
            </w:r>
            <w:r w:rsidRPr="007E4DD6">
              <w:rPr>
                <w:color w:val="000000"/>
                <w:sz w:val="20"/>
              </w:rPr>
              <w:br/>
              <w:t>- Thể tích: 300µL</w:t>
            </w:r>
            <w:r w:rsidRPr="007E4DD6">
              <w:rPr>
                <w:color w:val="000000"/>
                <w:sz w:val="20"/>
              </w:rPr>
              <w:br/>
              <w:t>- Chất liệu PP (Polypropylene)</w:t>
            </w:r>
            <w:r w:rsidRPr="007E4DD6">
              <w:rPr>
                <w:color w:val="000000"/>
                <w:sz w:val="20"/>
              </w:rPr>
              <w:br/>
              <w:t>- Tiệt trùng</w:t>
            </w:r>
            <w:r w:rsidRPr="007E4DD6">
              <w:rPr>
                <w:color w:val="000000"/>
                <w:sz w:val="20"/>
              </w:rPr>
              <w:br/>
              <w:t>- Không chứa kim loại nặng, DNase/RNase, DNA người, chất ức chế PCR và nội độc tố (pyrogen).</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Đầu cône đen 1100ul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Đầu col đen tĩnh điện</w:t>
            </w:r>
            <w:r w:rsidRPr="007E4DD6">
              <w:rPr>
                <w:color w:val="000000"/>
                <w:sz w:val="20"/>
              </w:rPr>
              <w:br/>
              <w:t>- Thể tích: 1100µL</w:t>
            </w:r>
            <w:r w:rsidRPr="007E4DD6">
              <w:rPr>
                <w:color w:val="000000"/>
                <w:sz w:val="20"/>
              </w:rPr>
              <w:br/>
              <w:t>- Chất liệu PP (Polypropylene)</w:t>
            </w:r>
            <w:r w:rsidRPr="007E4DD6">
              <w:rPr>
                <w:color w:val="000000"/>
                <w:sz w:val="20"/>
              </w:rPr>
              <w:br/>
              <w:t>- Tiệt trùng</w:t>
            </w:r>
            <w:r w:rsidRPr="007E4DD6">
              <w:rPr>
                <w:color w:val="000000"/>
                <w:sz w:val="20"/>
              </w:rPr>
              <w:br/>
              <w:t>- Không chứa kim loại nặng, DNase/RNase, DNA người, chất ức chế PCR và nội độc tố (pyrogen).</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136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Liqui-nox</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Phosphate free, 21% Organic Carbon</w:t>
            </w:r>
          </w:p>
        </w:tc>
      </w:tr>
      <w:tr w:rsidR="007E4DD6" w:rsidRPr="007E4DD6" w:rsidTr="00367D6F">
        <w:trPr>
          <w:trHeight w:val="6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QConnect Blue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Multi-marker QC sample cho HBsAg, Anti-HIV 1 IgG, anti HCV IgG, Anti-HBc, anti HTLV IgG, Anti-TP IgG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PLASTIC TUBES 5ml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nhựa dùng để chứa chất lỏng, dung tích 5 mL.</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TOXOCARA CANIS IgG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Test strips: Microwells containing Toxocara Excretory antigens; Enzyme Conjugate: 1x11mL; Positive Control: 1x2mL, surrogate positive; Negative Control: 1x2mL; Chromogen: 1x11mL, tetramethylbenzidine (TMB); Wash Concentrate (20X): 2x25mL; Dilution Buffer: 2x30mL; Stop Solution: 1x11mL, acid phosphoric 1M</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TAENIA SOLIUM IgG </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ype="page"/>
              <w:t>Test strips: Microwells containing T. solium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ype="page"/>
              <w:t>Độ nhạy: 88%</w:t>
            </w:r>
            <w:r w:rsidRPr="007E4DD6">
              <w:rPr>
                <w:color w:val="000000"/>
                <w:sz w:val="20"/>
              </w:rPr>
              <w:br w:type="page"/>
              <w:t>Độ đặc hiệu: 96%</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SCHISTOSOMA MANSONI IgG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25 phút</w:t>
            </w:r>
            <w:r w:rsidRPr="007E4DD6">
              <w:rPr>
                <w:color w:val="000000"/>
                <w:sz w:val="20"/>
              </w:rPr>
              <w:br/>
              <w:t>Test strips: Microwells containing Schistosoma SEA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Độ nhạy: 100%</w:t>
            </w:r>
            <w:r w:rsidRPr="007E4DD6">
              <w:rPr>
                <w:color w:val="000000"/>
                <w:sz w:val="20"/>
              </w:rPr>
              <w:br/>
              <w:t>Độ đặc hiệu: 85%</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TRICHINELLA SPIRALIS IgG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Test strips: Microwells containing Trichinella ES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Độ nhạy: 100%</w:t>
            </w:r>
            <w:r w:rsidRPr="007E4DD6">
              <w:rPr>
                <w:color w:val="000000"/>
                <w:sz w:val="20"/>
              </w:rPr>
              <w:br/>
              <w:t>Độ đặc hiệu: 100%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Entamoeba Histolytica IgG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Test strips: Microwells containing E. histolytica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Độ nhạy: 100%</w:t>
            </w:r>
            <w:r w:rsidRPr="007E4DD6">
              <w:rPr>
                <w:color w:val="000000"/>
                <w:sz w:val="20"/>
              </w:rPr>
              <w:br/>
              <w:t>Độ đặc hiệu: 100%</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ASCARIS LUMBRICOIDES IgG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Test strips: microwells containing Ascaris antigens; Enzyme Conjugate: 1x11mL; Positive Control: 1x2mL, surrogate control; Negative Control: 1x2mL; Chromogen: 1x11mL, tetramethylbenzidine (TMB); Wash Concentrate (20X): 2x25mL; Dilution Buffer: 2x30mL; Stop Solution: 1x11mL, acid phosphoric 1M</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145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Strongyloides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20 phút</w:t>
            </w:r>
            <w:r w:rsidRPr="007E4DD6">
              <w:rPr>
                <w:color w:val="000000"/>
                <w:sz w:val="20"/>
              </w:rPr>
              <w:br/>
              <w:t>Test strips: Microwells containing Strongyloides L3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Độ nhạy: 100%</w:t>
            </w:r>
            <w:r w:rsidRPr="007E4DD6">
              <w:rPr>
                <w:color w:val="000000"/>
                <w:sz w:val="20"/>
              </w:rPr>
              <w:br/>
              <w:t>Độ đặc hiệu: 100%</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AccuElis Gnathostoma spinigerum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Tổng thời gian ủ: 50 phút</w:t>
            </w:r>
            <w:r w:rsidRPr="007E4DD6">
              <w:rPr>
                <w:color w:val="000000"/>
                <w:sz w:val="20"/>
              </w:rPr>
              <w:br/>
              <w:t>Test strips: Microwells containing Gnathostoma recombinant antigens; Enzyme Conjugate: 1x11mL; Positive Control: 1x2mL, surrogate positive; Negative Control: 1x2mL; Chromogen: 1x11mL, tetramethylbenzidine (TMB); Wash Concentrate (20X): 2x25mL; Dilution Buffer: 2x30mL; Stop Solution: 1x11mL, acid phosphoric 1M</w:t>
            </w:r>
            <w:r w:rsidRPr="007E4DD6">
              <w:rPr>
                <w:color w:val="000000"/>
                <w:sz w:val="20"/>
              </w:rPr>
              <w:br/>
              <w:t>Độ nhạy: 93%</w:t>
            </w:r>
            <w:r w:rsidRPr="007E4DD6">
              <w:rPr>
                <w:color w:val="000000"/>
                <w:sz w:val="20"/>
              </w:rPr>
              <w:br/>
              <w:t>Độ đặc hiệu: 100%</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TEST NHANH CÁC CHẤT GÂY NGHIỆN</w:t>
            </w:r>
          </w:p>
        </w:tc>
      </w:tr>
      <w:tr w:rsidR="007E4DD6" w:rsidRPr="007E4DD6" w:rsidTr="00367D6F">
        <w:trPr>
          <w:trHeight w:val="22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Que thử Morphine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140</w:t>
            </w:r>
          </w:p>
        </w:tc>
        <w:tc>
          <w:tcPr>
            <w:tcW w:w="4589" w:type="dxa"/>
            <w:tcBorders>
              <w:top w:val="nil"/>
              <w:left w:val="nil"/>
              <w:bottom w:val="single" w:sz="4" w:space="0" w:color="auto"/>
              <w:right w:val="single" w:sz="4" w:space="0" w:color="auto"/>
            </w:tcBorders>
            <w:shd w:val="clear" w:color="auto" w:fill="auto"/>
            <w:vAlign w:val="center"/>
            <w:hideMark/>
          </w:tcPr>
          <w:p w:rsidR="007E4DD6" w:rsidRDefault="007E4DD6" w:rsidP="00367D6F">
            <w:pPr>
              <w:jc w:val="left"/>
              <w:rPr>
                <w:color w:val="000000"/>
                <w:sz w:val="20"/>
              </w:rPr>
            </w:pPr>
            <w:r w:rsidRPr="007E4DD6">
              <w:rPr>
                <w:color w:val="000000"/>
                <w:sz w:val="20"/>
              </w:rPr>
              <w:t>- Que thử xét nghiệm định tính phát hiện chất gây nghiện Morphine (MOP) trong mẫu nước tiểu</w:t>
            </w:r>
            <w:r w:rsidRPr="007E4DD6">
              <w:rPr>
                <w:color w:val="000000"/>
                <w:sz w:val="20"/>
              </w:rPr>
              <w:br w:type="page"/>
              <w:t>- Ngưỡng cut-off: 300 ng/ml</w:t>
            </w:r>
            <w:r w:rsidRPr="007E4DD6">
              <w:rPr>
                <w:color w:val="000000"/>
                <w:sz w:val="20"/>
              </w:rPr>
              <w:br w:type="page"/>
              <w:t xml:space="preserve">- Độ chính xác: </w:t>
            </w:r>
            <w:r w:rsidRPr="007E4DD6">
              <w:rPr>
                <w:color w:val="000000"/>
                <w:sz w:val="20"/>
              </w:rPr>
              <w:br w:type="page"/>
              <w:t xml:space="preserve">  + Dương tính: MOP ≥ 300 ng/ml; Âm tính: MOP &lt; 300 ng/ml </w:t>
            </w:r>
            <w:r w:rsidRPr="007E4DD6">
              <w:rPr>
                <w:color w:val="000000"/>
                <w:sz w:val="20"/>
              </w:rPr>
              <w:br w:type="page"/>
              <w:t xml:space="preserve">  + Độ nhạy: 99,9%; Độ đặc hiệu: 99,9%</w:t>
            </w:r>
            <w:r w:rsidRPr="007E4DD6">
              <w:rPr>
                <w:color w:val="000000"/>
                <w:sz w:val="20"/>
              </w:rPr>
              <w:br w:type="page"/>
              <w:t>- Đạt chứng nhận: ISO 13485, FSC EU</w:t>
            </w:r>
            <w:r w:rsidRPr="007E4DD6">
              <w:rPr>
                <w:color w:val="000000"/>
                <w:sz w:val="20"/>
              </w:rPr>
              <w:br w:type="page"/>
              <w:t>- Chứng nhận chất lượng: COA, CE</w:t>
            </w:r>
            <w:r w:rsidR="00D75BC0">
              <w:rPr>
                <w:color w:val="000000"/>
                <w:sz w:val="20"/>
              </w:rPr>
              <w:t>.</w:t>
            </w:r>
          </w:p>
          <w:p w:rsidR="00D75BC0" w:rsidRPr="007E4DD6" w:rsidRDefault="00D75BC0" w:rsidP="00367D6F">
            <w:pPr>
              <w:jc w:val="left"/>
              <w:rPr>
                <w:color w:val="000000"/>
                <w:sz w:val="20"/>
              </w:rPr>
            </w:pPr>
            <w:r>
              <w:rPr>
                <w:color w:val="000000"/>
                <w:sz w:val="20"/>
              </w:rPr>
              <w:t>Hoặc tương đương</w:t>
            </w:r>
          </w:p>
        </w:tc>
      </w:tr>
      <w:tr w:rsidR="007E4DD6" w:rsidRPr="007E4DD6" w:rsidTr="00367D6F">
        <w:trPr>
          <w:trHeight w:val="27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Que thử tổng hợp 5 trong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1680</w:t>
            </w:r>
          </w:p>
        </w:tc>
        <w:tc>
          <w:tcPr>
            <w:tcW w:w="4589" w:type="dxa"/>
            <w:tcBorders>
              <w:top w:val="nil"/>
              <w:left w:val="nil"/>
              <w:bottom w:val="single" w:sz="4" w:space="0" w:color="auto"/>
              <w:right w:val="single" w:sz="4" w:space="0" w:color="auto"/>
            </w:tcBorders>
            <w:shd w:val="clear" w:color="auto" w:fill="auto"/>
            <w:vAlign w:val="center"/>
            <w:hideMark/>
          </w:tcPr>
          <w:p w:rsidR="007E4DD6" w:rsidRDefault="007E4DD6" w:rsidP="00367D6F">
            <w:pPr>
              <w:jc w:val="left"/>
              <w:rPr>
                <w:color w:val="000000"/>
                <w:sz w:val="20"/>
              </w:rPr>
            </w:pPr>
            <w:r w:rsidRPr="007E4DD6">
              <w:rPr>
                <w:color w:val="000000"/>
                <w:sz w:val="20"/>
              </w:rPr>
              <w:t>Que thử xét nghiệm định tính phát hiện chất gây nghiện 5 thông số trong mẫu nước tiểu (MOP/AMP/THC/COD/HER (6-MAM))</w:t>
            </w:r>
            <w:r w:rsidRPr="007E4DD6">
              <w:rPr>
                <w:color w:val="000000"/>
                <w:sz w:val="20"/>
              </w:rPr>
              <w:br/>
              <w:t>- MOP: Ngưỡng cut-off: 300 ng/ml</w:t>
            </w:r>
            <w:r w:rsidRPr="007E4DD6">
              <w:rPr>
                <w:color w:val="000000"/>
                <w:sz w:val="20"/>
              </w:rPr>
              <w:br/>
              <w:t>- AMP: Ngưỡng cut-off: 500 ng/ml</w:t>
            </w:r>
            <w:r w:rsidRPr="007E4DD6">
              <w:rPr>
                <w:color w:val="000000"/>
                <w:sz w:val="20"/>
              </w:rPr>
              <w:br/>
              <w:t>- THC: Ngưỡng cut-off: 50 ng/ml</w:t>
            </w:r>
            <w:r w:rsidRPr="007E4DD6">
              <w:rPr>
                <w:color w:val="000000"/>
                <w:sz w:val="20"/>
              </w:rPr>
              <w:br/>
              <w:t>- COD: Ngưỡng cut-off: 300 ng/ml</w:t>
            </w:r>
            <w:r w:rsidRPr="007E4DD6">
              <w:rPr>
                <w:color w:val="000000"/>
                <w:sz w:val="20"/>
              </w:rPr>
              <w:br/>
              <w:t>- HER (6-MAM): Ngưỡng cut-off: 10 ng/ml</w:t>
            </w:r>
            <w:r w:rsidRPr="007E4DD6">
              <w:rPr>
                <w:color w:val="000000"/>
                <w:sz w:val="20"/>
              </w:rPr>
              <w:br/>
              <w:t>- Độ nhạy: 99,9%; Độ đặc hiệu: 99,9%</w:t>
            </w:r>
            <w:r w:rsidRPr="007E4DD6">
              <w:rPr>
                <w:color w:val="000000"/>
                <w:sz w:val="20"/>
              </w:rPr>
              <w:br/>
              <w:t>- Đạt chứng nhận: ISO 13485, FSC EU</w:t>
            </w:r>
            <w:r w:rsidRPr="007E4DD6">
              <w:rPr>
                <w:color w:val="000000"/>
                <w:sz w:val="20"/>
              </w:rPr>
              <w:br/>
              <w:t>- Chứng nhận chất lượng: COA, CE</w:t>
            </w:r>
            <w:r w:rsidR="00D75BC0">
              <w:rPr>
                <w:color w:val="000000"/>
                <w:sz w:val="20"/>
              </w:rPr>
              <w:t>.</w:t>
            </w:r>
          </w:p>
          <w:p w:rsidR="00D75BC0" w:rsidRPr="007E4DD6" w:rsidRDefault="00D75BC0" w:rsidP="00367D6F">
            <w:pPr>
              <w:jc w:val="left"/>
              <w:rPr>
                <w:color w:val="000000"/>
                <w:sz w:val="20"/>
              </w:rPr>
            </w:pPr>
            <w:r>
              <w:rPr>
                <w:color w:val="000000"/>
                <w:sz w:val="20"/>
              </w:rPr>
              <w:t>Hoặc tương đương</w:t>
            </w:r>
          </w:p>
        </w:tc>
      </w:tr>
      <w:tr w:rsidR="007E4DD6" w:rsidRPr="007E4DD6" w:rsidTr="00367D6F">
        <w:trPr>
          <w:trHeight w:val="22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Test AMP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140</w:t>
            </w:r>
          </w:p>
        </w:tc>
        <w:tc>
          <w:tcPr>
            <w:tcW w:w="4589" w:type="dxa"/>
            <w:tcBorders>
              <w:top w:val="nil"/>
              <w:left w:val="nil"/>
              <w:bottom w:val="single" w:sz="4" w:space="0" w:color="auto"/>
              <w:right w:val="single" w:sz="4" w:space="0" w:color="auto"/>
            </w:tcBorders>
            <w:shd w:val="clear" w:color="auto" w:fill="auto"/>
            <w:vAlign w:val="center"/>
            <w:hideMark/>
          </w:tcPr>
          <w:p w:rsidR="007E4DD6" w:rsidRDefault="007E4DD6" w:rsidP="00367D6F">
            <w:pPr>
              <w:jc w:val="left"/>
              <w:rPr>
                <w:color w:val="000000"/>
                <w:sz w:val="20"/>
              </w:rPr>
            </w:pPr>
            <w:r w:rsidRPr="007E4DD6">
              <w:rPr>
                <w:color w:val="000000"/>
                <w:sz w:val="20"/>
              </w:rPr>
              <w:t>- Panel thử xét nghiệm định tính phát hiện chất gây nghiện Amphetamine (AMP) trong nước tiểu</w:t>
            </w:r>
            <w:r w:rsidRPr="007E4DD6">
              <w:rPr>
                <w:color w:val="000000"/>
                <w:sz w:val="20"/>
              </w:rPr>
              <w:br/>
              <w:t>- Ngưỡng cut-off: 1.000 ng/ml</w:t>
            </w:r>
            <w:r w:rsidRPr="007E4DD6">
              <w:rPr>
                <w:color w:val="000000"/>
                <w:sz w:val="20"/>
              </w:rPr>
              <w:br/>
              <w:t xml:space="preserve">- Độ chính xác: </w:t>
            </w:r>
            <w:r w:rsidRPr="007E4DD6">
              <w:rPr>
                <w:color w:val="000000"/>
                <w:sz w:val="20"/>
              </w:rPr>
              <w:br/>
              <w:t xml:space="preserve">  + Dương tính: AMP ≥ 1.000 ng/ml; Âm tính: AMP &lt; 1.000 ng/ml </w:t>
            </w:r>
            <w:r w:rsidRPr="007E4DD6">
              <w:rPr>
                <w:color w:val="000000"/>
                <w:sz w:val="20"/>
              </w:rPr>
              <w:br/>
              <w:t xml:space="preserve">  + Độ nhạy: 99,9%; Độ đặc hiệu: 99,9%</w:t>
            </w:r>
            <w:r w:rsidRPr="007E4DD6">
              <w:rPr>
                <w:color w:val="000000"/>
                <w:sz w:val="20"/>
              </w:rPr>
              <w:br/>
              <w:t>- Đạt chứng nhận: ISO 13485, FSC EU</w:t>
            </w:r>
            <w:r w:rsidRPr="007E4DD6">
              <w:rPr>
                <w:color w:val="000000"/>
                <w:sz w:val="20"/>
              </w:rPr>
              <w:br/>
              <w:t>- Chứng nhận chất lượng: COA, CE</w:t>
            </w:r>
            <w:r w:rsidR="00D75BC0">
              <w:rPr>
                <w:color w:val="000000"/>
                <w:sz w:val="20"/>
              </w:rPr>
              <w:t>.</w:t>
            </w:r>
          </w:p>
          <w:p w:rsidR="00D75BC0" w:rsidRPr="007E4DD6" w:rsidRDefault="00D75BC0" w:rsidP="00367D6F">
            <w:pPr>
              <w:jc w:val="left"/>
              <w:rPr>
                <w:color w:val="000000"/>
                <w:sz w:val="20"/>
              </w:rPr>
            </w:pPr>
            <w:r>
              <w:rPr>
                <w:color w:val="000000"/>
                <w:sz w:val="20"/>
              </w:rPr>
              <w:t>Hoặc tương đương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KHÍ MÁU COMBI ESCHWEILER HOẶC TƯƠNG ĐƯƠNG</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Hệ thống lấy mẫu máu 1ml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Cái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Ống tiêm dùng một lần có nắp.</w:t>
            </w:r>
            <w:r w:rsidRPr="007E4DD6">
              <w:rPr>
                <w:color w:val="000000"/>
                <w:sz w:val="20"/>
              </w:rPr>
              <w:br/>
              <w:t>- Dung tích 2 ml: in trên bao bì sản phẩm.</w:t>
            </w:r>
            <w:r w:rsidRPr="007E4DD6">
              <w:rPr>
                <w:color w:val="000000"/>
                <w:sz w:val="20"/>
              </w:rPr>
              <w:br/>
              <w:t>- Chất liệu: nhựa.</w:t>
            </w:r>
            <w:r w:rsidRPr="007E4DD6">
              <w:rPr>
                <w:color w:val="000000"/>
                <w:sz w:val="20"/>
              </w:rPr>
              <w:br/>
              <w:t>- Loại ống tiêm: ống tiêm trượt luer.</w:t>
            </w:r>
            <w:r w:rsidRPr="007E4DD6">
              <w:rPr>
                <w:color w:val="000000"/>
                <w:sz w:val="20"/>
              </w:rPr>
              <w:br/>
              <w:t>- Ống tiêm chống đông máu.</w:t>
            </w:r>
            <w:r w:rsidRPr="007E4DD6">
              <w:rPr>
                <w:color w:val="000000"/>
                <w:sz w:val="20"/>
              </w:rPr>
              <w:br/>
              <w:t>- Sử dụng lấy mẫu máu dùng để phân tích khí máu/pH, đo oxy, chất chuyển hóa và điện giải.</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151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Hệ thống lấy mẫu máu 2ml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Cái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Ống tiêm dùng một lần có nắp.</w:t>
            </w:r>
            <w:r w:rsidRPr="007E4DD6">
              <w:rPr>
                <w:color w:val="000000"/>
                <w:sz w:val="20"/>
              </w:rPr>
              <w:br/>
              <w:t>- Dung tích 2 ml: in trên bao bì sản phẩm.</w:t>
            </w:r>
            <w:r w:rsidRPr="007E4DD6">
              <w:rPr>
                <w:color w:val="000000"/>
                <w:sz w:val="20"/>
              </w:rPr>
              <w:br/>
              <w:t>- Chất liệu: nhựa.</w:t>
            </w:r>
            <w:r w:rsidRPr="007E4DD6">
              <w:rPr>
                <w:color w:val="000000"/>
                <w:sz w:val="20"/>
              </w:rPr>
              <w:br/>
              <w:t>- Loại ống tiêm: ống tiêm trượt luer.</w:t>
            </w:r>
            <w:r w:rsidRPr="007E4DD6">
              <w:rPr>
                <w:color w:val="000000"/>
                <w:sz w:val="20"/>
              </w:rPr>
              <w:br/>
              <w:t>- Ống tiêm chống đông máu.</w:t>
            </w:r>
            <w:r w:rsidRPr="007E4DD6">
              <w:rPr>
                <w:color w:val="000000"/>
                <w:sz w:val="20"/>
              </w:rPr>
              <w:br/>
              <w:t>- Sử dụng lấy mẫu máu dùng để phân tích khí máu/pH, đo oxy, chất chuyển hóa và điện giải.</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calibration cho máy khí máu -tHB (pH; PCO2; PO2; tHb.)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Các thông số đo và tính toán được như sau: pH; PCO2 ; PO2 ;  tHb ; BP; HCO3a ; HCO3s; BE ; SBE ; TCO2; BB; O2Sat ; O2CT ; P50; H+; AaDO2  ,Hct , H+ ;</w:t>
            </w:r>
            <w:r w:rsidRPr="007E4DD6">
              <w:rPr>
                <w:color w:val="000000"/>
                <w:sz w:val="20"/>
              </w:rPr>
              <w:br/>
              <w:t xml:space="preserve">Phù hợp với máy xét nghiệm khí máu động mạch ComBi-Line 04 Thông số </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rửa đường ống cho máy khí máu -tHb (pH; PCO2 ; PO2 ; tHb)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640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Các thông số đo và tính toán được như sau: pH; PCO2 ; PO2 ;  tHb ; BP; HCO3a ; HCO3s; BE ; SBE ; TCO2; BB; O2Sat ; O2CT ; P50; H+; AaDO2  ,Hct , H+ ;</w:t>
            </w:r>
            <w:r w:rsidRPr="007E4DD6">
              <w:rPr>
                <w:color w:val="000000"/>
                <w:sz w:val="20"/>
              </w:rPr>
              <w:br/>
              <w:t xml:space="preserve">Phù hợp với máy xét nghiệm khí máu động mạch ComBi-Line 04 Thông số </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KHÍ MÁU, ĐIỆN GIẢI, LACTAT, GLUCOSE  COMBI ESCHWEILER HOẶC TƯƠNG ĐƯƠNG</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calibration cho máy khí máu -tHb + Điện giải (Na, K, Cl, iCa) + Lactate + Glucose.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Các thông số đo và tính toán được như sau: pH; PCO2 ; PO2 ;  tHb ; BP; HCO3a ; HCO3s; BE ; SBE ; TCO2; BB; O2Sat ; O2CT ; P50; H+; AaDO2  ,Hct , H+ ; Anion Gap ; SHUNT ; Na+ ; K+ ;Ca+ + ; Cl- , Glucose ; Lactate.</w:t>
            </w:r>
            <w:r w:rsidRPr="007E4DD6">
              <w:rPr>
                <w:color w:val="000000"/>
                <w:sz w:val="20"/>
              </w:rPr>
              <w:br/>
              <w:t xml:space="preserve">Phù hợp với máy xét nghiệm khí máu động mạch ComBi-Line 10 Thông số </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rửa đường ống cho máy khí máu -tHb + Điện giải (Na , K , Cl , iCa) + Lactate + Glucose.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Test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Các thông số đo và tính toán được như sau: pH; PCO2 ; PO2 ;  tHb ; BP; HCO3a ; HCO3s; BE ; SBE ; TCO2; BB; O2Sat ; O2CT ; P50; H+; AaDO2  ,Hct , H+ ; Anion Gap ; SHUNT ; Na+ ; K+ ;Ca+ + ; Cl- , Glucose ; Lactate.</w:t>
            </w:r>
            <w:r w:rsidRPr="007E4DD6">
              <w:rPr>
                <w:color w:val="000000"/>
                <w:sz w:val="20"/>
              </w:rPr>
              <w:br w:type="page"/>
              <w:t xml:space="preserve">Phù hợp với máy xét nghiệm khí máu động mạch ComBi-Line 10 Thông số </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HUYẾT HỌC TỰ ĐỘNG BC 6800 PLUS HOẶC TƯƠNG ĐƯƠNG</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pha loãng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Thùng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dùng để đo các thông số liên quan đến hồng cầu, PLT, bạch cầu, RET và NRBC.</w:t>
            </w:r>
            <w:r w:rsidRPr="007E4DD6">
              <w:rPr>
                <w:color w:val="000000"/>
                <w:sz w:val="20"/>
              </w:rPr>
              <w:br/>
              <w:t xml:space="preserve">Thành phần: </w:t>
            </w:r>
            <w:r w:rsidRPr="007E4DD6">
              <w:rPr>
                <w:color w:val="000000"/>
                <w:sz w:val="20"/>
              </w:rPr>
              <w:br/>
              <w:t>Borate Buffert: ≤0.5%</w:t>
            </w:r>
            <w:r w:rsidRPr="007E4DD6">
              <w:rPr>
                <w:color w:val="000000"/>
                <w:sz w:val="20"/>
              </w:rPr>
              <w:br/>
              <w:t>Sodium Chloride: ≤0.1%</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ly giải</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tham gia vào quá trình bách phân bạch cầu trong kênh DIFF cùng với dung dịch nhuộm bạch cầu</w:t>
            </w:r>
            <w:r w:rsidRPr="007E4DD6">
              <w:rPr>
                <w:color w:val="000000"/>
                <w:sz w:val="20"/>
              </w:rPr>
              <w:br/>
              <w:t xml:space="preserve">Thành phần: </w:t>
            </w:r>
            <w:r w:rsidRPr="007E4DD6">
              <w:rPr>
                <w:color w:val="000000"/>
                <w:sz w:val="20"/>
              </w:rPr>
              <w:br/>
              <w:t>Surfactant: ≤0.5%</w:t>
            </w:r>
            <w:r w:rsidRPr="007E4DD6">
              <w:rPr>
                <w:color w:val="000000"/>
                <w:sz w:val="20"/>
              </w:rPr>
              <w:br/>
              <w:t>Hepes Buffer: ≤0.5%</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nhuộm huỳnh quang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sz w:val="20"/>
              </w:rPr>
            </w:pPr>
            <w:r w:rsidRPr="007E4DD6">
              <w:rPr>
                <w:sz w:val="20"/>
              </w:rPr>
              <w:t>Dung dịch tham gia vào quá trình bách phân bạch cầu trong kênh DIFF cùng với dung dịch ly giải.</w:t>
            </w:r>
            <w:r w:rsidRPr="007E4DD6">
              <w:rPr>
                <w:sz w:val="20"/>
              </w:rPr>
              <w:br/>
              <w:t xml:space="preserve">Thành phần: </w:t>
            </w:r>
            <w:r w:rsidRPr="007E4DD6">
              <w:rPr>
                <w:sz w:val="20"/>
              </w:rPr>
              <w:br/>
              <w:t>Fluorochrome: ≤0.01%</w:t>
            </w:r>
            <w:r w:rsidRPr="007E4DD6">
              <w:rPr>
                <w:sz w:val="20"/>
              </w:rPr>
              <w:br/>
              <w:t>Ethylene Glycol: 94-99 %</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ly giải hồng cầu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sz w:val="20"/>
              </w:rPr>
            </w:pPr>
            <w:r w:rsidRPr="007E4DD6">
              <w:rPr>
                <w:sz w:val="20"/>
              </w:rPr>
              <w:t>Dung dịch dùng để đo các thông số liên quan đến huyết sắc tố.</w:t>
            </w:r>
            <w:r w:rsidRPr="007E4DD6">
              <w:rPr>
                <w:sz w:val="20"/>
              </w:rPr>
              <w:br/>
              <w:t xml:space="preserve">Thành phần: </w:t>
            </w:r>
            <w:r w:rsidRPr="007E4DD6">
              <w:rPr>
                <w:sz w:val="20"/>
              </w:rPr>
              <w:br/>
              <w:t>Surfactant: ≤0.5%</w:t>
            </w:r>
            <w:r w:rsidRPr="007E4DD6">
              <w:rPr>
                <w:sz w:val="20"/>
              </w:rPr>
              <w:br/>
              <w:t>Borate Buffer: ≤0.5%</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160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ly giải hồng cầu non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sz w:val="20"/>
              </w:rPr>
            </w:pPr>
            <w:r w:rsidRPr="007E4DD6">
              <w:rPr>
                <w:sz w:val="20"/>
              </w:rPr>
              <w:t>Dung dịch dùng để đo các thông số liên quan đến Baso hoặc NRBC cùng với dung dịch nhuộm huỳnh quang xét nghiệm hồng cầu non.</w:t>
            </w:r>
            <w:r w:rsidRPr="007E4DD6">
              <w:rPr>
                <w:sz w:val="20"/>
              </w:rPr>
              <w:br/>
              <w:t xml:space="preserve">Thành phần: </w:t>
            </w:r>
            <w:r w:rsidRPr="007E4DD6">
              <w:rPr>
                <w:sz w:val="20"/>
              </w:rPr>
              <w:br/>
              <w:t>Citrate Buffer: ≤0.5%</w:t>
            </w:r>
            <w:r w:rsidRPr="007E4DD6">
              <w:rPr>
                <w:sz w:val="20"/>
              </w:rPr>
              <w:br/>
              <w:t>Sodium Chloride: 0.10%</w:t>
            </w:r>
            <w:r w:rsidRPr="007E4DD6">
              <w:rPr>
                <w:sz w:val="20"/>
              </w:rPr>
              <w:br/>
              <w:t>Surfactant: 0.10%</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nhuộm huỳnh quang xét nghiệm hồng cầu non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sz w:val="20"/>
              </w:rPr>
            </w:pPr>
            <w:r w:rsidRPr="007E4DD6">
              <w:rPr>
                <w:sz w:val="20"/>
              </w:rPr>
              <w:t>Dung dịch dùng để đo các thông số liên quan đến Baso hoặc NRBC với dung dịch ly giải hồng cầu non.</w:t>
            </w:r>
            <w:r w:rsidRPr="007E4DD6">
              <w:rPr>
                <w:sz w:val="20"/>
              </w:rPr>
              <w:br/>
              <w:t xml:space="preserve">Thành phần: </w:t>
            </w:r>
            <w:r w:rsidRPr="007E4DD6">
              <w:rPr>
                <w:sz w:val="20"/>
              </w:rPr>
              <w:br/>
              <w:t>Fluorochrome: ≤0.01%</w:t>
            </w:r>
            <w:r w:rsidRPr="007E4DD6">
              <w:rPr>
                <w:sz w:val="20"/>
              </w:rPr>
              <w:br/>
              <w:t>Ethylene Glycol: 94-99 %</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thường quy dùng để súc rửa và làm sạch các ống mao dẫn, đường ống và buồng đếm của máy huyết học, loại bỏ các thành phần máu bị kết tủa và lắng cặn trên máy phân tích huyết học.</w:t>
            </w:r>
            <w:r w:rsidRPr="007E4DD6">
              <w:rPr>
                <w:color w:val="000000"/>
                <w:sz w:val="20"/>
              </w:rPr>
              <w:br/>
              <w:t xml:space="preserve">Thành phần: Surfactant: &lt;2 g/L </w:t>
            </w:r>
            <w:r w:rsidRPr="007E4DD6">
              <w:rPr>
                <w:color w:val="000000"/>
                <w:sz w:val="20"/>
              </w:rPr>
              <w:br/>
              <w:t>Sodium hypochlorous: &lt;100 g/L</w:t>
            </w:r>
            <w:r w:rsidRPr="007E4DD6">
              <w:rPr>
                <w:color w:val="000000"/>
                <w:sz w:val="20"/>
              </w:rPr>
              <w:br/>
              <w:t xml:space="preserve">Sodium hydroxide:  &lt;50 g/L </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hiệu chuẩn xét nghiệm huyết học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hiệu chuẩn huyết học dùng hiệu chuần các thông số máy huyết học.</w:t>
            </w:r>
            <w:r w:rsidRPr="007E4DD6">
              <w:rPr>
                <w:color w:val="000000"/>
                <w:sz w:val="20"/>
              </w:rPr>
              <w:br/>
              <w:t>Thành phần: là thuốc thử chẩn đoán trong ống nghiệm bao gồm chất bảo quản, hồng cầu người, bạch cầu động vật có vú và tiểu cầu của động vật có vú lơ lửng trong chất lỏng như huyết tương.</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kiểm chuẩn máy</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kiểm chuẩn máu toàn phần, dùng để kiểm chuẩn các giá trị trên máy đếm tế bào huyết học đa tham số.</w:t>
            </w:r>
            <w:r w:rsidRPr="007E4DD6">
              <w:rPr>
                <w:color w:val="000000"/>
                <w:sz w:val="20"/>
              </w:rPr>
              <w:br/>
              <w:t>Thành phần: là thuốc thử in vitro bao gồm chất bảo quản, hồng cầu của người, bạch cầu của động vật có vú và và tiểu cầu của động vật có vú lơ lửng trong chất lỏng như huyết tương.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NƯỚC TIỂU TỰ ĐỘNG URIT 1600 HOẶC TƯƠNG ĐƯƠNG</w:t>
            </w:r>
          </w:p>
        </w:tc>
      </w:tr>
      <w:tr w:rsidR="007E4DD6" w:rsidRPr="007E4DD6" w:rsidTr="00367D6F">
        <w:trPr>
          <w:trHeight w:val="51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Que thử nước tiểu 12 thông số</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Thông số: Đo được 12 thông số nước tiểu bao gồm: Nitrite, Leukocytes, Ketone, Creatinine, Urobilinogen, Bilirubin, Protein, Glucose, Specific Gravity, Blood, pH, Microalbumin</w:t>
            </w:r>
            <w:r w:rsidRPr="007E4DD6">
              <w:rPr>
                <w:color w:val="000000"/>
                <w:sz w:val="20"/>
              </w:rPr>
              <w:br w:type="page"/>
              <w:t>Thành phần thuốc thử:</w:t>
            </w:r>
            <w:r w:rsidRPr="007E4DD6">
              <w:rPr>
                <w:color w:val="000000"/>
                <w:sz w:val="20"/>
              </w:rPr>
              <w:br w:type="page"/>
              <w:t>Nitrite</w:t>
            </w:r>
            <w:r w:rsidRPr="007E4DD6">
              <w:rPr>
                <w:rFonts w:eastAsia="MS Gothic"/>
                <w:color w:val="000000"/>
                <w:sz w:val="20"/>
              </w:rPr>
              <w:t>：</w:t>
            </w:r>
            <w:r w:rsidRPr="007E4DD6">
              <w:rPr>
                <w:color w:val="000000"/>
                <w:sz w:val="20"/>
              </w:rPr>
              <w:t>arsanilic acid 0.65mg;N-(naphthyl)-ethylenediammonium dihydrochloride 0.45mg.</w:t>
            </w:r>
            <w:r w:rsidRPr="007E4DD6">
              <w:rPr>
                <w:color w:val="000000"/>
                <w:sz w:val="20"/>
              </w:rPr>
              <w:t> </w:t>
            </w:r>
            <w:r w:rsidRPr="007E4DD6">
              <w:rPr>
                <w:color w:val="000000"/>
                <w:sz w:val="20"/>
              </w:rPr>
              <w:br w:type="page"/>
              <w:t>Leukocytes</w:t>
            </w:r>
            <w:r w:rsidRPr="007E4DD6">
              <w:rPr>
                <w:rFonts w:eastAsia="MS Gothic"/>
                <w:color w:val="000000"/>
                <w:sz w:val="20"/>
              </w:rPr>
              <w:t>：</w:t>
            </w:r>
            <w:r w:rsidRPr="007E4DD6">
              <w:rPr>
                <w:color w:val="000000"/>
                <w:sz w:val="20"/>
              </w:rPr>
              <w:t>indoxyl ester 1.4mg;diazonium salt 0.7mg.</w:t>
            </w:r>
            <w:r w:rsidRPr="007E4DD6">
              <w:rPr>
                <w:color w:val="000000"/>
                <w:sz w:val="20"/>
              </w:rPr>
              <w:br w:type="page"/>
              <w:t>Ketone</w:t>
            </w:r>
            <w:r w:rsidRPr="007E4DD6">
              <w:rPr>
                <w:rFonts w:eastAsia="MS Gothic"/>
                <w:color w:val="000000"/>
                <w:sz w:val="20"/>
              </w:rPr>
              <w:t>：</w:t>
            </w:r>
            <w:r w:rsidRPr="007E4DD6">
              <w:rPr>
                <w:color w:val="000000"/>
                <w:sz w:val="20"/>
              </w:rPr>
              <w:t>sodium nitroprusside 30.0mg.</w:t>
            </w:r>
            <w:r w:rsidRPr="007E4DD6">
              <w:rPr>
                <w:color w:val="000000"/>
                <w:sz w:val="20"/>
              </w:rPr>
              <w:br w:type="page"/>
              <w:t>Creatinine: metallic chloride 0.15mg;acid dyes 0.4mg.</w:t>
            </w:r>
            <w:r w:rsidRPr="007E4DD6">
              <w:rPr>
                <w:color w:val="000000"/>
                <w:sz w:val="20"/>
              </w:rPr>
              <w:br w:type="page"/>
              <w:t>Urobilinogen</w:t>
            </w:r>
            <w:r w:rsidRPr="007E4DD6">
              <w:rPr>
                <w:rFonts w:eastAsia="MS Gothic"/>
                <w:color w:val="000000"/>
                <w:sz w:val="20"/>
              </w:rPr>
              <w:t>：</w:t>
            </w:r>
            <w:r w:rsidRPr="007E4DD6">
              <w:rPr>
                <w:color w:val="000000"/>
                <w:sz w:val="20"/>
              </w:rPr>
              <w:t>fast blue B salt 1.2mg.</w:t>
            </w:r>
            <w:r w:rsidRPr="007E4DD6">
              <w:rPr>
                <w:color w:val="000000"/>
                <w:sz w:val="20"/>
              </w:rPr>
              <w:br w:type="page"/>
              <w:t>Bilirubin</w:t>
            </w:r>
            <w:r w:rsidRPr="007E4DD6">
              <w:rPr>
                <w:rFonts w:eastAsia="MS Gothic"/>
                <w:color w:val="000000"/>
                <w:sz w:val="20"/>
              </w:rPr>
              <w:t>：</w:t>
            </w:r>
            <w:r w:rsidRPr="007E4DD6">
              <w:rPr>
                <w:color w:val="000000"/>
                <w:sz w:val="20"/>
              </w:rPr>
              <w:t>2,4-dichlorobenzene diazonium 14.3mg.</w:t>
            </w:r>
            <w:r w:rsidRPr="007E4DD6">
              <w:rPr>
                <w:color w:val="000000"/>
                <w:sz w:val="20"/>
              </w:rPr>
              <w:br w:type="page"/>
              <w:t>Protein</w:t>
            </w:r>
            <w:r w:rsidRPr="007E4DD6">
              <w:rPr>
                <w:rFonts w:eastAsia="MS Gothic"/>
                <w:color w:val="000000"/>
                <w:sz w:val="20"/>
              </w:rPr>
              <w:t>：</w:t>
            </w:r>
            <w:r w:rsidRPr="007E4DD6">
              <w:rPr>
                <w:color w:val="000000"/>
                <w:sz w:val="20"/>
              </w:rPr>
              <w:t>tetrabromphenol blue 0.36mg.</w:t>
            </w:r>
            <w:r w:rsidRPr="007E4DD6">
              <w:rPr>
                <w:color w:val="000000"/>
                <w:sz w:val="20"/>
              </w:rPr>
              <w:br w:type="page"/>
              <w:t>Glucose</w:t>
            </w:r>
            <w:r w:rsidRPr="007E4DD6">
              <w:rPr>
                <w:rFonts w:eastAsia="MS Gothic"/>
                <w:color w:val="000000"/>
                <w:sz w:val="20"/>
              </w:rPr>
              <w:t>：</w:t>
            </w:r>
            <w:r w:rsidRPr="007E4DD6">
              <w:rPr>
                <w:color w:val="000000"/>
                <w:sz w:val="20"/>
              </w:rPr>
              <w:t>glucose oxidase800 I.U;peroxidase 200 I.U;4-aminoantipyrine 0.08mg.</w:t>
            </w:r>
            <w:r w:rsidRPr="007E4DD6">
              <w:rPr>
                <w:color w:val="000000"/>
                <w:sz w:val="20"/>
              </w:rPr>
              <w:br w:type="page"/>
              <w:t>Specific Gravity</w:t>
            </w:r>
            <w:r w:rsidRPr="007E4DD6">
              <w:rPr>
                <w:rFonts w:eastAsia="MS Gothic"/>
                <w:color w:val="000000"/>
                <w:sz w:val="20"/>
              </w:rPr>
              <w:t>：</w:t>
            </w:r>
            <w:r w:rsidRPr="007E4DD6">
              <w:rPr>
                <w:color w:val="000000"/>
                <w:sz w:val="20"/>
              </w:rPr>
              <w:t>bromthymol blue 0.4mg; poly(methyl vinyl ester-co-maleic acid)-sodium 16.0mg.</w:t>
            </w:r>
            <w:r w:rsidRPr="007E4DD6">
              <w:rPr>
                <w:color w:val="000000"/>
                <w:sz w:val="20"/>
              </w:rPr>
              <w:br w:type="page"/>
              <w:t>Blood</w:t>
            </w:r>
            <w:r w:rsidRPr="007E4DD6">
              <w:rPr>
                <w:rFonts w:eastAsia="MS Gothic"/>
                <w:color w:val="000000"/>
                <w:sz w:val="20"/>
              </w:rPr>
              <w:t>：</w:t>
            </w:r>
            <w:r w:rsidRPr="007E4DD6">
              <w:rPr>
                <w:color w:val="000000"/>
                <w:sz w:val="20"/>
              </w:rPr>
              <w:t>cumene hydroperoxide 35.2mg; 3,3',5,5'-tetramethylbenzidine 2.0mg.</w:t>
            </w:r>
            <w:r w:rsidRPr="007E4DD6">
              <w:rPr>
                <w:color w:val="000000"/>
                <w:sz w:val="20"/>
              </w:rPr>
              <w:br w:type="page"/>
              <w:t>pH</w:t>
            </w:r>
            <w:r w:rsidRPr="007E4DD6">
              <w:rPr>
                <w:rFonts w:eastAsia="MS Gothic"/>
                <w:color w:val="000000"/>
                <w:sz w:val="20"/>
              </w:rPr>
              <w:t>：</w:t>
            </w:r>
            <w:r w:rsidRPr="007E4DD6">
              <w:rPr>
                <w:color w:val="000000"/>
                <w:sz w:val="20"/>
              </w:rPr>
              <w:t>bromocresol green 0.2mg; bromxylenol blue 3.3mg.</w:t>
            </w:r>
            <w:r w:rsidRPr="007E4DD6">
              <w:rPr>
                <w:color w:val="000000"/>
                <w:sz w:val="20"/>
              </w:rPr>
              <w:br w:type="page"/>
              <w:t>Microalbumin</w:t>
            </w:r>
            <w:r w:rsidRPr="007E4DD6">
              <w:rPr>
                <w:rFonts w:eastAsia="MS Gothic"/>
                <w:color w:val="000000"/>
                <w:sz w:val="20"/>
              </w:rPr>
              <w:t>：</w:t>
            </w:r>
            <w:r w:rsidRPr="007E4DD6">
              <w:rPr>
                <w:color w:val="000000"/>
                <w:sz w:val="20"/>
              </w:rPr>
              <w:t>fluorescein dye 0.36mg.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vệ sinh bảo trì bảo dưỡng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Công dụng: dùng để tảy rửa, làm sạch máy phân tích nước tiểu tự động</w:t>
            </w:r>
            <w:r w:rsidRPr="007E4DD6">
              <w:rPr>
                <w:color w:val="000000"/>
                <w:sz w:val="20"/>
              </w:rPr>
              <w:br/>
              <w:t xml:space="preserve">thành phần: Surfactant 0.02% w/w, oxidant 0.25% w/w, stabilizer 0.05% w/w,buffer solution 0.15% w/w. </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Công dụng: dùng để làm sạch máy phân tích nước tiểu tự động</w:t>
            </w:r>
            <w:r w:rsidRPr="007E4DD6">
              <w:rPr>
                <w:color w:val="000000"/>
                <w:sz w:val="20"/>
              </w:rPr>
              <w:br/>
              <w:t xml:space="preserve">thành phần: Surfactant 0.015% w/w, buffer solution </w:t>
            </w:r>
            <w:r w:rsidRPr="007E4DD6">
              <w:rPr>
                <w:color w:val="000000"/>
                <w:sz w:val="20"/>
              </w:rPr>
              <w:lastRenderedPageBreak/>
              <w:t xml:space="preserve">0.15% w/w. </w:t>
            </w:r>
          </w:p>
        </w:tc>
      </w:tr>
      <w:tr w:rsidR="007E4DD6" w:rsidRPr="007E4DD6" w:rsidTr="00367D6F">
        <w:trPr>
          <w:trHeight w:val="433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168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hiệu chuẩn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Lọ. Ⅰ</w:t>
            </w:r>
            <w:r w:rsidRPr="007E4DD6">
              <w:rPr>
                <w:color w:val="000000"/>
                <w:sz w:val="20"/>
              </w:rPr>
              <w:br/>
              <w:t>Buffer: 0.05mol/L không chất bảo quản</w:t>
            </w:r>
            <w:r w:rsidRPr="007E4DD6">
              <w:rPr>
                <w:color w:val="000000"/>
                <w:sz w:val="20"/>
              </w:rPr>
              <w:br/>
              <w:t>Lọ. Ⅱ</w:t>
            </w:r>
            <w:r w:rsidRPr="007E4DD6">
              <w:rPr>
                <w:color w:val="000000"/>
                <w:sz w:val="20"/>
              </w:rPr>
              <w:br/>
              <w:t>Glucose : 5g/L</w:t>
            </w:r>
            <w:r w:rsidRPr="007E4DD6">
              <w:rPr>
                <w:color w:val="000000"/>
                <w:sz w:val="20"/>
              </w:rPr>
              <w:br/>
              <w:t>1-naphthylamine derivant: 30mg/L</w:t>
            </w:r>
            <w:r w:rsidRPr="007E4DD6">
              <w:rPr>
                <w:color w:val="000000"/>
                <w:sz w:val="20"/>
              </w:rPr>
              <w:br/>
              <w:t>Sodium Nitrite : 40mg/L</w:t>
            </w:r>
            <w:r w:rsidRPr="007E4DD6">
              <w:rPr>
                <w:color w:val="000000"/>
                <w:sz w:val="20"/>
              </w:rPr>
              <w:br/>
              <w:t>Albumin(bovine scrum) :4g/L</w:t>
            </w:r>
            <w:r w:rsidRPr="007E4DD6">
              <w:rPr>
                <w:color w:val="000000"/>
                <w:sz w:val="20"/>
              </w:rPr>
              <w:br/>
              <w:t>Creatinine: 1g/L</w:t>
            </w:r>
            <w:r w:rsidRPr="007E4DD6">
              <w:rPr>
                <w:color w:val="000000"/>
                <w:sz w:val="20"/>
              </w:rPr>
              <w:br/>
              <w:t>Ketone derivant: 800mg/L</w:t>
            </w:r>
            <w:r w:rsidRPr="007E4DD6">
              <w:rPr>
                <w:color w:val="000000"/>
                <w:sz w:val="20"/>
              </w:rPr>
              <w:br/>
              <w:t>Hemoglobin(bovine): 20mg/L</w:t>
            </w:r>
            <w:r w:rsidRPr="007E4DD6">
              <w:rPr>
                <w:color w:val="000000"/>
                <w:sz w:val="20"/>
              </w:rPr>
              <w:br/>
              <w:t>Esterase: 1kU/L</w:t>
            </w:r>
            <w:r w:rsidRPr="007E4DD6">
              <w:rPr>
                <w:color w:val="000000"/>
                <w:sz w:val="20"/>
              </w:rPr>
              <w:br/>
              <w:t>Ca: 5.5mmol/L</w:t>
            </w:r>
            <w:r w:rsidRPr="007E4DD6">
              <w:rPr>
                <w:color w:val="000000"/>
                <w:sz w:val="20"/>
              </w:rPr>
              <w:br/>
              <w:t>Buffer: 0.04mol/L không chất bảo quản</w:t>
            </w:r>
            <w:r w:rsidRPr="007E4DD6">
              <w:rPr>
                <w:color w:val="000000"/>
                <w:sz w:val="20"/>
              </w:rPr>
              <w:br/>
              <w:t>Without Preservative</w:t>
            </w:r>
            <w:r w:rsidRPr="007E4DD6">
              <w:rPr>
                <w:color w:val="000000"/>
                <w:sz w:val="20"/>
              </w:rPr>
              <w:br/>
              <w:t>Lọ . Ⅲ</w:t>
            </w:r>
            <w:r w:rsidRPr="007E4DD6">
              <w:rPr>
                <w:color w:val="000000"/>
                <w:sz w:val="20"/>
              </w:rPr>
              <w:br/>
              <w:t>Buffer: 0.05mol/L</w:t>
            </w:r>
            <w:r w:rsidRPr="007E4DD6">
              <w:rPr>
                <w:color w:val="000000"/>
                <w:sz w:val="20"/>
              </w:rPr>
              <w:br/>
              <w:t xml:space="preserve">Ascorbic acid: 0.5g/L     </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SỬ DỤNG TRÊN MÁY MIỄN DỊCH TỰ ĐỘNG ARCHITECT i1000sr HOẶC TƯƠNG ĐƯƠNG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169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AFP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alpha-fetoprotein (AFP).</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AFP 3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alpha-fetoprotein (AFP).</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Anti-HBe</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tính kháng thể kháng kháng nguyên e của virus viêm gan B (anti-Hbe)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Anti-HBe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tính kháng thể kháng kháng nguyên e của virus viêm gan B (anti-Hbe)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Anti-HBe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tính kháng thể kháng kháng nguyên e của virus viêm gan B (anti-Hbe)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kháng thể kháng kháng nguyên bề mặt viêm gan B (anti-HBs)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Anti-HBs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kháng thể kháng kháng nguyên bề mặt viêm gan B (anti-HBs)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Anti-HBs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lượng kháng thể kháng kháng nguyên bề mặt viêm gan B (anti-HBs)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Anti-HCV</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phát hiện định tính kháng thể kháng virus viêm gan C (anti-HCV)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Anti-HCV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phát hiện định tính kháng thể kháng virus viêm gan C (anti-HCV)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179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Anti-HCV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phát hiện định tính kháng thể kháng virus viêm gan C (anti-HCV)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125</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Xét nghiệm miễn dịch vi hạt hoá phát quang để định lượng kháng nguyên được xác định bởi OC 125 trong </w:t>
            </w:r>
            <w:r w:rsidRPr="007E4DD6">
              <w:rPr>
                <w:color w:val="000000"/>
                <w:sz w:val="20"/>
              </w:rPr>
              <w:lastRenderedPageBreak/>
              <w:t>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181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125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kháng nguyên được xác định bởi OC 125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15-3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kháng nguyên được xác định bởi DF3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15-3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kháng nguyên được xác định bởi DF3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19-9</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chất xác định phản ứng 1116-NS-19-9 trong huyết thanh hay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CA 19-9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chất xác định phản ứng 1116-NS-19-9 trong huyết thanh hay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CEA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kháng nguyên ung thư phôi carcinoembryonic (CEA)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20.19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CEA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kháng nguyên ung thư phôi carcinoembryonic (CEA)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Concentrated Wash Buffer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có chứa muối đệm phosphate dùng cho hệ thống máy xét nghiệm miễn dịch.</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189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Cortisol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cortisol trong huyết thanh, huyết tương hay nước tiểu.</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Cortisol Reagent kit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cortisol trong huyết thanh, huyết tương hay nước tiểu.</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Cyfra 21-1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các mảnh cytokeratin 19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Cyfra 21-1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các mảnh cytokeratin 19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Cyfra 21-1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lượng các mảnh cytokeratin 19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FT3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triiodothyronine tự do (Free T3)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FT3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triiodothyronine tự do (Free T3)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FT4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thyroxine tự do (Free T4)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FT4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thyroxine tự do (Free T4)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HBeAg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tính kháng nguyên e viêm gan B (HBeAg)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199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HBeAg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tính kháng nguyên e viêm gan B (HBeAg)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HBeAg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Xét nghiệm miễn dịch vi hạt hoá phát quang để định tính và định lượng kháng nguyên e viêm gan B </w:t>
            </w:r>
            <w:r w:rsidRPr="007E4DD6">
              <w:rPr>
                <w:color w:val="000000"/>
                <w:sz w:val="20"/>
              </w:rPr>
              <w:lastRenderedPageBreak/>
              <w:t>(HBeAg)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201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lượng)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kháng nguyên bề mặt viêm gan B (HBsAg)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lượng) Calibrator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vi hạt hoá phát quang định lượng kháng nguyên bề mặt virus viêm gan B (HBsAg)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lượng)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lượng kháng nguyên bề mặt viêm gan B (HBsAg)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tính)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định tính kháng nguyên bề mặt viêm gan B (HBsAg) trong mẫu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tính) Calib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định tính kháng nguyên bề mặt viêm gan B (HBsAg) trong mẫu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HBsAg (Định tính)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định tính kháng nguyên bề mặt viêm gan B (HBsAg) trong mẫu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20.39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Troponin-I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troponin tim (cTnI) trong huyết tương và huyết thanh.</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Troponin-I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troponin tim (cTnI) trong huyết tương và huyết thanh.</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Pre-Trigger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hydrogen peroxide được sử dụng để tách thuốc nhuộm acridinium ra khỏi liên hợp liên kết với phức hợp vi hạt.</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Reaction Vessels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Cóng phản ứng.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Septum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Màng có các khe được sử dụng để ngăn chặn sự bay hơi và nhiễm bẩn của thuốc thử, đồng thời đảm bảo tính nguyên vẹn của thuốc thử.</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PSA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PSA toàn phần (cả PSA tự do và PSA phức hợp với alpha-1-antichymotrypsin) trong huyết thanh người.</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PSA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PSA toàn phần (cả PSA tự do và PSA phức hợp với alpha-1-antichymotrypsin) trong huyết thanh người.</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β-hCG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và định tính beta human chorionic gonadotropin (β</w:t>
            </w:r>
            <w:r w:rsidRPr="007E4DD6">
              <w:rPr>
                <w:color w:val="000000"/>
                <w:sz w:val="20"/>
              </w:rPr>
              <w:noBreakHyphen/>
              <w:t>hCG)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β-hCG Controls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hiệu chứng xét nghiệm miễn dịch vi hạt hoá phát quang để định lượng và định tính beta human chorionic gonadotropin (β</w:t>
            </w:r>
            <w:r w:rsidRPr="007E4DD6">
              <w:rPr>
                <w:color w:val="000000"/>
                <w:sz w:val="20"/>
              </w:rPr>
              <w:noBreakHyphen/>
              <w:t>hCG)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Total β-hCG Reagent kit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và định tính beta human chorionic gonadotropin (β</w:t>
            </w:r>
            <w:r w:rsidRPr="007E4DD6">
              <w:rPr>
                <w:color w:val="000000"/>
                <w:sz w:val="20"/>
              </w:rPr>
              <w:noBreakHyphen/>
              <w:t>hCG)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20.49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TSH Calibrators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chuẩn xét nghiệm miễn dịch vi hạt hoá phát quang để định lượng hormon kích thích tuyến giáp ở người (thyroid stimulating hormone - TSH) trong huyết thanh và huyết tương.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20.50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TSH Reagent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miễn dịch vi hạt hoá phát quang để định lượng hormon kích thích tuyến giáp ở người (thyroid stimulating hormone - TSH) trong huyết thanh và huyết tương.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219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20.51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Trigger Solution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natri hydroxit được sử dụng để tạo ra phản ứng phát quang hóa học cung cấp kết quả đọc cuối cùng.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XÉT NGHIỆM HBA1C HA-8380V HOẶC TƯƠNG ĐƯƠNG</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Cột sắc ký</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Dùng để xác định lượng HbA1c trong mẫu máu toàn phần của người nhằm theo dõi và chuẩn đoán bệnh đái tháo đường.</w:t>
            </w:r>
            <w:r w:rsidRPr="007E4DD6">
              <w:rPr>
                <w:color w:val="000000"/>
                <w:sz w:val="20"/>
              </w:rPr>
              <w:br/>
              <w:t xml:space="preserve"> - Thành phần: Hydrophilic polymer of methacrylate esters copolymer.</w:t>
            </w:r>
            <w:r w:rsidRPr="007E4DD6">
              <w:rPr>
                <w:color w:val="000000"/>
                <w:sz w:val="20"/>
              </w:rPr>
              <w:br/>
              <w:t>- Tiêu chuẩn ISO 13485.</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ly giải hồng cầu Lite 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Dùng để pha loãng mẫu máu toàn phần và làm sạch các đường ống nơi mẫu chảy qua để nhằm theo dõi và chẩn đoán bệnh đái tháo đường dựa trên phương pháp sắc kí lỏng hiệu năng cao (HPLC).</w:t>
            </w:r>
            <w:r w:rsidRPr="007E4DD6">
              <w:rPr>
                <w:color w:val="000000"/>
                <w:sz w:val="20"/>
              </w:rPr>
              <w:br/>
              <w:t>- Thành phần: Sodium azide nồng độ 0,02% hoặc nhỏ hơn</w:t>
            </w:r>
            <w:r w:rsidRPr="007E4DD6">
              <w:rPr>
                <w:color w:val="000000"/>
                <w:sz w:val="20"/>
              </w:rPr>
              <w:br/>
              <w:t>- pH: 7.50 ± 0.10</w:t>
            </w:r>
            <w:r w:rsidRPr="007E4DD6">
              <w:rPr>
                <w:color w:val="000000"/>
                <w:sz w:val="20"/>
              </w:rPr>
              <w:br/>
              <w:t>- Tiêu chuẩn ISO 13485.</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giải 80A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Dùng để xác định lượng HbA1c trong mẫu máu toàn phần của người nhằm theo dõi và chẩn đoán bệnh đái tháo đường. </w:t>
            </w:r>
            <w:r w:rsidRPr="007E4DD6">
              <w:rPr>
                <w:color w:val="000000"/>
                <w:sz w:val="20"/>
              </w:rPr>
              <w:br w:type="page"/>
              <w:t xml:space="preserve">- Thành phần: Sodium perchlorate nồng độ &lt;1.0%, Sodium azide nồng độ &lt;0.1%; </w:t>
            </w:r>
            <w:r w:rsidRPr="007E4DD6">
              <w:rPr>
                <w:color w:val="000000"/>
                <w:sz w:val="20"/>
              </w:rPr>
              <w:br w:type="page"/>
              <w:t>- pH: 5.35 ± 0.05;</w:t>
            </w:r>
            <w:r w:rsidRPr="007E4DD6">
              <w:rPr>
                <w:color w:val="000000"/>
                <w:sz w:val="20"/>
              </w:rPr>
              <w:br w:type="page"/>
              <w:t>- Tiêu chuẩn ISO 13485.</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giải 80B</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Dùng để xác định lượng HbA1c trong mẫu máu toàn phần của người.</w:t>
            </w:r>
            <w:r w:rsidRPr="007E4DD6">
              <w:rPr>
                <w:color w:val="000000"/>
                <w:sz w:val="20"/>
              </w:rPr>
              <w:br/>
              <w:t xml:space="preserve">- Thành phần: Sodium perchlorate nồng độ ≤ 3.0%, Phosphate nồng độ ≤ 2.0%, Sodium azide nồng độ &lt; 0.1%; </w:t>
            </w:r>
            <w:r w:rsidRPr="007E4DD6">
              <w:rPr>
                <w:color w:val="000000"/>
                <w:sz w:val="20"/>
              </w:rPr>
              <w:br/>
              <w:t>- pH: 8.05 ± 0.20;</w:t>
            </w:r>
            <w:r w:rsidRPr="007E4DD6">
              <w:rPr>
                <w:color w:val="000000"/>
                <w:sz w:val="20"/>
              </w:rPr>
              <w:br/>
              <w:t>- Tiêu chuẩn ISO 13485.</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Dung dịch rửa giải 80CV</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Dùng để xác định lượng HbA1c trong mẫu máu toàn phần của người.</w:t>
            </w:r>
            <w:r w:rsidRPr="007E4DD6">
              <w:rPr>
                <w:color w:val="000000"/>
                <w:sz w:val="20"/>
              </w:rPr>
              <w:br/>
              <w:t xml:space="preserve">- Thành phần: Phosphate nồng độ ≤ 2.0%, Sodium perchlorate nồng độ ≤ 0.3%, Sodium azide nồng độ &lt; 0.1%; </w:t>
            </w:r>
            <w:r w:rsidRPr="007E4DD6">
              <w:rPr>
                <w:color w:val="000000"/>
                <w:sz w:val="20"/>
              </w:rPr>
              <w:br/>
              <w:t>- pH: 7.05 ± 0.03;</w:t>
            </w:r>
            <w:r w:rsidRPr="007E4DD6">
              <w:rPr>
                <w:color w:val="000000"/>
                <w:sz w:val="20"/>
              </w:rPr>
              <w:br/>
              <w:t>- Tiêu chuẩn ISO 13485.</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kiểm chuẩn Hba1c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Thuốc thử được thiết kế để sử dụng như một vật liệu  quản lý chất lượng nhằm theo dõi độ chính xác và độ đúng của các phòng thí nghiệm sử dụng quy trình định lượng HbA1c bằng các loại xét nghiệm sau: HPLC trao đổi ion, xét nghiệm miễn dịch, boronat và enzym.</w:t>
            </w:r>
            <w:r w:rsidRPr="007E4DD6">
              <w:rPr>
                <w:color w:val="000000"/>
                <w:sz w:val="20"/>
              </w:rPr>
              <w:br/>
              <w:t>- Thành phần:  Hemoglobin (human) 13.0 – 15.0g/dL; Potassium Cyanide &lt; 0,005%;</w:t>
            </w:r>
            <w:r w:rsidRPr="007E4DD6">
              <w:rPr>
                <w:color w:val="000000"/>
                <w:sz w:val="20"/>
              </w:rPr>
              <w:br/>
              <w:t>- Tiêu chuẩn ISO 13485.</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NỘI KIỂM NGOẠI KIỂM</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Huyết Học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Huyết học đáp ứng trên 10 thông số công thức máu hoặc tương đương, bao gồm cả thông số Plateletcrit (PCT). Chu kỳ  bắt đầu tháng 1-12 hàng năm. Phù hợp để tham gia chương trình ngoại kiểm Riqas được triển khai tại các Trung tâm kiểm chuẩn.</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Sinh Hóa</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Sinh hóa đáp ứng trên 50 thông số hoặc tương đương, bao gồm cả ACE (Angiotensin Converting Enzyme), D-3-Hydroxybutyrate, Fructosamine và eGFR (estimated glomerular filtration rate). Có chu kỳ bắt đầu tháng 1-12 hàng năm. Phù hợp để tham gia chương trình ngoại kiểm Riqas được triển khai tại các Trung tâm kiểm chuẩn.</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228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Miễn Dịch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miễn dịch đáp ứng trên 48 thông số hoặc tương đương, bao gồm cả thông số Gentamicin, PTH và 1-25-(OH)2-Vitamin D.  Có chu kỳ bắt đầu tháng 1-12 hàng năm. Phù hợp để tham gia chương trình ngoại kiểm Riqas được triển khai tại các Trung tâm kiểm chuẩn.</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HbA1c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HbA1c 2 thông số hoặc tương đương. Chương trình bắt đầu tháng 1-12 hàng năm.Phù hợp để tham gia chương trình ngoại kiểm Riqas được triển khai tại các Trung tâm kiểm chuẩn. Bảo quản 2-8 oC</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Niệu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Niệu đáp ứng 14 thông số tổng phân tích nước tiểu hoặc tương đương, bao gồm thông số Galactose. Thành phần yêu cầu 100% nước tiểu người. Chu kỳ bắt đầu từ tháng 1-12 hàng năm. Phù hợp để tham gia chương trình ngoại kiểm Riqas được triển khai tại các Trung tâm kiểm chuẩn. </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RChương trình Ngoại kiểm Riqas Đông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Đông máu đáp ứng 5 thông số Đông máu cơ bản hoặc tương đương.  Có chu kỳ bắt đầu tháng 1-12 hàng năm. Phù hợp để tham gia chương trình ngoại kiểm Riqas  được triển khai tại các Trung tâm kiểm chuẩn</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Khí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Khí máu đáp ứng trên 10 thông số hoặc tương đương, bao gồm cả thông số Bicarbonate và CO2 (total). Có chu kỳ bắt đầu tháng 1-12 hàng năm. Phù hợp để tham gia chương trình ngoại kiểm Riqas được triển khai tại các Trung tâm kiểm chuẩn.</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Tim Mạch</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Tim mạch đáp ứng trên 10 thông số dấu ấn tim mạch hoặc tương đương, bao gồm cả thông số CK-MB activity và CK-MB mass. Có chu kỳ bắt đầu tháng 1-12 hàng năm. Phù hợp để tham gia chương trình ngoại kiểm Riqas  được triển khai tại các Trung tâm kiểm chuẩn.</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Ammonia/Ethanol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Ammonia/Ethanol đáp ứng 2 thông số Ammonia và Ethanol. Có chu kỳ bắt đầu tháng 9 hàng năm. Phù hợp để tham gia chương trình ngoại kiểm Riqas được triển khai tại các Trung tâm kiểm chuẩn.</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HIV/Viêm Gan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Chương trình ngoại kiểm HIV/Viêm gan. Đáp ứng hơn 15 thông số hoặc tương đương, bao gồm thông số Anti-CMV (Total).  Có chu kỳ bắt đầu tháng 7 hàng năm. Phù hợp để tham gia chương trình ngoại kiểm Riqas được triển khai tại các Trung tâm kiểm chuẩn.</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Riqas Cyfra21-1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Chương trình ngoại kiểm Cyfra đáp ứng thông số Cyfra 21-1 (Cytokeratin 19) hoặc tương đương. Có chu kỳ bắt đầu từ tháng 3 hàng năm. Phù hợp để tham gia chương trình ngoại kiểm Riqas được triển khai tại các Trung tâm kiểm chuẩn.</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Sinh hóa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Dạng đông khô dễ bảo quản 2-8oC. Độ bền mở nắp tối thiểu 7 ngày 2-8 oC hoặc 28 ngày ở -20oC. Đáp ứng trên 65 thông số hoặc tương đương, bao gồm cả D-3-Hydroxybutyrate, Folate, Bicarbonate, Bile Acids.</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Sinh hóa mức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Dạng đông khô dễ bảo quản 2-8oC. Độ bền mở nắp tối thiểu 7 ngày 2-8 oC hoặc 28 ngày ở -20oC. Đáp ứng trên 65 thông số hoặc tương đương, bao gồm cả D-3-Hydroxybutyrate, Folate, Bicarbonate, Bile Acids.</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239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Huyết học 3 mức độ</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Thành phần 100% từ người. Đáp ứng 45 thông số cho máy Sysmex và Mindray đo 5 thành phần bạch cầu  Bảo quản 2-8oC. Độ bền mở nắp tối thiếu 14 ngày 2-8oC hoặc tương đương. </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240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Miễn Dịch Plus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Dạng đông khô. Thành phần 100% huyết thanh người. Đáp ứng trên 50 các thông số. Chứa các chất chỉ điểm ung thư trong xét nghiệm thường quy: AFP, CA15-3, CA19-9, CA-125, CEA,  PSA, Free-PSA. Nồng độ Ferritin và Vitamin B12 phù hợp để theo dõi tình trạng thiếu máu.Bảo quản ở 2-8oC.  Độ bền mở nắp tối thiểu 7 ngày 2-8oC hoặc 28 ngày ở -20oC. </w:t>
            </w:r>
          </w:p>
        </w:tc>
      </w:tr>
      <w:tr w:rsidR="007E4DD6" w:rsidRPr="007E4DD6" w:rsidTr="00367D6F">
        <w:trPr>
          <w:trHeight w:val="153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Miễn Dịch Plus mức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Dạng đông khô. Thành phần 100% huyết thanh người. Đáp ứng trên 50 các thông số. Chứa các chất chỉ điểm ung thư trong xét nghiệm thường quy: AFP, CA15-3, CA19-9, CA-125, CEA,  PSA, Free-PSA. Nồng độ Ferritin và Vitamin B12 phù hợp để theo dõi tình trạng thiếu máu. Bảo quản ở 2-8oC.  Độ bền mở nắp tối thiểu 7 ngày 2-8oC hoặc 28 ngày ở -20oC. </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bộ mỡ mức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Dạng đông khô. Thành phần 100% huyết thanh người. Đáp ứng 7 thông số. Bảo quản 2-8oC. Độ bền mở nắp tối thiểu 7 ngày 2-8oC hoặc 28 ngày ở -20oC hoặc tương đương. Không chứa Sodium Azid - chất gây cản trở phương pháp đo thanh thải (Clearance method) của các máy phân tích.</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bộ mỡ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Dạng đông khô. Thành phần 100% huyết thanh người. Đáp ứng 7 thông số. Bảo quản 2-8oC. Độ bền mở nắp tối thiểu 7 ngày 2-8oC hoặc 28 ngày ở -20oC hoặc tương đương. Không chứa Sodium Azid - chất gây cản trở phương pháp đo thanh thải (Clearance method) của các máy phân tích.</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CRP Control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Dạng lỏng. Thành phần 100% từ người. Độ bền mở nắp 30 ngày ở 2-8oC</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hs CRP Control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Dạng lỏng. Thành phần 100% từ người. Độ bền mở nắp 30 ngày ở 2-8oC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Sinh hóa nước tiểu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100% từ nước tiểu người. Đáp ứng 24 thông số, bao gồm cả thông số Copper, Dopamine, Epinephrine, Metanephrine, Norepinephrine, Normetanephrine, Oxalate. Bảo quản 2-8oC. Độ bền mở nắp tối thiểu 5 ngày ở 2-8oC hoặc 2 tuần ở -20oC hoặc tương đương.</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sinh hóa nước tiểu mức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100% từ nước tiểu người. Đáp ứng 24 thông số, bao gồm cả thông số Copper, Dopamine, Epinephrine, Metanephrine, Norepinephrine, Normetanephrine, Oxalate. Bảo quản 2-8oC. Độ bền mở nắp tối thiểu 5 ngày ở 2-8oC hoặc 2 tuần ở -20oC hoặc tương 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tổng phân tích nước tiểu mức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100% từ nước tiểu  người. Đáp ứng 13 thông số, bao gồm thông số Albumin. Thích hợp cho xét nghiệm tại chỗ (POCT). Bảo quản 2-8oC. Mở nắp tối thiểu 30 ngày 2-8oC hoặc tương 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249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tổng phân tích nước tiểu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100% từ nước tiểu  người. Đáp ứng 13 thông số, bao gồm thông số Albumin. Thích hợp cho xét nghiệm tại chỗ (POCT). Bảo quản 2-8oC. Mở nắp tối thiểu 30 ngày 2-8oC hoặc tương đương.</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khí máu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Đáp ứng 10 thông số, bao gồm cả thông số Bicarbonate. Thích hợp sử dụng cho xét nghiệm tại chỗ (POCT). Bảo quản 2-8oC.  Độ bền mở nắp tối thiểu 1 phút cho thông số khí máu và 1 giờ cho ion đồ hoặc tương đương.</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khí máu mức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Đáp ứng 10 thông số, bao gồm cả thông số Bicarbonate. Thích hợp sử dụng cho xét nghiệm tại chỗ (POCT). Bảo quản 2-8oC.  Độ bền mở nắp tối thiểu 1 phút cho thông số khí máu và 1 giờ cho ion đồ hoặc tương 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đông máu mức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Thành phần 100% từ người. Đáp ứng trên 15 thông số, bao gồm cả Protein C, Protein S và các yếu tố đông máu II, V, VII, IX, X, XI, XII. Bảo quản 2-8oC. Độ bền mở nắp lên tới 24 giờ 2-8oC hoặc tương </w:t>
            </w:r>
            <w:r w:rsidRPr="007E4DD6">
              <w:rPr>
                <w:color w:val="000000"/>
                <w:sz w:val="20"/>
              </w:rPr>
              <w:lastRenderedPageBreak/>
              <w:t>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253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đông máu mức 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Thành phần 100% từ người. Đáp ứng trên 15 thông số, bao gồm cả Protein C, Protein S và các yếu tố đông máu II, V, VII, IX, X, XI, XII. Bảo quản 2-8oC. Độ bền mở nắp lên tới 24 giờ 2-8oC hoặc tương đương.</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tim mạch đông khô mức 1,2,3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Dạng đông khô, có nguồn gốc từ người. Đáp ứng 7 thông số, bao gồm cả thông số CK-MB (mass) và CK-MB (activity). Ngưỡng giới hạn nồng độ cho Troponin T và I phù hợp với khuyến nghị quốc tế. Bảo quản 2-8oC. Độ bền mở nắp tối thiểu 5 ngày 2-8oC hoặc 28 ngày -20oC hoặc tương đương.</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Ethanol/Ammonia mức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Dạng lỏng dùng ngay. Đáp ứng xét nghiệm Ammonia và Ethanol. Bảo quản 2-8oC. Độ bền mở nắp tối thiểu 30 ngày ở 2 - 8 độ C hoặc tương đương. </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Nội kiểm Ethanol/Ammonia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Dạng lỏng dùng ngay. Đáp ứng xét nghiệm Ammonia và Ethanol. Bảo quản 2-8oC. Độ bền mở nắp tối thiểu 30 ngày ở 2 - 8 độ C hoặc tương đương. </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SỬ DỤNG TRÊN HỆ THỐNG REALTIME PCR HOẶC TƯƠNG ĐƯƠNG</w:t>
            </w:r>
          </w:p>
        </w:tc>
      </w:tr>
      <w:tr w:rsidR="007E4DD6" w:rsidRPr="007E4DD6" w:rsidTr="00367D6F">
        <w:trPr>
          <w:trHeight w:val="56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xét nghiệm virus HBV trên máy realtime PCR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Kit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 Kỹ thuật: Real-time PCR</w:t>
            </w:r>
            <w:r w:rsidRPr="007E4DD6">
              <w:rPr>
                <w:color w:val="000000"/>
                <w:sz w:val="20"/>
              </w:rPr>
              <w:br/>
              <w:t>- Trinh tự mục tiêu: vùng trình tự bảo tồn ORFx</w:t>
            </w:r>
            <w:r w:rsidRPr="007E4DD6">
              <w:rPr>
                <w:color w:val="000000"/>
                <w:sz w:val="20"/>
              </w:rPr>
              <w:br/>
              <w:t>- Độ đặc hiệu phân tích: HBV genotype A - H, pre-core mutants HBV, 100%</w:t>
            </w:r>
            <w:r w:rsidRPr="007E4DD6">
              <w:rPr>
                <w:color w:val="000000"/>
                <w:sz w:val="20"/>
              </w:rPr>
              <w:br/>
              <w:t xml:space="preserve">- Độ nhạy phân tích (LoD): </w:t>
            </w:r>
            <w:r w:rsidRPr="007E4DD6">
              <w:rPr>
                <w:color w:val="000000"/>
                <w:sz w:val="20"/>
              </w:rPr>
              <w:br/>
              <w:t xml:space="preserve">  36, 9792 IU/mL sử dụng GeneProof PathogenFree DNA Isolation Kit</w:t>
            </w:r>
            <w:r w:rsidRPr="007E4DD6">
              <w:rPr>
                <w:color w:val="000000"/>
                <w:sz w:val="20"/>
              </w:rPr>
              <w:br/>
              <w:t xml:space="preserve">  64,067 IU/mL sử dụng hệ thống tách chiết tự động croBEE NA16 Nucleic Acid Extraction System</w:t>
            </w:r>
            <w:r w:rsidRPr="007E4DD6">
              <w:rPr>
                <w:color w:val="000000"/>
                <w:sz w:val="20"/>
              </w:rPr>
              <w:br/>
              <w:t xml:space="preserve">  13.9 IU/mL sử dụng SpinStar Viral Nucleic Acid Kit 1.0</w:t>
            </w:r>
            <w:r w:rsidRPr="007E4DD6">
              <w:rPr>
                <w:color w:val="000000"/>
                <w:sz w:val="20"/>
              </w:rPr>
              <w:br/>
              <w:t>- Độ đặc hiệu lâm sàng: 100%</w:t>
            </w:r>
            <w:r w:rsidRPr="007E4DD6">
              <w:rPr>
                <w:color w:val="000000"/>
                <w:sz w:val="20"/>
              </w:rPr>
              <w:br/>
              <w:t>- Độ nhạy lâm sàng: 100%</w:t>
            </w:r>
            <w:r w:rsidRPr="007E4DD6">
              <w:rPr>
                <w:color w:val="000000"/>
                <w:sz w:val="20"/>
              </w:rPr>
              <w:br/>
              <w:t>- Khoảng tuyến tính: 10^10 - 10^2 IU/mL với độ chính xác ±0.5log sử dụng GeneProof PathogenFree DNA Isolation Kit hoặc hệ thống tách chiết tự động croBEE NA16 Nucleic Acid Extraction System</w:t>
            </w:r>
            <w:r w:rsidRPr="007E4DD6">
              <w:rPr>
                <w:color w:val="000000"/>
                <w:sz w:val="20"/>
              </w:rPr>
              <w:br/>
              <w:t>- Loại mẫu: huyết tương và huyết thanh</w:t>
            </w:r>
            <w:r w:rsidR="00D75BC0">
              <w:rPr>
                <w:color w:val="000000"/>
                <w:sz w:val="20"/>
              </w:rPr>
              <w:br/>
              <w:t>- Chứng chỉ: CE-IVD; ISO 13485</w:t>
            </w:r>
          </w:p>
        </w:tc>
      </w:tr>
      <w:tr w:rsidR="007E4DD6" w:rsidRPr="007E4DD6" w:rsidTr="00367D6F">
        <w:trPr>
          <w:trHeight w:val="36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258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Hoá chất xét nghiệm virus MT trên máy realtime PCR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Kit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 Kỹ thuật: Real-time PCR</w:t>
            </w:r>
            <w:r w:rsidRPr="007E4DD6">
              <w:rPr>
                <w:color w:val="000000"/>
                <w:sz w:val="20"/>
              </w:rPr>
              <w:br/>
              <w:t>- Trinh tự mục tiêu: trình tự gắn chèn đa bản sao đặc hiệu IS6110</w:t>
            </w:r>
            <w:r w:rsidRPr="007E4DD6">
              <w:rPr>
                <w:color w:val="000000"/>
                <w:sz w:val="20"/>
              </w:rPr>
              <w:br/>
              <w:t>- Độ đặc hiệu phân tích: Mycobacterium tuberculosis complex (M. tuberculosis, M. bovis, M. africanum, M. microti, M. caprae, M. canetti và vaccine strain BCG), 100%</w:t>
            </w:r>
            <w:r w:rsidRPr="007E4DD6">
              <w:rPr>
                <w:color w:val="000000"/>
                <w:sz w:val="20"/>
              </w:rPr>
              <w:br/>
              <w:t>- Độ nhạy phân tích (LoD): 0.191 cp/uL sử dụng Amplirun® Mycobacterium tuberculosis DNA control, Vircell</w:t>
            </w:r>
            <w:r w:rsidRPr="007E4DD6">
              <w:rPr>
                <w:color w:val="000000"/>
                <w:sz w:val="20"/>
              </w:rPr>
              <w:br/>
              <w:t>- Loại mẫu: BAL, CSF, đờm, phân, swab</w:t>
            </w:r>
            <w:r w:rsidR="00D75BC0">
              <w:rPr>
                <w:color w:val="000000"/>
                <w:sz w:val="20"/>
              </w:rPr>
              <w:t>, nước tiểu</w:t>
            </w:r>
            <w:r w:rsidR="00D75BC0">
              <w:rPr>
                <w:color w:val="000000"/>
                <w:sz w:val="20"/>
              </w:rPr>
              <w:br/>
              <w:t>- Chứng chỉ: CE-IVD</w:t>
            </w:r>
          </w:p>
        </w:tc>
      </w:tr>
      <w:tr w:rsidR="007E4DD6" w:rsidRPr="007E4DD6" w:rsidTr="00367D6F">
        <w:trPr>
          <w:trHeight w:val="51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259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Kit tách chiết DNA virus từ mẫu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Kit</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 xml:space="preserve">GeneProof PathogenFree DNA Isolation Kit </w:t>
            </w:r>
            <w:r w:rsidRPr="007E4DD6">
              <w:rPr>
                <w:color w:val="000000"/>
                <w:sz w:val="20"/>
              </w:rPr>
              <w:br w:type="page"/>
              <w:t>- Công nghê: tách chiết cột silica</w:t>
            </w:r>
            <w:r w:rsidRPr="007E4DD6">
              <w:rPr>
                <w:color w:val="000000"/>
                <w:sz w:val="20"/>
              </w:rPr>
              <w:br w:type="page"/>
              <w:t>- Loại mẫu: máu toàn phần, huyết tương và nhiều mẫu dịch cơ thể khác</w:t>
            </w:r>
            <w:r w:rsidRPr="007E4DD6">
              <w:rPr>
                <w:color w:val="000000"/>
                <w:sz w:val="20"/>
              </w:rPr>
              <w:br w:type="page"/>
              <w:t>- Thể tích mẫu đầu vào: 200uL</w:t>
            </w:r>
            <w:r w:rsidRPr="007E4DD6">
              <w:rPr>
                <w:color w:val="000000"/>
                <w:sz w:val="20"/>
              </w:rPr>
              <w:br w:type="page"/>
              <w:t>- Hiệu suất trung bình: 4-6 ug</w:t>
            </w:r>
            <w:r w:rsidRPr="007E4DD6">
              <w:rPr>
                <w:color w:val="000000"/>
                <w:sz w:val="20"/>
              </w:rPr>
              <w:br w:type="page"/>
              <w:t>- Thể tích dung giải: 50uL/100uL</w:t>
            </w:r>
            <w:r w:rsidRPr="007E4DD6">
              <w:rPr>
                <w:color w:val="000000"/>
                <w:sz w:val="20"/>
              </w:rPr>
              <w:br w:type="page"/>
              <w:t>- Chứng chỉ: CE-IVD</w:t>
            </w:r>
            <w:r w:rsidRPr="007E4DD6">
              <w:rPr>
                <w:color w:val="000000"/>
                <w:sz w:val="20"/>
              </w:rPr>
              <w:br w:type="page"/>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nhựa PCR 0.1 ml dạng dây 8 ống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Làm bằng polypropylene nguyên sinh</w:t>
            </w:r>
            <w:r w:rsidRPr="007E4DD6">
              <w:rPr>
                <w:color w:val="000000"/>
                <w:sz w:val="20"/>
              </w:rPr>
              <w:br/>
              <w:t>Thành siêu mỏng mang lại độ trong suốt cao, dễ quan sát và dẫn nhiệt</w:t>
            </w:r>
            <w:r w:rsidRPr="007E4DD6">
              <w:rPr>
                <w:color w:val="000000"/>
                <w:sz w:val="20"/>
              </w:rPr>
              <w:br/>
              <w:t>Không có DNase, RNase và endotoxin</w:t>
            </w:r>
            <w:r w:rsidRPr="007E4DD6">
              <w:rPr>
                <w:color w:val="000000"/>
                <w:sz w:val="20"/>
              </w:rPr>
              <w:br/>
              <w:t>Các túi nhựa có thể hàn kín lại được đóng gói trong các hộp riêng lẻ — giữ cho chúng không bị nhiễm bẩn và dễ dàng cất giữ</w:t>
            </w:r>
            <w:r w:rsidRPr="007E4DD6">
              <w:rPr>
                <w:color w:val="000000"/>
                <w:sz w:val="20"/>
              </w:rPr>
              <w:br/>
              <w:t>Nhiệt</w:t>
            </w:r>
            <w:r w:rsidR="00D75BC0">
              <w:rPr>
                <w:color w:val="000000"/>
                <w:sz w:val="20"/>
              </w:rPr>
              <w:t xml:space="preserve"> độ: ổn định từ -20ºC đến 100ºC</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Đầu típ 10ul có lọc tiệt trùng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Tiêu chuẩn: ISO 13485 và CE</w:t>
            </w:r>
            <w:r w:rsidRPr="007E4DD6">
              <w:rPr>
                <w:color w:val="000000"/>
                <w:sz w:val="20"/>
              </w:rPr>
              <w:br/>
              <w:t>Đầu tip đạt chất lượng free DNA, RNA và Pyrogen và được tiệt trùng sẵn,</w:t>
            </w:r>
            <w:r w:rsidRPr="007E4DD6">
              <w:rPr>
                <w:color w:val="000000"/>
                <w:sz w:val="20"/>
              </w:rPr>
              <w:br/>
              <w:t>Có màng lọc báo vệ chống nhiễm bẩn và nhiễm chéo giứa cái mẫu</w:t>
            </w:r>
            <w:r w:rsidRPr="007E4DD6">
              <w:rPr>
                <w:color w:val="000000"/>
                <w:sz w:val="20"/>
              </w:rPr>
              <w:br/>
              <w:t>Chất liệu giảm bám dính</w:t>
            </w:r>
            <w:r w:rsidR="00D75BC0">
              <w:rPr>
                <w:color w:val="000000"/>
                <w:sz w:val="20"/>
              </w:rPr>
              <w:br/>
              <w:t>Nhuạ polypropylen chuẩn y khoa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Đầu típ 200ul có lọc tiệt trùng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Tiêu chuẩn: ISO 13485 và CE</w:t>
            </w:r>
            <w:r w:rsidRPr="007E4DD6">
              <w:rPr>
                <w:color w:val="000000"/>
                <w:sz w:val="20"/>
              </w:rPr>
              <w:br/>
              <w:t>Đầu tip đạt chất lượng free DNA, RNA và Pyrogen và được tiệt trùng sẵn,</w:t>
            </w:r>
            <w:r w:rsidRPr="007E4DD6">
              <w:rPr>
                <w:color w:val="000000"/>
                <w:sz w:val="20"/>
              </w:rPr>
              <w:br/>
              <w:t>Có màng lọc báo vệ chống nhiễm bẩn và nhiễm chéo giứa cái mẫu</w:t>
            </w:r>
            <w:r w:rsidRPr="007E4DD6">
              <w:rPr>
                <w:color w:val="000000"/>
                <w:sz w:val="20"/>
              </w:rPr>
              <w:br/>
              <w:t>Chất liệu giảm bám dính</w:t>
            </w:r>
            <w:r w:rsidR="00D75BC0">
              <w:rPr>
                <w:color w:val="000000"/>
                <w:sz w:val="20"/>
              </w:rPr>
              <w:br/>
              <w:t>Nhuạ polypropylen chuẩn y khoa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53.7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Đầu típ 1000ul có lọc tiệt trùng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D75BC0">
            <w:pPr>
              <w:jc w:val="left"/>
              <w:rPr>
                <w:color w:val="000000"/>
                <w:sz w:val="20"/>
              </w:rPr>
            </w:pPr>
            <w:r w:rsidRPr="007E4DD6">
              <w:rPr>
                <w:color w:val="000000"/>
                <w:sz w:val="20"/>
              </w:rPr>
              <w:t>Tiêu chuẩn: ISO 13485 và CE</w:t>
            </w:r>
            <w:r w:rsidRPr="007E4DD6">
              <w:rPr>
                <w:color w:val="000000"/>
                <w:sz w:val="20"/>
              </w:rPr>
              <w:br/>
              <w:t>Đầu tip đạt chất lượng free DNA, RNA và Pyrogen và được tiệt trùng sẵn,</w:t>
            </w:r>
            <w:r w:rsidRPr="007E4DD6">
              <w:rPr>
                <w:color w:val="000000"/>
                <w:sz w:val="20"/>
              </w:rPr>
              <w:br/>
              <w:t>Có màng lọc báo vệ chống nhiễm bẩn và nhiễm chéo giứa cái mẫu</w:t>
            </w:r>
            <w:r w:rsidRPr="007E4DD6">
              <w:rPr>
                <w:color w:val="000000"/>
                <w:sz w:val="20"/>
              </w:rPr>
              <w:br/>
              <w:t>Chất liệu giảm bám dính</w:t>
            </w:r>
            <w:r w:rsidR="00D75BC0">
              <w:rPr>
                <w:color w:val="000000"/>
                <w:sz w:val="20"/>
              </w:rPr>
              <w:br/>
              <w:t>Nhuạ polypropylen chuẩn y khoa</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DÙNG TRONG HỆ THỐNG NUÔI CẤY, ĐỊNH DANH VI KHUẨN VITEK 2 HOẶC TƯƠNG ĐƯƠNG</w:t>
            </w:r>
          </w:p>
        </w:tc>
      </w:tr>
      <w:tr w:rsidR="007E4DD6" w:rsidRPr="007E4DD6" w:rsidTr="00367D6F">
        <w:trPr>
          <w:trHeight w:val="20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264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định danh vi khuẩn Gram âm GN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định danh vi khuẩn Gram âm được sử dụng để định danh tự động các trực khuẩn Gram âm lên men và không lên men </w:t>
            </w:r>
            <w:r w:rsidRPr="007E4DD6">
              <w:rPr>
                <w:color w:val="000000"/>
                <w:sz w:val="20"/>
              </w:rPr>
              <w:br/>
              <w:t xml:space="preserve"> - Thẻ nhựa 64 giếng gồm 47 tính chất sinh vật hóa học và một giếng chuẩn âm tính. </w:t>
            </w:r>
            <w:r w:rsidRPr="007E4DD6">
              <w:rPr>
                <w:color w:val="000000"/>
                <w:sz w:val="20"/>
              </w:rPr>
              <w:br/>
              <w:t xml:space="preserve"> - Bảo quản thẻ hóa chất trong lớp lót kín của bao bì ở nhiệt độ từ 2-8°C </w:t>
            </w:r>
            <w:r w:rsidRPr="007E4DD6">
              <w:rPr>
                <w:color w:val="000000"/>
                <w:sz w:val="20"/>
              </w:rPr>
              <w:br/>
              <w:t xml:space="preserve"> - Tiêu chuẩn chất lượng: ISO 9001/ ISO 13485/ CE.</w:t>
            </w:r>
          </w:p>
        </w:tc>
      </w:tr>
      <w:tr w:rsidR="007E4DD6" w:rsidRPr="007E4DD6" w:rsidTr="00367D6F">
        <w:trPr>
          <w:trHeight w:val="18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định danh vi khuẩn Gram dương GP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định danh vi khuẩn Gram dương GP được sử dụng để định danh tự động các vi khuẩn Gram dương </w:t>
            </w:r>
            <w:r w:rsidRPr="007E4DD6">
              <w:rPr>
                <w:color w:val="000000"/>
                <w:sz w:val="20"/>
              </w:rPr>
              <w:br w:type="page"/>
              <w:t xml:space="preserve"> - Thẻ nhựa 64 giếng gồm 43 tính chất sinh vật hóa học và  1 giếng chuẩn âm tính</w:t>
            </w:r>
            <w:r w:rsidRPr="007E4DD6">
              <w:rPr>
                <w:color w:val="000000"/>
                <w:sz w:val="20"/>
              </w:rPr>
              <w:br w:type="page"/>
              <w:t xml:space="preserve"> - Bảo quản thẻ hóa chất trong lớp lót kín của bao bì ở nhiệt độ từ 2-8°C.</w:t>
            </w:r>
            <w:r w:rsidRPr="007E4DD6">
              <w:rPr>
                <w:color w:val="000000"/>
                <w:sz w:val="20"/>
              </w:rPr>
              <w:br w:type="page"/>
              <w:t xml:space="preserve"> - Tiêu chuẩn chất lượng: ISO 9001/ ISO 13485/ CE.</w:t>
            </w:r>
          </w:p>
        </w:tc>
      </w:tr>
      <w:tr w:rsidR="007E4DD6" w:rsidRPr="007E4DD6" w:rsidTr="00367D6F">
        <w:trPr>
          <w:trHeight w:val="20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định danh vi nấm YST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định danh nấm men YST được sử dụng để định danh tự động các loài nấm men và các loài nấm giống nấm men </w:t>
            </w:r>
            <w:r w:rsidRPr="007E4DD6">
              <w:rPr>
                <w:color w:val="000000"/>
                <w:sz w:val="20"/>
              </w:rPr>
              <w:br/>
              <w:t xml:space="preserve"> - Thẻ nhựa 64 giếng gồm 46 tính chất sinh vật hóa học và 1 giếng chuẩn âm tính</w:t>
            </w:r>
            <w:r w:rsidRPr="007E4DD6">
              <w:rPr>
                <w:color w:val="000000"/>
                <w:sz w:val="20"/>
              </w:rPr>
              <w:br/>
              <w:t xml:space="preserve"> - Bảo quản thẻ hóa chất trong lớp lót kín của bao bì ở nhiệt độ từ 2-8°C.</w:t>
            </w:r>
            <w:r w:rsidRPr="007E4DD6">
              <w:rPr>
                <w:color w:val="000000"/>
                <w:sz w:val="20"/>
              </w:rPr>
              <w:br/>
              <w:t xml:space="preserve"> - Thời gian cho kết quả định danh ≤ 18 giờ</w:t>
            </w:r>
          </w:p>
        </w:tc>
      </w:tr>
      <w:tr w:rsidR="007E4DD6" w:rsidRPr="007E4DD6" w:rsidTr="00367D6F">
        <w:trPr>
          <w:trHeight w:val="20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định danh vi khuẩn kỵ khí ANC</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Dùng để định danh vi khuẩn kỵ khí &amp; Corynebacteria (ANC).</w:t>
            </w:r>
            <w:r w:rsidRPr="007E4DD6">
              <w:rPr>
                <w:color w:val="000000"/>
                <w:sz w:val="20"/>
              </w:rPr>
              <w:br/>
              <w:t xml:space="preserve"> - Thẻ nhựa 64 giếng gồm 36 tính chất sinh vật hóa học.</w:t>
            </w:r>
            <w:r w:rsidRPr="007E4DD6">
              <w:rPr>
                <w:color w:val="000000"/>
                <w:sz w:val="20"/>
              </w:rPr>
              <w:br/>
              <w:t xml:space="preserve"> - Bảo quản thẻ hóa chất trong lớp lót kín của bao bì ở nhiệt độ từ 2-8°C.</w:t>
            </w:r>
            <w:r w:rsidRPr="007E4DD6">
              <w:rPr>
                <w:color w:val="000000"/>
                <w:sz w:val="20"/>
              </w:rPr>
              <w:br/>
              <w:t xml:space="preserve"> - Tiêu chuẩn chất lượng: ISO 9001/ ISO 13485/ CE.</w:t>
            </w:r>
          </w:p>
        </w:tc>
      </w:tr>
      <w:tr w:rsidR="007E4DD6" w:rsidRPr="007E4DD6" w:rsidTr="00367D6F">
        <w:trPr>
          <w:trHeight w:val="22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kháng sinh đồ vi khuẩn Gram âm các loại AST-GN--/N--/EX--/XN--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kháng sinh đồ Gram âm được sử dụng như là một xét nghiệm in vitro để xác định độ nhạy cảm kháng sinh của vi sinh vật với các kháng sinh.</w:t>
            </w:r>
            <w:r w:rsidRPr="007E4DD6">
              <w:rPr>
                <w:color w:val="000000"/>
                <w:sz w:val="20"/>
              </w:rPr>
              <w:br/>
              <w:t xml:space="preserve"> - Thẻ xét nghiệm làm kháng sinh đồ được phủ ít nhất 18-20 loại kháng sinh.</w:t>
            </w:r>
            <w:r w:rsidRPr="007E4DD6">
              <w:rPr>
                <w:color w:val="000000"/>
                <w:sz w:val="20"/>
              </w:rPr>
              <w:br/>
              <w:t xml:space="preserve"> - Bảo quản thẻ hóa chất trong lớp lót kín của bao bì ở nhiệt độ từ 2-8°C.</w:t>
            </w:r>
            <w:r w:rsidRPr="007E4DD6">
              <w:rPr>
                <w:color w:val="000000"/>
                <w:sz w:val="20"/>
              </w:rPr>
              <w:br/>
              <w:t xml:space="preserve"> - Tiêu chuẩn chất lượng: ISO 9001/ ISO 13485/ CE.</w:t>
            </w:r>
          </w:p>
        </w:tc>
      </w:tr>
      <w:tr w:rsidR="007E4DD6" w:rsidRPr="007E4DD6" w:rsidTr="00367D6F">
        <w:trPr>
          <w:trHeight w:val="29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269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kháng sinh đồ vi khuẩn Gram dương các loại AST-GP--/P--/ST--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kháng sinh đồ Gram dương như là một xét nghiệm in vitro để xác định độ nhạy cảm kháng sinh của vi sinh vật với các kháng sinh.</w:t>
            </w:r>
            <w:r w:rsidRPr="007E4DD6">
              <w:rPr>
                <w:color w:val="000000"/>
                <w:sz w:val="20"/>
              </w:rPr>
              <w:br/>
              <w:t xml:space="preserve"> - Thẻ xét nghiệm làm kháng sinh đồ được phủ ít nhất 18-20 loại kháng sinh.</w:t>
            </w:r>
            <w:r w:rsidRPr="007E4DD6">
              <w:rPr>
                <w:color w:val="000000"/>
                <w:sz w:val="20"/>
              </w:rPr>
              <w:br/>
              <w:t xml:space="preserve"> - Bảo quản thẻ hóa chất trong lớp lót kín của bao bì ở nhiệt độ từ 2-8°C.</w:t>
            </w:r>
            <w:r w:rsidRPr="007E4DD6">
              <w:rPr>
                <w:color w:val="000000"/>
                <w:sz w:val="20"/>
              </w:rPr>
              <w:br/>
              <w:t xml:space="preserve"> - Tiêu chuẩn chất lượng: ISO 9001/ ISO 13485/ CE.</w:t>
            </w:r>
          </w:p>
        </w:tc>
      </w:tr>
      <w:tr w:rsidR="007E4DD6" w:rsidRPr="007E4DD6" w:rsidTr="00367D6F">
        <w:trPr>
          <w:trHeight w:val="18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270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Xét nghiệm kháng sinh đồ nấm AST-YS</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Thẻ kháng sinh đồ nấm được sử dụng như là một thử nghiệm in vitro để xác định độ nhạy cảm của các nấm men có ý nghĩa lâm sàng với các kháng nấm </w:t>
            </w:r>
            <w:r w:rsidRPr="007E4DD6">
              <w:rPr>
                <w:color w:val="000000"/>
                <w:sz w:val="20"/>
              </w:rPr>
              <w:br/>
              <w:t xml:space="preserve"> - Thẻ xét nghiệm làm kháng sinh đồ được phủ ít nhất 18-20 loại kháng sinh.</w:t>
            </w:r>
            <w:r w:rsidRPr="007E4DD6">
              <w:rPr>
                <w:color w:val="000000"/>
                <w:sz w:val="20"/>
              </w:rPr>
              <w:br/>
              <w:t xml:space="preserve"> - Bảo quản thẻ hóa chất trong lớp lót kín của bao bì ở nhiệt độ từ 2-8°C.</w:t>
            </w:r>
            <w:r w:rsidRPr="007E4DD6">
              <w:rPr>
                <w:color w:val="000000"/>
                <w:sz w:val="20"/>
              </w:rPr>
              <w:br/>
              <w:t xml:space="preserve"> - Tiêu chuẩn chất lượng: ISO 9001/ ISO 13485/ CE.</w:t>
            </w:r>
          </w:p>
        </w:tc>
      </w:tr>
      <w:tr w:rsidR="007E4DD6" w:rsidRPr="007E4DD6" w:rsidTr="00367D6F">
        <w:trPr>
          <w:trHeight w:val="15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Nước muối Sodium Chloride 0.45%</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Thùng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Được sử dụng để chuẩn bị thủ công huyền dịch vi sinh vật, trước khi tiến hành định danh và thử nghiệm tính nhạy cảm kháng sinh</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54.9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Tuýp nhựa trong 12 x 75 mm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Thùng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Ống nhựa plastic, kích thước 12x75 mm, để pha loãng mẫu xét nghiệm.</w:t>
            </w:r>
            <w:r w:rsidRPr="007E4DD6">
              <w:rPr>
                <w:color w:val="000000"/>
                <w:sz w:val="20"/>
              </w:rPr>
              <w:br/>
              <w:t xml:space="preserve"> - Bảo quản ở nhiệt độ môi trường bình thường.</w:t>
            </w:r>
            <w:r w:rsidRPr="007E4DD6">
              <w:rPr>
                <w:color w:val="000000"/>
                <w:sz w:val="20"/>
              </w:rPr>
              <w:br/>
              <w:t xml:space="preserve"> - Đạt tiêu chuẩn Châu Âu hoặc tương đương</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55</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VTYT - HÓA CHẤT MÁY CẤY MÁU TỰ ĐỘNG HOẶC TƯƠNG ĐƯƠNG</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55.1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Chai nhựa cấy máu hiếu khí người lớn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Thùng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Chai cấy máu hiếu khí chứa môi trường, được sử dụng cùng với hệ thống phát hiện vi khuẩn trong qui trình để tăng cường phục hồi và phát hiện các vi sinh vật hiếu khí từ máu và các dịch vô khuẩn khác trong cơ thể.</w:t>
            </w:r>
            <w:r w:rsidRPr="007E4DD6">
              <w:rPr>
                <w:color w:val="000000"/>
                <w:sz w:val="20"/>
              </w:rPr>
              <w:br/>
              <w:t xml:space="preserve"> - Áp dụng kỹ thuật so màu (colormetric measurement), phát hiện sự thay đổi màu của môi trường (Liquid Emulsion Sensor) xảy ra do CO2 tạo ra từ sự phát triển vi sinh vật.</w:t>
            </w:r>
            <w:r w:rsidRPr="007E4DD6">
              <w:rPr>
                <w:color w:val="000000"/>
                <w:sz w:val="20"/>
              </w:rPr>
              <w:br/>
              <w:t xml:space="preserve"> - Chai môi trường sẵn sàng sử dụng ngay. Bảo quản chai môi trường thẳng đứng ở nhiệt độ phòng (15-30°C), tránh ánh sáng. </w:t>
            </w:r>
            <w:r w:rsidRPr="007E4DD6">
              <w:rPr>
                <w:color w:val="000000"/>
                <w:sz w:val="20"/>
              </w:rPr>
              <w:br/>
              <w:t xml:space="preserve"> - Tiêu chuẩn chất lượng: ISO 9001/ ISO 13485/ CE, FDA</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55.2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Chai nhựa cấy máu kỵ khí người lớn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Thùng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 Chai cấy máu kỵ khí chứa môi trường, được sử dụng cùng với hệ thống phát hiện vi khuẩn trong qui trình để tăng cường phục hồi và phát hiện các vi sinh vật kỵ khí từ máu và các dịch vô khuẩn khác trong cơ thể.</w:t>
            </w:r>
            <w:r w:rsidRPr="007E4DD6">
              <w:rPr>
                <w:color w:val="000000"/>
                <w:sz w:val="20"/>
              </w:rPr>
              <w:br/>
              <w:t xml:space="preserve"> - Áp dụng kỹ thuật so màu (colormetric measurement), phát hiện sự thay đổi màu của môi trường (Liquid Emulsion Sensor) xảy ra do CO2 tạo ra từ sự phát triển vi sinh vật.</w:t>
            </w:r>
            <w:r w:rsidRPr="007E4DD6">
              <w:rPr>
                <w:color w:val="000000"/>
                <w:sz w:val="20"/>
              </w:rPr>
              <w:br/>
              <w:t xml:space="preserve"> - Chai môi trường sẵn sàng sử dụng ngay. Bảo quản chai môi trường thẳng đứng ở nhiệt độ phòng (15-30°C), tránh ánh sáng. </w:t>
            </w:r>
            <w:r w:rsidRPr="007E4DD6">
              <w:rPr>
                <w:color w:val="000000"/>
                <w:sz w:val="20"/>
              </w:rPr>
              <w:br/>
              <w:t xml:space="preserve"> - Tiêu chuẩn chất lượng: ISO 9001/ ISO 13485/ CE, FDA</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ỐNG NGHIỆM VÀ VẬT TƯ TIÊU HAO</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Serum 4.0 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w:t>
            </w:r>
            <w:r w:rsidRPr="007E4DD6">
              <w:rPr>
                <w:color w:val="000000"/>
                <w:sz w:val="20"/>
              </w:rPr>
              <w:br/>
              <w:t>- Bên trong ống có chứa Clot Activator</w:t>
            </w:r>
            <w:r w:rsidRPr="007E4DD6">
              <w:rPr>
                <w:color w:val="000000"/>
                <w:sz w:val="20"/>
              </w:rPr>
              <w:br/>
              <w:t>- Kích thước 13 x 75mm</w:t>
            </w:r>
            <w:r w:rsidRPr="007E4DD6">
              <w:rPr>
                <w:color w:val="000000"/>
                <w:sz w:val="20"/>
              </w:rPr>
              <w:br/>
              <w:t>- Thể tích 4ml</w:t>
            </w:r>
            <w:r w:rsidRPr="007E4DD6">
              <w:rPr>
                <w:color w:val="000000"/>
                <w:sz w:val="20"/>
              </w:rPr>
              <w:br/>
              <w:t xml:space="preserve">- Nắp an toàn chống khí dung, được làm từ polyethylene. Nút cao su làm bằng cao su Butyl. </w:t>
            </w:r>
            <w:r w:rsidRPr="007E4DD6">
              <w:rPr>
                <w:color w:val="000000"/>
                <w:sz w:val="20"/>
              </w:rPr>
              <w:br/>
              <w:t>Đạt tiêu chuẩn ISO 13485 và FDA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276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Lithium Heparin 4.0ml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w:t>
            </w:r>
            <w:r w:rsidRPr="007E4DD6">
              <w:rPr>
                <w:color w:val="000000"/>
                <w:sz w:val="20"/>
              </w:rPr>
              <w:br/>
              <w:t>- Bên trong ống có chứa Lithium Heparin</w:t>
            </w:r>
            <w:r w:rsidRPr="007E4DD6">
              <w:rPr>
                <w:color w:val="000000"/>
                <w:sz w:val="20"/>
              </w:rPr>
              <w:br/>
              <w:t>- Kích thước 13 x 75mm</w:t>
            </w:r>
            <w:r w:rsidRPr="007E4DD6">
              <w:rPr>
                <w:color w:val="000000"/>
                <w:sz w:val="20"/>
              </w:rPr>
              <w:br/>
              <w:t>- Thể tích 4ml</w:t>
            </w:r>
            <w:r w:rsidRPr="007E4DD6">
              <w:rPr>
                <w:color w:val="000000"/>
                <w:sz w:val="20"/>
              </w:rPr>
              <w:br/>
              <w:t>- Nắp an toàn chống khí dung, được làm từ polyethylene. Nút cao su làm bằng cao su Butyl.</w:t>
            </w:r>
            <w:r w:rsidRPr="007E4DD6">
              <w:rPr>
                <w:color w:val="000000"/>
                <w:sz w:val="20"/>
              </w:rPr>
              <w:br/>
              <w:t>Đạt tiêu chuẩn ISO 13484 và FDA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Lithium Heparin 2.0ml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w:t>
            </w:r>
            <w:r w:rsidRPr="007E4DD6">
              <w:rPr>
                <w:color w:val="000000"/>
                <w:sz w:val="20"/>
              </w:rPr>
              <w:br/>
              <w:t>- Bên trong ống có chứa Lithium Heparin</w:t>
            </w:r>
            <w:r w:rsidRPr="007E4DD6">
              <w:rPr>
                <w:color w:val="000000"/>
                <w:sz w:val="20"/>
              </w:rPr>
              <w:br/>
              <w:t>- Kích thước 13 x 75mm</w:t>
            </w:r>
            <w:r w:rsidRPr="007E4DD6">
              <w:rPr>
                <w:color w:val="000000"/>
                <w:sz w:val="20"/>
              </w:rPr>
              <w:br/>
              <w:t>- Thể tích 2ml</w:t>
            </w:r>
            <w:r w:rsidRPr="007E4DD6">
              <w:rPr>
                <w:color w:val="000000"/>
                <w:sz w:val="20"/>
              </w:rPr>
              <w:br/>
              <w:t>- Nắp an toàn chống khí dung, được làm từ polyethylene. Nút cao su làm bằng cao su Butyl.</w:t>
            </w:r>
            <w:r w:rsidRPr="007E4DD6">
              <w:rPr>
                <w:color w:val="000000"/>
                <w:sz w:val="20"/>
              </w:rPr>
              <w:br/>
              <w:t>Đạt tiêu chuẩn ISO 13485 và FDA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EDTA K2 2.0ml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w:t>
            </w:r>
            <w:r w:rsidRPr="007E4DD6">
              <w:rPr>
                <w:color w:val="000000"/>
                <w:sz w:val="20"/>
              </w:rPr>
              <w:br/>
              <w:t>- Bên trong ống có chứa EDTA.K2</w:t>
            </w:r>
            <w:r w:rsidRPr="007E4DD6">
              <w:rPr>
                <w:color w:val="000000"/>
                <w:sz w:val="20"/>
              </w:rPr>
              <w:br/>
              <w:t>- Kích thước 13 x 75mm</w:t>
            </w:r>
            <w:r w:rsidRPr="007E4DD6">
              <w:rPr>
                <w:color w:val="000000"/>
                <w:sz w:val="20"/>
              </w:rPr>
              <w:br/>
              <w:t>- Thể tích 2ml</w:t>
            </w:r>
            <w:r w:rsidRPr="007E4DD6">
              <w:rPr>
                <w:color w:val="000000"/>
                <w:sz w:val="20"/>
              </w:rPr>
              <w:br/>
              <w:t>- Nắp an toàn chống khí dung, được làm từ polyethylene. Nút cao su làm bằng cao su Butyl.</w:t>
            </w:r>
            <w:r w:rsidRPr="007E4DD6">
              <w:rPr>
                <w:color w:val="000000"/>
                <w:sz w:val="20"/>
              </w:rPr>
              <w:br/>
              <w:t>Đạt tiêu chuẩn ISO 13485 và FDA</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279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EDTA K2 4.0ml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2800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w:t>
            </w:r>
            <w:r w:rsidRPr="007E4DD6">
              <w:rPr>
                <w:color w:val="000000"/>
                <w:sz w:val="20"/>
              </w:rPr>
              <w:br/>
              <w:t>- Bên trong ống có chứa EDTA.K2</w:t>
            </w:r>
            <w:r w:rsidRPr="007E4DD6">
              <w:rPr>
                <w:color w:val="000000"/>
                <w:sz w:val="20"/>
              </w:rPr>
              <w:br/>
              <w:t>- Kích thước 13 x 75mm</w:t>
            </w:r>
            <w:r w:rsidRPr="007E4DD6">
              <w:rPr>
                <w:color w:val="000000"/>
                <w:sz w:val="20"/>
              </w:rPr>
              <w:br/>
              <w:t>- Thể tích 4ml</w:t>
            </w:r>
            <w:r w:rsidRPr="007E4DD6">
              <w:rPr>
                <w:color w:val="000000"/>
                <w:sz w:val="20"/>
              </w:rPr>
              <w:br/>
              <w:t>- Nắp an toàn chống khí dung, được làm từ polyethylene. Nút cao su làm bằng cao su Butyl.</w:t>
            </w:r>
            <w:r w:rsidRPr="007E4DD6">
              <w:rPr>
                <w:color w:val="000000"/>
                <w:sz w:val="20"/>
              </w:rPr>
              <w:br/>
              <w:t>Đạt tiêu chuẩn ISO 13485 và FDA</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nghiệm chân không Citrate 1.8ml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2240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Ống chứa máu được sản xuất từ nhựa PET, thành bên trong (thành đôi) làm từ nhựa PP </w:t>
            </w:r>
            <w:r w:rsidRPr="007E4DD6">
              <w:rPr>
                <w:color w:val="000000"/>
                <w:sz w:val="20"/>
              </w:rPr>
              <w:br w:type="page"/>
              <w:t>- Bên trong ống có chứa Citrate 3,2%</w:t>
            </w:r>
            <w:r w:rsidRPr="007E4DD6">
              <w:rPr>
                <w:color w:val="000000"/>
                <w:sz w:val="20"/>
              </w:rPr>
              <w:br w:type="page"/>
              <w:t>- Kích thước 13 x 75mm</w:t>
            </w:r>
            <w:r w:rsidRPr="007E4DD6">
              <w:rPr>
                <w:color w:val="000000"/>
                <w:sz w:val="20"/>
              </w:rPr>
              <w:br w:type="page"/>
              <w:t>- Thể tích 1,8ml</w:t>
            </w:r>
            <w:r w:rsidRPr="007E4DD6">
              <w:rPr>
                <w:color w:val="000000"/>
                <w:sz w:val="20"/>
              </w:rPr>
              <w:br w:type="page"/>
              <w:t>- Nắp an toàn chống khí dung, được làm từ polyethylene. Nút cao su làm bằng cao su Butyl.</w:t>
            </w:r>
            <w:r w:rsidRPr="007E4DD6">
              <w:rPr>
                <w:color w:val="000000"/>
                <w:sz w:val="20"/>
              </w:rPr>
              <w:br w:type="page"/>
              <w:t>Đạt tiêu chuẩn ISO 134854 và FDA</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Kim lấy máu chân không loại cánh bướm 22G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Chiếc</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Kim lấy mẫu chân không loại cánh bướm cỡ 22G. Đạt tiêu chuẩn ISO 13485 và FDA</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Kim lấy máu chân không loại đốc kim thông thường 22G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Chiếc</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1260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Kim lấy máu chân không loại đốc trong 22G.Đạt tiêu chuẩn ISO 13485 và FDA</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giữ kim lấy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Chiếc</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1050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giữ kim lấy mẫu để an toàn cho việc lấy mẫu bằng ống chân không. Đạt tiêu chuẩn ISO 13485 và FDA</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MÔI TRƯỜNG NUÔI CẤY VI KHUẨN VÀ CHỦNG CHUẨN</w:t>
            </w:r>
          </w:p>
        </w:tc>
      </w:tr>
      <w:tr w:rsidR="007E4DD6" w:rsidRPr="007E4DD6" w:rsidTr="00367D6F">
        <w:trPr>
          <w:trHeight w:val="13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Bộ Nhuộm Gram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Bộ nhuộm Gram dùng để thực hiện xét nghiệm nhuộm soi vi sinh vật theo phương pháp Gram. Bao gồm 04 dung dịch thuốc nhuộm thành phần là Crystal Violet, Lugol, Decolor (alcohol-acetone) và Safranine.</w:t>
            </w:r>
          </w:p>
        </w:tc>
      </w:tr>
      <w:tr w:rsidR="007E4DD6" w:rsidRPr="007E4DD6" w:rsidTr="00367D6F">
        <w:trPr>
          <w:trHeight w:val="22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285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Thạch máu - Blood agar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Đĩa thạch đổ sẵn chứa môi trường nuôi cấy và thử tính chất tan máu của hầu hết các loại vi sinh vật kể cả vi sinh vật khó mọc (trừ Haemophilus, Neisseria), không chứa các chất phụ gia hay chất bảo quản. Đáp ứng: "Yêu cầu kiểm soát chất lượng tối thiểu cho nhà sản xuất đối với môi trường nuôi cấy đổ sẵn", theo tiêu chuẩn của CLSI. Đĩa 90mm.</w:t>
            </w:r>
            <w:r w:rsidRPr="007E4DD6">
              <w:rPr>
                <w:color w:val="000000"/>
                <w:sz w:val="20"/>
              </w:rPr>
              <w:br/>
              <w:t xml:space="preserve">Bao gói bằng màng bán thấm Cellophane có tính năng chống ẩm. </w:t>
            </w:r>
            <w:r w:rsidRPr="007E4DD6">
              <w:rPr>
                <w:color w:val="000000"/>
                <w:sz w:val="20"/>
              </w:rPr>
              <w:br/>
              <w:t>Thành phần: Proteose peptone, Liver digest, Yeast extract, Sodium chloride, Defibrinated Sheep blood, Agar; pH: 7.3 ± 0.2 ở 25°C</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Thạch MC - Mac Conkey Agar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Đĩa thạch đổ sẵn chứa môi trường phân lập và phân biệt cho phát hiện các vi khuẩn Enterobacteriaceae trong các mẫu bệnh phẩm có nguồn gốc lâm sàng. Đáp ứng: "Yêu cầu kiểm soát chất lượng tối thiểu cho nhà sản xuất đối với môi trường nuôi cấy đổ sẵn", theo tiêu chuẩn của CLSI. Đĩa 90mm. </w:t>
            </w:r>
            <w:r w:rsidRPr="007E4DD6">
              <w:rPr>
                <w:color w:val="000000"/>
                <w:sz w:val="20"/>
              </w:rPr>
              <w:br/>
              <w:t>Bao gói bằng màng bán thấm Cellophane có tính năng chống ẩm  giúp đảm bảo chất lượng trong quá trình bảo quản, dễ dàng phân huỷ bảo vệ môi trường.</w:t>
            </w:r>
            <w:r w:rsidRPr="007E4DD6">
              <w:rPr>
                <w:color w:val="000000"/>
                <w:sz w:val="20"/>
              </w:rPr>
              <w:br/>
              <w:t>Thành phần: Peptone, lactose, Bile salts, Sodium chloride, Neutral red, Crystal Violet, Agar, pH: 7.1±0.2 ở 25°C</w:t>
            </w:r>
          </w:p>
        </w:tc>
      </w:tr>
      <w:tr w:rsidR="007E4DD6" w:rsidRPr="007E4DD6" w:rsidTr="00367D6F">
        <w:trPr>
          <w:trHeight w:val="178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Thạch Sabouraud</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Đĩa thạch đổ sẵn chứa môi trường có pH thấp thường dùng để nuôi cấy và phân biệt các loại nấm khác nhau, nấm mốc, nấm men. Đĩa 90mm. </w:t>
            </w:r>
            <w:r w:rsidRPr="007E4DD6">
              <w:rPr>
                <w:color w:val="000000"/>
                <w:sz w:val="20"/>
              </w:rPr>
              <w:br/>
              <w:t>Bao gói bằng màng bán thấm Cellophane có tính năng chống ẩm  giúp đảm bảo chất lượng trong quá trình bảo quản, dễ dàng phân huỷ bảo vệ môi trường.</w:t>
            </w:r>
            <w:r w:rsidRPr="007E4DD6">
              <w:rPr>
                <w:color w:val="000000"/>
                <w:sz w:val="20"/>
              </w:rPr>
              <w:br/>
              <w:t>Thành phần: Mycological peptone, Glucose (dextrose), Agar, pH:  5.6 ± 0.2  ở 25°C</w:t>
            </w:r>
          </w:p>
        </w:tc>
      </w:tr>
      <w:tr w:rsidR="007E4DD6" w:rsidRPr="007E4DD6" w:rsidTr="00367D6F">
        <w:trPr>
          <w:trHeight w:val="204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Thạch UTI (UTI Agar)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Đĩa thạch đổ sẵn màu trắng đục chứa môi trường tạo màu được sử dụng để định danh sơ bộ và phân biệt tất cả các vi sinh vật chính là nguyên nhân gây nên bệnh nhiễm trùng đường tiết niệu (UTI). Đĩa 90mm. </w:t>
            </w:r>
            <w:r w:rsidRPr="007E4DD6">
              <w:rPr>
                <w:color w:val="000000"/>
                <w:sz w:val="20"/>
              </w:rPr>
              <w:br/>
              <w:t>Bao gói bằng màng bán thấm Cellophane có tính năng chống ẩm  giúp đảm bảo chất lượng trong quá trình bảo quản, dễ dàng phân huỷ bảo vệ môi trường.</w:t>
            </w:r>
            <w:r w:rsidRPr="007E4DD6">
              <w:rPr>
                <w:color w:val="000000"/>
                <w:sz w:val="20"/>
              </w:rPr>
              <w:br/>
              <w:t>Thành phần: Peptone, Chromogenic mix, tryptophane, Agar, pH: 6.8 ±0.2 ở 25°C</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Khay thử xét nghiệm định tính phát hiện máu ẩn trong phân người</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Khay thử</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350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Dụng cụ xét nghiệm sắc ký miễn dịch, sử dụng trong phát hiện định tính máu ẩn trong mẫu phân của người, nhằm mục đích phát hiện các tình trạng chảy máu do một số rối loạn tiêu hóa như viêm ruột thừa, viêm đại tràng, polyp và ung thư đại trực tràng qua đó hỗ trợ chẩn đoán các bệnh liên quan đến đường tiêu hóa. Thành phần: Kháng thể chuột đơn dòng kháng hHb liên hợp với cộng hợp màu (nano vàng), kháng thể chuột đơn dòng kháng hHb, kháng thể dê đa dòng kháng chuột.</w:t>
            </w:r>
            <w:r w:rsidRPr="007E4DD6">
              <w:rPr>
                <w:color w:val="000000"/>
                <w:sz w:val="20"/>
              </w:rPr>
              <w:br w:type="page"/>
              <w:t>Độ nhạy: 100.00 %</w:t>
            </w:r>
            <w:r w:rsidRPr="007E4DD6">
              <w:rPr>
                <w:color w:val="000000"/>
                <w:sz w:val="20"/>
              </w:rPr>
              <w:br w:type="page"/>
              <w:t>Độ đặc hiệu: 100.00 %</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Môi trường lỏng dùng để giữ giống vi sinh vật.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nhựa chứa 3ml môi trường lỏng dùng để bảo quản lạnh sâu vi sinh vật</w:t>
            </w:r>
            <w:r w:rsidRPr="007E4DD6">
              <w:rPr>
                <w:color w:val="000000"/>
                <w:sz w:val="20"/>
              </w:rPr>
              <w:br/>
              <w:t xml:space="preserve"> Thành phần: Brain infusion solids, Beef heart infusion solids, Sodium chloride, Proteose peptone, Glucose, Disodium phosphate, Glycerol, Deion Water, pH 7.4 ± 0.2 ở 25°C</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Bộ Nhuộm Đàm</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Bộ nhuộm Ziehl Neelsen dùng để thực hiện xét nghiệm nhuộm soi. Bao gồm 03 dung dịch thuốc nhuộm thành phần là Carbol Fuchsin, Alcohol acid (Hydrochloric acid in ethanol)  và Methylene Blue.</w:t>
            </w:r>
          </w:p>
        </w:tc>
      </w:tr>
      <w:tr w:rsidR="007E4DD6" w:rsidRPr="007E4DD6" w:rsidTr="00367D6F">
        <w:trPr>
          <w:trHeight w:val="112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292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Lugol</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Chai</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Thực hiện nhuộm soi xét nghiệm vi sinh vật từ mẫu nuôi cấy hoặc mẫu bệnh phẩm theo phương pháp nhuộm Gram.</w:t>
            </w:r>
            <w:r w:rsidRPr="007E4DD6">
              <w:rPr>
                <w:color w:val="000000"/>
                <w:sz w:val="20"/>
              </w:rPr>
              <w:br/>
              <w:t xml:space="preserve"> - Thành phần: lodine, Potasium iodine, Demineralized Water</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Clotest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Ống</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980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Ống nhựa có nắp nhấn kín chứa 0,3ml môi trường thạch dùng để kiểm tra nhanh sự hiện diện của Helicobacter pylori trong mẫu bệnh phẩm hoặc trên môi trường nuôi cấy.</w:t>
            </w:r>
            <w:r w:rsidRPr="007E4DD6">
              <w:rPr>
                <w:color w:val="000000"/>
                <w:sz w:val="20"/>
              </w:rPr>
              <w:br/>
              <w:t>Thành phần: Urea, Phenol red, Agar, Na2HPO4, KH2PO4, pH 6.8 ± 0.2 ở 25°C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Enterobacter hormaechei derived from ATCC® 700323™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Stenotrophomonas maltophilia derived from ATCC® 17666™</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Enterococcus casseliflavus derived from ATCC® 700327™</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Staphylococcus saprophyticus derived from ATCC® BAA-750™</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79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Escherichia coli derived from ATCC® 25922™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299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Pseudomonas aeruginosa derived from ATCC® 27853™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Enterococcus faecalis derived from ATCC® 29212™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Chất thử thí nghiệm: Staphylococcus aureus subsp. aureus derived from ATCC® 29213™</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Bộ</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Chủng chuẩn cho xét nghiệm định danh kháng sinh đồ</w:t>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83</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NƯỚC TIỂU URIT-500C HOẶC TƯƠNG ĐƯƠNG</w:t>
            </w:r>
          </w:p>
        </w:tc>
      </w:tr>
      <w:tr w:rsidR="007E4DD6" w:rsidRPr="007E4DD6" w:rsidTr="00367D6F">
        <w:trPr>
          <w:trHeight w:val="484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302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83.1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Que nước tiểu 11 thông số</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Lọ</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Đo được 11 thông số nước tiểu bao gồm:  Leukocytes, Ketone, Nitrite,  Urobilinogen, Bilirubin, Protein, Glucose, Specific Gravity, Blood, pH, Ascorbic Acid. </w:t>
            </w:r>
            <w:r w:rsidRPr="007E4DD6">
              <w:rPr>
                <w:color w:val="000000"/>
                <w:sz w:val="20"/>
              </w:rPr>
              <w:br w:type="page"/>
              <w:t xml:space="preserve">Thành phần: </w:t>
            </w:r>
            <w:r w:rsidRPr="007E4DD6">
              <w:rPr>
                <w:color w:val="000000"/>
                <w:sz w:val="20"/>
              </w:rPr>
              <w:br w:type="page"/>
              <w:t>Leukocytes</w:t>
            </w:r>
            <w:r w:rsidRPr="007E4DD6">
              <w:rPr>
                <w:rFonts w:eastAsia="MS Gothic"/>
                <w:color w:val="000000"/>
                <w:sz w:val="20"/>
              </w:rPr>
              <w:t>：</w:t>
            </w:r>
            <w:r w:rsidRPr="007E4DD6">
              <w:rPr>
                <w:color w:val="000000"/>
                <w:sz w:val="20"/>
              </w:rPr>
              <w:t xml:space="preserve"> indoxyl ester 1.4mg; diazonium salt 0.7mg.</w:t>
            </w:r>
            <w:r w:rsidRPr="007E4DD6">
              <w:rPr>
                <w:color w:val="000000"/>
                <w:sz w:val="20"/>
              </w:rPr>
              <w:br w:type="page"/>
              <w:t>Ketones</w:t>
            </w:r>
            <w:r w:rsidRPr="007E4DD6">
              <w:rPr>
                <w:rFonts w:eastAsia="MS Gothic"/>
                <w:color w:val="000000"/>
                <w:sz w:val="20"/>
              </w:rPr>
              <w:t>：</w:t>
            </w:r>
            <w:r w:rsidRPr="007E4DD6">
              <w:rPr>
                <w:color w:val="000000"/>
                <w:sz w:val="20"/>
              </w:rPr>
              <w:t xml:space="preserve"> sodium nitroprusside 30.0mg.</w:t>
            </w:r>
            <w:r w:rsidRPr="007E4DD6">
              <w:rPr>
                <w:color w:val="000000"/>
                <w:sz w:val="20"/>
              </w:rPr>
              <w:br w:type="page"/>
              <w:t>Nitrite</w:t>
            </w:r>
            <w:r w:rsidRPr="007E4DD6">
              <w:rPr>
                <w:rFonts w:eastAsia="MS Gothic"/>
                <w:color w:val="000000"/>
                <w:sz w:val="20"/>
              </w:rPr>
              <w:t>：</w:t>
            </w:r>
            <w:r w:rsidRPr="007E4DD6">
              <w:rPr>
                <w:color w:val="000000"/>
                <w:sz w:val="20"/>
              </w:rPr>
              <w:t xml:space="preserve"> sulfanilamide 0.65mg; N-(naphthyl)-ethylenediammonium dihydrochloride 0.45mg.</w:t>
            </w:r>
            <w:r w:rsidRPr="007E4DD6">
              <w:rPr>
                <w:color w:val="000000"/>
                <w:sz w:val="20"/>
              </w:rPr>
              <w:br w:type="page"/>
              <w:t>Urobilinogen</w:t>
            </w:r>
            <w:r w:rsidRPr="007E4DD6">
              <w:rPr>
                <w:rFonts w:eastAsia="MS Gothic"/>
                <w:color w:val="000000"/>
                <w:sz w:val="20"/>
              </w:rPr>
              <w:t>：</w:t>
            </w:r>
            <w:r w:rsidRPr="007E4DD6">
              <w:rPr>
                <w:color w:val="000000"/>
                <w:sz w:val="20"/>
              </w:rPr>
              <w:t xml:space="preserve"> fast blue B salt 1.2mg.</w:t>
            </w:r>
            <w:r w:rsidRPr="007E4DD6">
              <w:rPr>
                <w:color w:val="000000"/>
                <w:sz w:val="20"/>
              </w:rPr>
              <w:br w:type="page"/>
              <w:t>Bilirubin</w:t>
            </w:r>
            <w:r w:rsidRPr="007E4DD6">
              <w:rPr>
                <w:rFonts w:eastAsia="MS Gothic"/>
                <w:color w:val="000000"/>
                <w:sz w:val="20"/>
              </w:rPr>
              <w:t>：</w:t>
            </w:r>
            <w:r w:rsidRPr="007E4DD6">
              <w:rPr>
                <w:color w:val="000000"/>
                <w:sz w:val="20"/>
              </w:rPr>
              <w:t xml:space="preserve"> 2,4-dichlorobenzene diazonium 14.3mg.</w:t>
            </w:r>
            <w:r w:rsidRPr="007E4DD6">
              <w:rPr>
                <w:color w:val="000000"/>
                <w:sz w:val="20"/>
              </w:rPr>
              <w:br w:type="page"/>
              <w:t>Protein</w:t>
            </w:r>
            <w:r w:rsidRPr="007E4DD6">
              <w:rPr>
                <w:rFonts w:eastAsia="MS Gothic"/>
                <w:color w:val="000000"/>
                <w:sz w:val="20"/>
              </w:rPr>
              <w:t>：</w:t>
            </w:r>
            <w:r w:rsidRPr="007E4DD6">
              <w:rPr>
                <w:color w:val="000000"/>
                <w:sz w:val="20"/>
              </w:rPr>
              <w:t xml:space="preserve"> tetrabromphenol blue 0.36mg.</w:t>
            </w:r>
            <w:r w:rsidRPr="007E4DD6">
              <w:rPr>
                <w:color w:val="000000"/>
                <w:sz w:val="20"/>
              </w:rPr>
              <w:br w:type="page"/>
              <w:t>Glucose</w:t>
            </w:r>
            <w:r w:rsidRPr="007E4DD6">
              <w:rPr>
                <w:rFonts w:eastAsia="MS Gothic"/>
                <w:color w:val="000000"/>
                <w:sz w:val="20"/>
              </w:rPr>
              <w:t>：</w:t>
            </w:r>
            <w:r w:rsidRPr="007E4DD6">
              <w:rPr>
                <w:color w:val="000000"/>
                <w:sz w:val="20"/>
              </w:rPr>
              <w:t xml:space="preserve"> glucose oxidase 800 I.U.; peroxidase 200 P.U.; 4-aminoantipyrine 2.0mg.</w:t>
            </w:r>
            <w:r w:rsidRPr="007E4DD6">
              <w:rPr>
                <w:color w:val="000000"/>
                <w:sz w:val="20"/>
              </w:rPr>
              <w:br w:type="page"/>
              <w:t>Specific Gravity</w:t>
            </w:r>
            <w:r w:rsidRPr="007E4DD6">
              <w:rPr>
                <w:rFonts w:eastAsia="MS Gothic"/>
                <w:color w:val="000000"/>
                <w:sz w:val="20"/>
              </w:rPr>
              <w:t>：</w:t>
            </w:r>
            <w:r w:rsidRPr="007E4DD6">
              <w:rPr>
                <w:color w:val="000000"/>
                <w:sz w:val="20"/>
              </w:rPr>
              <w:t xml:space="preserve"> bromthymol blue 0.4mg.</w:t>
            </w:r>
            <w:r w:rsidRPr="007E4DD6">
              <w:rPr>
                <w:color w:val="000000"/>
                <w:sz w:val="20"/>
              </w:rPr>
              <w:br w:type="page"/>
              <w:t>Blood</w:t>
            </w:r>
            <w:r w:rsidRPr="007E4DD6">
              <w:rPr>
                <w:rFonts w:eastAsia="MS Gothic"/>
                <w:color w:val="000000"/>
                <w:sz w:val="20"/>
              </w:rPr>
              <w:t>：</w:t>
            </w:r>
            <w:r w:rsidRPr="007E4DD6">
              <w:rPr>
                <w:color w:val="000000"/>
                <w:sz w:val="20"/>
              </w:rPr>
              <w:t xml:space="preserve"> cumene hydroperoxide 35.2mg, 3,3',5,5'-Tetramethylbenzidine 15.0mg.</w:t>
            </w:r>
            <w:r w:rsidRPr="007E4DD6">
              <w:rPr>
                <w:color w:val="000000"/>
                <w:sz w:val="20"/>
              </w:rPr>
              <w:br w:type="page"/>
              <w:t>pH</w:t>
            </w:r>
            <w:r w:rsidRPr="007E4DD6">
              <w:rPr>
                <w:rFonts w:eastAsia="MS Gothic"/>
                <w:color w:val="000000"/>
                <w:sz w:val="20"/>
              </w:rPr>
              <w:t>：</w:t>
            </w:r>
            <w:r w:rsidRPr="007E4DD6">
              <w:rPr>
                <w:color w:val="000000"/>
                <w:sz w:val="20"/>
              </w:rPr>
              <w:t xml:space="preserve"> bromxylenol blue 3.3mg; bromocresol green 0.2mg.</w:t>
            </w:r>
            <w:r w:rsidRPr="007E4DD6">
              <w:rPr>
                <w:color w:val="000000"/>
                <w:sz w:val="20"/>
              </w:rPr>
              <w:br w:type="page"/>
              <w:t>Ascorbic Acid: 2,6-dichloro-phenol-indophenol 0.5mg</w:t>
            </w:r>
            <w:r w:rsidRPr="007E4DD6">
              <w:rPr>
                <w:color w:val="000000"/>
                <w:sz w:val="20"/>
              </w:rPr>
              <w:br w:type="page"/>
            </w:r>
          </w:p>
        </w:tc>
      </w:tr>
      <w:tr w:rsidR="007E4DD6" w:rsidRPr="007E4DD6" w:rsidTr="00367D6F">
        <w:trPr>
          <w:trHeight w:val="30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 </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w:t>
            </w:r>
          </w:p>
        </w:tc>
        <w:tc>
          <w:tcPr>
            <w:tcW w:w="8677" w:type="dxa"/>
            <w:gridSpan w:val="4"/>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left"/>
              <w:rPr>
                <w:b/>
                <w:bCs/>
                <w:color w:val="000000"/>
                <w:sz w:val="20"/>
              </w:rPr>
            </w:pPr>
            <w:r w:rsidRPr="007E4DD6">
              <w:rPr>
                <w:b/>
                <w:bCs/>
                <w:color w:val="000000"/>
                <w:sz w:val="20"/>
              </w:rPr>
              <w:t>HÓA CHẤT MÁY XÉT NGHIỆM ĐÔNG MÁU THROMBOLYZER COMPACT X HOẶC TƯƠNG ĐƯƠNG</w:t>
            </w:r>
          </w:p>
        </w:tc>
      </w:tr>
      <w:tr w:rsidR="007E4DD6" w:rsidRPr="007E4DD6" w:rsidTr="00367D6F">
        <w:trPr>
          <w:trHeight w:val="280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đo thời gian PT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Thuốc thử được dùng để xác định thời gian prothrombin (PT) (INR) trong huyết tương người</w:t>
            </w:r>
            <w:r w:rsidRPr="007E4DD6">
              <w:rPr>
                <w:color w:val="000000"/>
                <w:sz w:val="20"/>
              </w:rPr>
              <w:br/>
              <w:t>- Thành phần bao gồm:</w:t>
            </w:r>
            <w:r w:rsidRPr="007E4DD6">
              <w:rPr>
                <w:color w:val="000000"/>
                <w:sz w:val="20"/>
              </w:rPr>
              <w:br/>
              <w:t xml:space="preserve">+ Thromboplastin đông khô từ mô não thỏ </w:t>
            </w:r>
            <w:r w:rsidRPr="007E4DD6">
              <w:rPr>
                <w:color w:val="000000"/>
                <w:sz w:val="20"/>
              </w:rPr>
              <w:br/>
              <w:t xml:space="preserve">+ Chất pha loãng </w:t>
            </w:r>
            <w:r w:rsidRPr="007E4DD6">
              <w:rPr>
                <w:color w:val="000000"/>
                <w:sz w:val="20"/>
              </w:rPr>
              <w:br/>
              <w:t>Độ lặp lại (between run) với QC nồng độ 1: CV% 1.9, với QC nồng độ 2: CV% 3.3, với QC nồng độ 3: CV% 2.8</w:t>
            </w:r>
            <w:r w:rsidRPr="007E4DD6">
              <w:rPr>
                <w:color w:val="000000"/>
                <w:sz w:val="20"/>
              </w:rPr>
              <w:br/>
              <w:t>Không nhiễu với: Triglycerides: &lt;731 mg/dL</w:t>
            </w:r>
            <w:r w:rsidRPr="007E4DD6">
              <w:rPr>
                <w:color w:val="000000"/>
                <w:sz w:val="20"/>
              </w:rPr>
              <w:br/>
              <w:t xml:space="preserve">Độ ổn định sau khi mở nắp: </w:t>
            </w:r>
            <w:r w:rsidRPr="007E4DD6">
              <w:rPr>
                <w:color w:val="000000"/>
                <w:sz w:val="20"/>
              </w:rPr>
              <w:br/>
              <w:t>+ 7 ngày tại 2-8 °C</w:t>
            </w:r>
            <w:r w:rsidRPr="007E4DD6">
              <w:rPr>
                <w:color w:val="000000"/>
                <w:sz w:val="20"/>
              </w:rPr>
              <w:br/>
              <w:t>+ 3 ngày trên hệ thống tại 18-22 °C</w:t>
            </w:r>
          </w:p>
        </w:tc>
      </w:tr>
      <w:tr w:rsidR="007E4DD6" w:rsidRPr="007E4DD6" w:rsidTr="00367D6F">
        <w:trPr>
          <w:trHeight w:val="255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đo thời gian APTT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28</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Thuốc thử được dùng để xác định thời gian thromboplastin hoạt hóa từng phần (APTT) trong huyết tương người</w:t>
            </w:r>
            <w:r w:rsidRPr="007E4DD6">
              <w:rPr>
                <w:color w:val="000000"/>
                <w:sz w:val="20"/>
              </w:rPr>
              <w:br/>
              <w:t>- Thành phần bao gồm cephalin từ mô não thỏ và kaolin hoạt hóa, Calcium Chlorid H7</w:t>
            </w:r>
            <w:r w:rsidRPr="007E4DD6">
              <w:rPr>
                <w:color w:val="000000"/>
                <w:sz w:val="20"/>
              </w:rPr>
              <w:br/>
              <w:t>Độ lặp lại (between run) với QC nồng độ 1: CV% 2.5, với QC nồng độ 2: CV% 4.3, với QC nồng độ 3: CV% 3.2</w:t>
            </w:r>
            <w:r w:rsidRPr="007E4DD6">
              <w:rPr>
                <w:color w:val="000000"/>
                <w:sz w:val="20"/>
              </w:rPr>
              <w:br/>
              <w:t>Không nhiễu với: Triglycerides: &lt;731 mg/dL</w:t>
            </w:r>
            <w:r w:rsidRPr="007E4DD6">
              <w:rPr>
                <w:color w:val="000000"/>
                <w:sz w:val="20"/>
              </w:rPr>
              <w:br/>
              <w:t>Độ ổn định sau khi mở nắp:</w:t>
            </w:r>
            <w:r w:rsidRPr="007E4DD6">
              <w:rPr>
                <w:color w:val="000000"/>
                <w:sz w:val="20"/>
              </w:rPr>
              <w:br/>
              <w:t xml:space="preserve">+ 30 ngày tại 2-8°C </w:t>
            </w:r>
            <w:r w:rsidRPr="007E4DD6">
              <w:rPr>
                <w:color w:val="000000"/>
                <w:sz w:val="20"/>
              </w:rPr>
              <w:br/>
              <w:t xml:space="preserve">+ 10 ngày trên hệ thống tại 18-22 °C </w:t>
            </w:r>
          </w:p>
        </w:tc>
      </w:tr>
      <w:tr w:rsidR="007E4DD6" w:rsidRPr="007E4DD6" w:rsidTr="00367D6F">
        <w:trPr>
          <w:trHeight w:val="229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định lượng Fibrinogen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14</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Thuốc thử dùng để chẩn đoán in vitro Fibrinogen theo phương pháp Clauss</w:t>
            </w:r>
            <w:r w:rsidRPr="007E4DD6">
              <w:rPr>
                <w:color w:val="000000"/>
                <w:sz w:val="20"/>
              </w:rPr>
              <w:br/>
              <w:t>- Thành phần bao gồm Thrombin đông khô có nguồn gốc động vật</w:t>
            </w:r>
            <w:r w:rsidRPr="007E4DD6">
              <w:rPr>
                <w:color w:val="000000"/>
                <w:sz w:val="20"/>
              </w:rPr>
              <w:br/>
              <w:t>Độ lặp lại (between run) với QC nồng độ thường: CV% 2.3, với QC nồng độ cao: CV% 3.4</w:t>
            </w:r>
            <w:r w:rsidRPr="007E4DD6">
              <w:rPr>
                <w:color w:val="000000"/>
                <w:sz w:val="20"/>
              </w:rPr>
              <w:br/>
              <w:t>Không nhiễu với: Triglycerides: &lt;731 mg/dL</w:t>
            </w:r>
            <w:r w:rsidRPr="007E4DD6">
              <w:rPr>
                <w:color w:val="000000"/>
                <w:sz w:val="20"/>
              </w:rPr>
              <w:br/>
              <w:t xml:space="preserve">Độ ổn định sau khi mở nắp: </w:t>
            </w:r>
            <w:r w:rsidRPr="007E4DD6">
              <w:rPr>
                <w:color w:val="000000"/>
                <w:sz w:val="20"/>
              </w:rPr>
              <w:br/>
              <w:t xml:space="preserve">+ 7 ngày tại 2-8°C </w:t>
            </w:r>
            <w:r w:rsidRPr="007E4DD6">
              <w:rPr>
                <w:color w:val="000000"/>
                <w:sz w:val="20"/>
              </w:rPr>
              <w:br/>
              <w:t>+1 ngày trên hệ thống tại 18-22 °C</w:t>
            </w:r>
          </w:p>
        </w:tc>
      </w:tr>
      <w:tr w:rsidR="007E4DD6" w:rsidRPr="007E4DD6" w:rsidTr="00367D6F">
        <w:trPr>
          <w:trHeight w:val="280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306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định lượng D-Dimer</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 Mục đích sử dụng: Thuốc thử dùng để định lượng D-Dimer trong huyết tương người </w:t>
            </w:r>
            <w:r w:rsidRPr="007E4DD6">
              <w:rPr>
                <w:color w:val="000000"/>
                <w:sz w:val="20"/>
              </w:rPr>
              <w:br/>
              <w:t xml:space="preserve">- Thuốc thử dạng latex gồm các hạt polystyrene được bao phủ bằng kháng thể đơn dòng </w:t>
            </w:r>
            <w:r w:rsidRPr="007E4DD6">
              <w:rPr>
                <w:color w:val="000000"/>
                <w:sz w:val="20"/>
              </w:rPr>
              <w:br/>
              <w:t>Độ lặp lại (between run) với QC nồng độ 1: CV% 1.1, với QC nồng độ 2: CV% 2.2</w:t>
            </w:r>
            <w:r w:rsidRPr="007E4DD6">
              <w:rPr>
                <w:color w:val="000000"/>
                <w:sz w:val="20"/>
              </w:rPr>
              <w:br/>
              <w:t>Bước sóng: 400-800 nm</w:t>
            </w:r>
            <w:r w:rsidRPr="007E4DD6">
              <w:rPr>
                <w:color w:val="000000"/>
                <w:sz w:val="20"/>
              </w:rPr>
              <w:br/>
              <w:t>Độ ổn định sau khi mở nắp đối với Hóa chất đệm, hóa chất latex, hóa chất pha loãng</w:t>
            </w:r>
            <w:r w:rsidRPr="007E4DD6">
              <w:rPr>
                <w:color w:val="000000"/>
                <w:sz w:val="20"/>
              </w:rPr>
              <w:br/>
              <w:t xml:space="preserve">+ 8 tuần tại 2-8 °C </w:t>
            </w:r>
            <w:r w:rsidRPr="007E4DD6">
              <w:rPr>
                <w:color w:val="000000"/>
                <w:sz w:val="20"/>
              </w:rPr>
              <w:br/>
              <w:t xml:space="preserve">+ 2 tuần tại 15-25 °C </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307</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84.5</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hiệu chuẩn PT</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hiệu chuẩn các xét nghiệm xác định Thời gian Prothrombin (%, INR)</w:t>
            </w:r>
            <w:r w:rsidRPr="007E4DD6">
              <w:rPr>
                <w:color w:val="000000"/>
                <w:sz w:val="20"/>
              </w:rPr>
              <w:br w:type="page"/>
              <w:t>- Thành phần: Huyết tương người đông khô (citrated)</w:t>
            </w:r>
            <w:r w:rsidRPr="007E4DD6">
              <w:rPr>
                <w:color w:val="000000"/>
                <w:sz w:val="20"/>
              </w:rPr>
              <w:br w:type="page"/>
              <w:t>Độ ổn định sau khi mở nắp: 4 giờ tại 2-25 °C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308</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84.6</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hiệu chuẩn xét nghiệm đông máu</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để hiệu chuẩn các xét nghiệm đông máu</w:t>
            </w:r>
            <w:r w:rsidRPr="007E4DD6">
              <w:rPr>
                <w:color w:val="000000"/>
                <w:sz w:val="20"/>
              </w:rPr>
              <w:br/>
              <w:t xml:space="preserve">- Thành phần: Huyết tương người đông khô </w:t>
            </w:r>
            <w:r w:rsidRPr="007E4DD6">
              <w:rPr>
                <w:color w:val="000000"/>
                <w:sz w:val="20"/>
              </w:rPr>
              <w:br/>
              <w:t>Độ ổn định sau khi mở nắp: 4 giờ tại 2-25 °C</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309</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84.7</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nội kiểm mức 1</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dùng để kiểm chuẩn các xét nghiệm đông máu (PT, APTT, Fibrinogen, Thrombin, Factor II, Factor V, Factor VII, Factor VIII, Factor IX, Factor X, Factor XI, Factor XII)</w:t>
            </w:r>
            <w:r w:rsidRPr="007E4DD6">
              <w:rPr>
                <w:color w:val="000000"/>
                <w:sz w:val="20"/>
              </w:rPr>
              <w:br/>
              <w:t>- Thành phần: Huyết tương người đông khô</w:t>
            </w:r>
            <w:r w:rsidRPr="007E4DD6">
              <w:rPr>
                <w:color w:val="000000"/>
                <w:sz w:val="20"/>
              </w:rPr>
              <w:br/>
              <w:t>Độ ổn định sau khi mở nắp: 10 giờ tại 2-25 °C, 5 ngày tại -20°C</w:t>
            </w:r>
          </w:p>
        </w:tc>
      </w:tr>
      <w:tr w:rsidR="007E4DD6" w:rsidRPr="007E4DD6" w:rsidTr="00367D6F">
        <w:trPr>
          <w:trHeight w:val="127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310</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84.8</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nội kiểm mức 2</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15</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dùng để kiểm chuẩn các xét nghiệm đông máu (PT, APTT, Fibrinogen, Thrombin, Factor II, Factor V, Factor VII, Factor VIII, Factor IX, Factor X, Factor XI, Factor XII)</w:t>
            </w:r>
            <w:r w:rsidRPr="007E4DD6">
              <w:rPr>
                <w:color w:val="000000"/>
                <w:sz w:val="20"/>
              </w:rPr>
              <w:br/>
              <w:t>- Thành phần: Huyết tương người đông khô</w:t>
            </w:r>
            <w:r w:rsidRPr="007E4DD6">
              <w:rPr>
                <w:color w:val="000000"/>
                <w:sz w:val="20"/>
              </w:rPr>
              <w:br/>
              <w:t>Độ ổn định sau khi mở nắp: 10 giờ tại 2-25 °C, 5 ngày tại -20°C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311</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84.9</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nội kiểm xét nghiệm D-Dimer mức thấp</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dùng để kiểm chuẩn định lượng D-Dimer bằng phương pháp miễn dịch đo độ đục của huyết tương người</w:t>
            </w:r>
            <w:r w:rsidRPr="007E4DD6">
              <w:rPr>
                <w:color w:val="000000"/>
                <w:sz w:val="20"/>
              </w:rPr>
              <w:br/>
              <w:t>- Thành phần: Huyết tương người đông khô được làm giàu với D-Dimer</w:t>
            </w:r>
            <w:r w:rsidRPr="007E4DD6">
              <w:rPr>
                <w:color w:val="000000"/>
                <w:sz w:val="20"/>
              </w:rPr>
              <w:br/>
              <w:t>Độ ổn định sau khi mở nắp: 24 giờ tại 20-25 °C, 1 tuần tại 2-8°C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312</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84.10</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nội kiểm xét nghiệm D-Dimer mức cao</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Huyết tương dùng để kiểm chuẩn định lượng D-Dimer bằng phương pháp miễn dịch đo độ đục của huyết tương người</w:t>
            </w:r>
            <w:r w:rsidRPr="007E4DD6">
              <w:rPr>
                <w:color w:val="000000"/>
                <w:sz w:val="20"/>
              </w:rPr>
              <w:br/>
              <w:t>- Thành phần: Huyết tương người đông khô được làm giàu với D-Dimer</w:t>
            </w:r>
            <w:r w:rsidRPr="007E4DD6">
              <w:rPr>
                <w:color w:val="000000"/>
                <w:sz w:val="20"/>
              </w:rPr>
              <w:br/>
              <w:t>Độ ổn định sau khi mở nắp: 24 giờ tại 20-25 °C, 1 tuần tại 2-8°C</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313</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84.11</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đệm cho xét nghiệm Fibrinogen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Dùng để pha loãng huyết tương, chất hiệu chuẩn, kiểm chuẩn trong quá trình xác định Fibrinogen (mg/dL)</w:t>
            </w:r>
            <w:r w:rsidRPr="007E4DD6">
              <w:rPr>
                <w:color w:val="000000"/>
                <w:sz w:val="20"/>
              </w:rPr>
              <w:br/>
              <w:t>- Thành phần: Hepes, pH 7.35, chất ổn định</w:t>
            </w:r>
          </w:p>
        </w:tc>
      </w:tr>
      <w:tr w:rsidR="007E4DD6" w:rsidRPr="007E4DD6" w:rsidTr="00367D6F">
        <w:trPr>
          <w:trHeight w:val="765"/>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314</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84.12</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dùng cho máy xét nghiệm đông máu để rửa hệ thống</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13</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Mục đích sử dụng: Dung dịch rửa dể làm sạch kim</w:t>
            </w:r>
            <w:r w:rsidRPr="007E4DD6">
              <w:rPr>
                <w:color w:val="000000"/>
                <w:sz w:val="20"/>
              </w:rPr>
              <w:br/>
              <w:t>- Thành phần: Dung dịch axit</w:t>
            </w:r>
            <w:r w:rsidRPr="007E4DD6">
              <w:rPr>
                <w:color w:val="000000"/>
                <w:sz w:val="20"/>
              </w:rPr>
              <w:br/>
              <w:t>- Độ ổn định: sau khi mở nắp đạt ổn định trong 6 ngày đặt trên máy</w:t>
            </w:r>
          </w:p>
        </w:tc>
      </w:tr>
      <w:tr w:rsidR="007E4DD6" w:rsidRPr="007E4DD6" w:rsidTr="00367D6F">
        <w:trPr>
          <w:trHeight w:val="102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315</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84.13</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Hóa chất đệm Owren</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1</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Được sử dụng để pha loãng huyết tương trong quá trình xác định các yếu tố (FII, FV, FVII, FVIII, FIX, FX, FXI, FXII)</w:t>
            </w:r>
            <w:r w:rsidRPr="007E4DD6">
              <w:rPr>
                <w:color w:val="000000"/>
                <w:sz w:val="20"/>
              </w:rPr>
              <w:br/>
              <w:t xml:space="preserve">- Thành phần: đệm Barbital </w:t>
            </w:r>
            <w:r w:rsidRPr="007E4DD6">
              <w:rPr>
                <w:color w:val="000000"/>
                <w:sz w:val="20"/>
              </w:rPr>
              <w:br/>
              <w:t>- Độ ổn định sau khi mở nắp: 6 ngày ở trên hệ thống</w:t>
            </w:r>
          </w:p>
        </w:tc>
      </w:tr>
      <w:tr w:rsidR="007E4DD6" w:rsidRPr="007E4DD6" w:rsidTr="00367D6F">
        <w:trPr>
          <w:trHeight w:val="510"/>
        </w:trPr>
        <w:tc>
          <w:tcPr>
            <w:tcW w:w="595" w:type="dxa"/>
            <w:tcBorders>
              <w:top w:val="nil"/>
              <w:left w:val="single" w:sz="4" w:space="0" w:color="auto"/>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lastRenderedPageBreak/>
              <w:t>316</w:t>
            </w:r>
          </w:p>
        </w:tc>
        <w:tc>
          <w:tcPr>
            <w:tcW w:w="666"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84.14</w:t>
            </w:r>
          </w:p>
        </w:tc>
        <w:tc>
          <w:tcPr>
            <w:tcW w:w="2596"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 xml:space="preserve">Cuvet dùng cho máy xét nghiệm đông máu </w:t>
            </w:r>
          </w:p>
        </w:tc>
        <w:tc>
          <w:tcPr>
            <w:tcW w:w="778"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Hộp</w:t>
            </w:r>
          </w:p>
        </w:tc>
        <w:tc>
          <w:tcPr>
            <w:tcW w:w="714" w:type="dxa"/>
            <w:tcBorders>
              <w:top w:val="nil"/>
              <w:left w:val="nil"/>
              <w:bottom w:val="single" w:sz="4" w:space="0" w:color="auto"/>
              <w:right w:val="single" w:sz="4" w:space="0" w:color="auto"/>
            </w:tcBorders>
            <w:shd w:val="clear" w:color="auto" w:fill="auto"/>
            <w:noWrap/>
            <w:vAlign w:val="center"/>
            <w:hideMark/>
          </w:tcPr>
          <w:p w:rsidR="007E4DD6" w:rsidRPr="007E4DD6" w:rsidRDefault="007E4DD6" w:rsidP="00367D6F">
            <w:pPr>
              <w:jc w:val="center"/>
              <w:rPr>
                <w:color w:val="000000"/>
                <w:sz w:val="20"/>
              </w:rPr>
            </w:pPr>
            <w:r w:rsidRPr="007E4DD6">
              <w:rPr>
                <w:color w:val="000000"/>
                <w:sz w:val="20"/>
              </w:rPr>
              <w:t>6</w:t>
            </w:r>
          </w:p>
        </w:tc>
        <w:tc>
          <w:tcPr>
            <w:tcW w:w="4589" w:type="dxa"/>
            <w:tcBorders>
              <w:top w:val="nil"/>
              <w:left w:val="nil"/>
              <w:bottom w:val="single" w:sz="4" w:space="0" w:color="auto"/>
              <w:right w:val="single" w:sz="4" w:space="0" w:color="auto"/>
            </w:tcBorders>
            <w:shd w:val="clear" w:color="auto" w:fill="auto"/>
            <w:vAlign w:val="center"/>
            <w:hideMark/>
          </w:tcPr>
          <w:p w:rsidR="007E4DD6" w:rsidRPr="007E4DD6" w:rsidRDefault="007E4DD6" w:rsidP="00367D6F">
            <w:pPr>
              <w:jc w:val="left"/>
              <w:rPr>
                <w:color w:val="000000"/>
                <w:sz w:val="20"/>
              </w:rPr>
            </w:pPr>
            <w:r w:rsidRPr="007E4DD6">
              <w:rPr>
                <w:color w:val="000000"/>
                <w:sz w:val="20"/>
              </w:rPr>
              <w:t>Cóng đo mẫu</w:t>
            </w:r>
          </w:p>
        </w:tc>
      </w:tr>
    </w:tbl>
    <w:p w:rsidR="003D3CB2" w:rsidRPr="007E4DD6" w:rsidRDefault="003D3CB2"/>
    <w:p w:rsidR="007E4DD6" w:rsidRPr="007E4DD6" w:rsidRDefault="007E4DD6" w:rsidP="007E4DD6">
      <w:pPr>
        <w:spacing w:before="120" w:after="120" w:line="264" w:lineRule="auto"/>
        <w:rPr>
          <w:bCs/>
          <w:iCs/>
          <w:sz w:val="26"/>
          <w:szCs w:val="26"/>
          <w:lang w:val="nl-NL"/>
        </w:rPr>
      </w:pPr>
      <w:r w:rsidRPr="007E4DD6">
        <w:rPr>
          <w:b/>
          <w:i/>
          <w:sz w:val="26"/>
          <w:szCs w:val="26"/>
          <w:lang w:val="nl-NL"/>
        </w:rPr>
        <w:t>Ghi chú:</w:t>
      </w:r>
    </w:p>
    <w:p w:rsidR="007E4DD6" w:rsidRPr="007E4DD6" w:rsidRDefault="007E4DD6" w:rsidP="007E4DD6">
      <w:pPr>
        <w:spacing w:before="120" w:after="120" w:line="264" w:lineRule="auto"/>
        <w:ind w:left="284"/>
        <w:rPr>
          <w:rStyle w:val="fontstyle01"/>
          <w:rFonts w:ascii="Times New Roman" w:hAnsi="Times New Roman"/>
        </w:rPr>
      </w:pPr>
      <w:r w:rsidRPr="007E4DD6">
        <w:rPr>
          <w:rStyle w:val="fontstyle01"/>
          <w:rFonts w:ascii="Times New Roman" w:hAnsi="Times New Roman"/>
        </w:rPr>
        <w:t>- Toàn bộ các hàng hóa phải mới 100%, có nguồn gốc rõ ràng và hợp pháp; tất cả đều được kiểm nghiệm chất lượng;</w:t>
      </w:r>
    </w:p>
    <w:p w:rsidR="007E4DD6" w:rsidRPr="007E4DD6" w:rsidRDefault="007E4DD6" w:rsidP="007E4DD6">
      <w:pPr>
        <w:spacing w:before="120" w:after="120" w:line="264" w:lineRule="auto"/>
        <w:ind w:left="284"/>
        <w:rPr>
          <w:rStyle w:val="fontstyle01"/>
          <w:rFonts w:ascii="Times New Roman" w:hAnsi="Times New Roman"/>
        </w:rPr>
      </w:pPr>
      <w:r w:rsidRPr="007E4DD6">
        <w:rPr>
          <w:rStyle w:val="fontstyle01"/>
          <w:rFonts w:ascii="Times New Roman" w:hAnsi="Times New Roman"/>
        </w:rPr>
        <w:t>- Yêu cầu nhà thầu phải dịch toàn bộ tài liệu gốc sử dụng tiếng nước ngoài sang tiếng Việt Nam (nhà thầu chịu trách nhiệm về tính chính xác của bản dịch). Trường hợp Bên mời thầu phát hiện nhà thầu dịch sai, tùy mức độ, Bên mời thầu có thể loại HSDT của nhà thầu</w:t>
      </w:r>
    </w:p>
    <w:p w:rsidR="007E4DD6" w:rsidRPr="007E4DD6" w:rsidRDefault="007E4DD6" w:rsidP="007E4DD6">
      <w:pPr>
        <w:spacing w:before="120" w:after="120" w:line="264" w:lineRule="auto"/>
        <w:ind w:left="284"/>
        <w:rPr>
          <w:rStyle w:val="fontstyle01"/>
          <w:rFonts w:ascii="Times New Roman" w:hAnsi="Times New Roman"/>
        </w:rPr>
      </w:pPr>
      <w:r w:rsidRPr="007E4DD6">
        <w:rPr>
          <w:rStyle w:val="fontstyle01"/>
          <w:rFonts w:ascii="Times New Roman" w:hAnsi="Times New Roman"/>
        </w:rPr>
        <w:t>- Nhà thầu có thể chào các hàng hóa “tương đương” có mức độ đáp ứng bằng hoặc cao hơn so với yêu cầu trong E-HSMT.</w:t>
      </w:r>
    </w:p>
    <w:p w:rsidR="007E4DD6" w:rsidRPr="007E4DD6" w:rsidRDefault="007E4DD6" w:rsidP="007E4DD6">
      <w:pPr>
        <w:spacing w:before="120" w:after="120" w:line="264" w:lineRule="auto"/>
        <w:ind w:left="284"/>
        <w:rPr>
          <w:rStyle w:val="fontstyle01"/>
          <w:rFonts w:ascii="Times New Roman" w:hAnsi="Times New Roman"/>
        </w:rPr>
      </w:pPr>
      <w:r w:rsidRPr="007E4DD6">
        <w:rPr>
          <w:rStyle w:val="fontstyle01"/>
          <w:rFonts w:ascii="Times New Roman" w:hAnsi="Times New Roman"/>
        </w:rPr>
        <w:t>- “Tương đương” có nghĩa là có đặc tính kỹ thuật tương tự, có tính năng hoặc công năng sử dụng là tương đương với các hàng hóa nêu trên.</w:t>
      </w:r>
    </w:p>
    <w:p w:rsidR="007E4DD6" w:rsidRPr="007E4DD6" w:rsidRDefault="007E4DD6" w:rsidP="007E4DD6">
      <w:pPr>
        <w:spacing w:before="120" w:after="120" w:line="264" w:lineRule="auto"/>
        <w:ind w:left="284"/>
        <w:rPr>
          <w:rStyle w:val="fontstyle01"/>
          <w:rFonts w:ascii="Times New Roman" w:hAnsi="Times New Roman"/>
        </w:rPr>
      </w:pPr>
      <w:r w:rsidRPr="007E4DD6">
        <w:rPr>
          <w:rStyle w:val="fontstyle01"/>
          <w:rFonts w:ascii="Times New Roman" w:hAnsi="Times New Roman"/>
        </w:rPr>
        <w:t>- Hàng trúng thầu được mua theo nhu cầu sử dụng của đơn vị, không nhất thiết phải mua hết số lượng trúng thầu.</w:t>
      </w:r>
    </w:p>
    <w:p w:rsidR="007E4DD6" w:rsidRPr="007E4DD6" w:rsidRDefault="007E4DD6" w:rsidP="007E4DD6">
      <w:pPr>
        <w:spacing w:before="120" w:after="120" w:line="264" w:lineRule="auto"/>
        <w:ind w:left="284"/>
        <w:rPr>
          <w:rStyle w:val="fontstyle01"/>
          <w:rFonts w:ascii="Times New Roman" w:hAnsi="Times New Roman"/>
          <w:lang w:val="nl-NL"/>
        </w:rPr>
      </w:pPr>
      <w:r w:rsidRPr="007E4DD6">
        <w:rPr>
          <w:rStyle w:val="fontstyle01"/>
          <w:rFonts w:ascii="Times New Roman" w:hAnsi="Times New Roman"/>
          <w:lang w:val="nl-NL"/>
        </w:rPr>
        <w:t>- Nhãn hiệu, tên nhà sản xuất hàng hóa nêu trong E-HSMT (nếu có) chỉ mang tính tham khảo, minh họa cho yêu cầu về kỹ thuật của hàng hóa, không phải tiêu chuẩn đánh giá, nhà thầu có thể chào hàng hóa của hãng khác có thông số kỹ thuật tương đương hoặc tốt hơn các hàng hóa nêu trên về đặc tính kỹ thuật.</w:t>
      </w:r>
    </w:p>
    <w:p w:rsidR="007E4DD6" w:rsidRPr="007E4DD6" w:rsidRDefault="007E4DD6" w:rsidP="007E4DD6">
      <w:pPr>
        <w:spacing w:before="120" w:after="120" w:line="264" w:lineRule="auto"/>
        <w:ind w:firstLine="709"/>
        <w:rPr>
          <w:b/>
          <w:i/>
          <w:sz w:val="26"/>
          <w:szCs w:val="26"/>
          <w:lang w:val="nl-NL"/>
        </w:rPr>
      </w:pPr>
      <w:r w:rsidRPr="007E4DD6">
        <w:rPr>
          <w:b/>
          <w:i/>
          <w:sz w:val="26"/>
          <w:szCs w:val="26"/>
          <w:lang w:val="nl-NL"/>
        </w:rPr>
        <w:t>1.3. Các yêu cầu khác</w:t>
      </w:r>
    </w:p>
    <w:p w:rsidR="007E4DD6" w:rsidRPr="007E4DD6" w:rsidRDefault="007E4DD6" w:rsidP="007E4DD6">
      <w:pPr>
        <w:widowControl w:val="0"/>
        <w:spacing w:before="120" w:after="120" w:line="264" w:lineRule="auto"/>
        <w:ind w:firstLine="567"/>
        <w:rPr>
          <w:rStyle w:val="fontstyle01"/>
          <w:rFonts w:ascii="Times New Roman" w:hAnsi="Times New Roman"/>
        </w:rPr>
      </w:pPr>
      <w:r w:rsidRPr="007E4DD6">
        <w:rPr>
          <w:rStyle w:val="fontstyle01"/>
          <w:rFonts w:ascii="Times New Roman" w:hAnsi="Times New Roman"/>
        </w:rPr>
        <w:t>- Cam kết về thu hồi hàng hóa không đủ tiêu chuẩn chất lượng hoặc khi có quyết định của cơ quan có thẩm quyền</w:t>
      </w:r>
    </w:p>
    <w:p w:rsidR="007E4DD6" w:rsidRPr="007E4DD6" w:rsidRDefault="007E4DD6" w:rsidP="007E4DD6">
      <w:pPr>
        <w:widowControl w:val="0"/>
        <w:spacing w:before="120" w:after="120" w:line="264" w:lineRule="auto"/>
        <w:ind w:firstLine="567"/>
        <w:rPr>
          <w:i/>
          <w:sz w:val="26"/>
          <w:szCs w:val="26"/>
          <w:lang w:val="nl-NL"/>
        </w:rPr>
      </w:pPr>
      <w:r w:rsidRPr="007E4DD6">
        <w:rPr>
          <w:rStyle w:val="fontstyle01"/>
          <w:rFonts w:ascii="Times New Roman" w:hAnsi="Times New Roman"/>
        </w:rPr>
        <w:t>- Số lượng cung cấp: Số lượng hàng hoá do Nhà thầu cung cấp theo yêu cầu từng đợt của bên mua</w:t>
      </w:r>
      <w:r w:rsidRPr="007E4DD6">
        <w:rPr>
          <w:i/>
          <w:sz w:val="26"/>
          <w:szCs w:val="26"/>
          <w:lang w:val="nl-NL"/>
        </w:rPr>
        <w:t xml:space="preserve">.  </w:t>
      </w:r>
    </w:p>
    <w:p w:rsidR="007E4DD6" w:rsidRPr="007E4DD6" w:rsidRDefault="007E4DD6" w:rsidP="007E4DD6">
      <w:pPr>
        <w:widowControl w:val="0"/>
        <w:spacing w:before="120" w:after="120" w:line="264" w:lineRule="auto"/>
        <w:ind w:firstLine="567"/>
        <w:rPr>
          <w:b/>
          <w:bCs/>
          <w:i/>
          <w:sz w:val="26"/>
          <w:szCs w:val="26"/>
          <w:lang w:val="nl-NL"/>
        </w:rPr>
      </w:pPr>
      <w:r w:rsidRPr="007E4DD6">
        <w:rPr>
          <w:b/>
          <w:bCs/>
          <w:i/>
          <w:sz w:val="26"/>
          <w:szCs w:val="26"/>
          <w:lang w:val="nl-NL"/>
        </w:rPr>
        <w:t>1.4. Hướng dẫn trình bày các file trong E-HSDT đăng tải trên Hệ thống:</w:t>
      </w:r>
    </w:p>
    <w:p w:rsidR="007E4DD6" w:rsidRPr="007E4DD6" w:rsidRDefault="007E4DD6" w:rsidP="007E4DD6">
      <w:pPr>
        <w:widowControl w:val="0"/>
        <w:spacing w:before="120" w:after="120" w:line="264" w:lineRule="auto"/>
        <w:ind w:firstLine="567"/>
        <w:rPr>
          <w:iCs/>
          <w:sz w:val="26"/>
          <w:szCs w:val="26"/>
          <w:lang w:val="vi-VN"/>
        </w:rPr>
      </w:pPr>
      <w:r w:rsidRPr="007E4DD6">
        <w:rPr>
          <w:iCs/>
          <w:sz w:val="26"/>
          <w:szCs w:val="26"/>
          <w:lang w:val="vi-VN"/>
        </w:rPr>
        <w:t>Các file dữ liệu của hàng hóa đính kèm E-HSDT phải được phân chia riêng biệt theo hướng dẫn như sau:</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1. (Folder 1) Tính hợp lệ:</w:t>
      </w:r>
    </w:p>
    <w:p w:rsidR="007E4DD6" w:rsidRPr="007E4DD6" w:rsidRDefault="007E4DD6" w:rsidP="007E4DD6">
      <w:pPr>
        <w:widowControl w:val="0"/>
        <w:numPr>
          <w:ilvl w:val="0"/>
          <w:numId w:val="39"/>
        </w:numPr>
        <w:spacing w:before="120" w:after="120" w:line="264" w:lineRule="auto"/>
        <w:ind w:left="426" w:firstLine="141"/>
        <w:rPr>
          <w:iCs/>
          <w:sz w:val="26"/>
          <w:szCs w:val="26"/>
        </w:rPr>
      </w:pPr>
      <w:bookmarkStart w:id="1" w:name="_Hlk187068960"/>
      <w:r w:rsidRPr="007E4DD6">
        <w:rPr>
          <w:iCs/>
          <w:sz w:val="26"/>
          <w:szCs w:val="26"/>
        </w:rPr>
        <w:t xml:space="preserve">(File 1) </w:t>
      </w:r>
      <w:bookmarkEnd w:id="1"/>
      <w:r w:rsidRPr="007E4DD6">
        <w:rPr>
          <w:iCs/>
          <w:sz w:val="26"/>
          <w:szCs w:val="26"/>
        </w:rPr>
        <w:t>Bảo đảm dự thầu + tài liệu chứng minh tư cách hợp lệ của người ký thư bảo lãnh.</w:t>
      </w:r>
    </w:p>
    <w:p w:rsidR="007E4DD6" w:rsidRPr="007E4DD6" w:rsidRDefault="007E4DD6" w:rsidP="007E4DD6">
      <w:pPr>
        <w:widowControl w:val="0"/>
        <w:numPr>
          <w:ilvl w:val="0"/>
          <w:numId w:val="39"/>
        </w:numPr>
        <w:spacing w:before="120" w:after="120" w:line="264" w:lineRule="auto"/>
        <w:ind w:left="426" w:firstLine="141"/>
        <w:rPr>
          <w:iCs/>
          <w:sz w:val="26"/>
          <w:szCs w:val="26"/>
        </w:rPr>
      </w:pPr>
      <w:bookmarkStart w:id="2" w:name="_Hlk187068971"/>
      <w:r w:rsidRPr="007E4DD6">
        <w:rPr>
          <w:iCs/>
          <w:sz w:val="26"/>
          <w:szCs w:val="26"/>
        </w:rPr>
        <w:t xml:space="preserve">(File 2) </w:t>
      </w:r>
      <w:bookmarkEnd w:id="2"/>
      <w:r w:rsidRPr="007E4DD6">
        <w:rPr>
          <w:iCs/>
          <w:sz w:val="26"/>
          <w:szCs w:val="26"/>
        </w:rPr>
        <w:t>Giấy chứng nhận đăng ký doanh nghiệp.</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xml:space="preserve">3. (Folder 3) Kỹ thuật: </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(Folder 1): Tài liệu chung (theo yêu cầu Mục 3 Chương III):</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Các cam kết</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Bảng mô tả, so sánh đặc tính, thông số kỹ thuật.</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Bảng kê khai chi tiết hàng hóa dự thầu.</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 và các tài liệu liên quan khác (nếu có)</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lastRenderedPageBreak/>
        <w:t>Đối với hàng hóa dự thầu: nhà thầu lập các folder riêng cho từng mặt hàng hoặc các mặt hàng dự thầu có cùng hãng sản xuất hoặc cùng tài liệu pháp lý, trong mỗi folder đề nghị nhà thầu tách riêng các file tài liệu và đánh số thứ tự mặt hàng theo E-HSMT, ví dụ:</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1. (Folder STT 1):</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1) Bản kết quả phân loại thiết bị y tế</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2) Số lưu hành (bao gồm: Phiếu tiếp nhận/Phiếu thông tin hồ sơ công bố tiêu chuẩn áp dụng, giấy chứng nhận đăng ký lưu hành, giấy phép nhập khẩu v.v…)</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3) Chứng nhận chất lượng (bao gồm: ISO 13485, ISO 9001, CE, FDA…)</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4) Catalogue</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5) Datasheet</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(File 6) Instruction for Use</w:t>
      </w:r>
    </w:p>
    <w:p w:rsidR="007E4DD6" w:rsidRPr="007E4DD6" w:rsidRDefault="007E4DD6" w:rsidP="007E4DD6">
      <w:pPr>
        <w:widowControl w:val="0"/>
        <w:numPr>
          <w:ilvl w:val="0"/>
          <w:numId w:val="40"/>
        </w:numPr>
        <w:spacing w:before="120" w:after="120" w:line="264" w:lineRule="auto"/>
        <w:rPr>
          <w:iCs/>
          <w:sz w:val="26"/>
          <w:szCs w:val="26"/>
        </w:rPr>
      </w:pPr>
      <w:r w:rsidRPr="007E4DD6">
        <w:rPr>
          <w:iCs/>
          <w:sz w:val="26"/>
          <w:szCs w:val="26"/>
        </w:rPr>
        <w:t>Các tài liệu liên quan khác (nếu có)….</w:t>
      </w:r>
    </w:p>
    <w:p w:rsidR="007E4DD6" w:rsidRPr="007E4DD6" w:rsidRDefault="007E4DD6" w:rsidP="007E4DD6">
      <w:pPr>
        <w:widowControl w:val="0"/>
        <w:spacing w:before="120" w:after="120" w:line="264" w:lineRule="auto"/>
        <w:ind w:firstLine="567"/>
        <w:rPr>
          <w:iCs/>
          <w:sz w:val="26"/>
          <w:szCs w:val="26"/>
        </w:rPr>
      </w:pPr>
      <w:r w:rsidRPr="007E4DD6">
        <w:rPr>
          <w:iCs/>
          <w:sz w:val="26"/>
          <w:szCs w:val="26"/>
        </w:rPr>
        <w:t>Lưu ý: đề nghị nhà thầu tách riêng từng file tài liệu kỹ thuật (catalogue/Tài liệu kỹ thuật), không gộp chung tất cả tài liệu kỹ thuật vào 1 file. Yêu cầu đặt tên file đúng theo tên tài liệu dùng để tham chiếu trong Bảng chào đáp ứng kỹ thuật và dùng công cụ đánh dấu (highlight) lên các nội dung kỹ thuật cụ thể chứng minh đặc tính, thông số kỹ thuật của hàng hóa theo yêu cầu.</w:t>
      </w:r>
    </w:p>
    <w:p w:rsidR="007E4DD6" w:rsidRDefault="007E4DD6" w:rsidP="007E4DD6">
      <w:pPr>
        <w:rPr>
          <w:iCs/>
          <w:sz w:val="26"/>
          <w:szCs w:val="26"/>
        </w:rPr>
      </w:pPr>
      <w:r w:rsidRPr="007E4DD6">
        <w:rPr>
          <w:iCs/>
          <w:sz w:val="26"/>
          <w:szCs w:val="26"/>
          <w:lang w:val="nl-NL"/>
        </w:rPr>
        <w:t xml:space="preserve">2. </w:t>
      </w:r>
      <w:r w:rsidRPr="007E4DD6">
        <w:rPr>
          <w:iCs/>
          <w:sz w:val="26"/>
          <w:szCs w:val="26"/>
        </w:rPr>
        <w:t>(Folder STT 2): Trình bày tương tự như trên.</w:t>
      </w:r>
    </w:p>
    <w:p w:rsidR="004A4D24" w:rsidRPr="00180F17" w:rsidRDefault="004A4D24" w:rsidP="004A4D24">
      <w:pPr>
        <w:pStyle w:val="SectionVIHeader"/>
        <w:spacing w:after="120" w:line="264" w:lineRule="auto"/>
        <w:ind w:firstLine="709"/>
        <w:jc w:val="left"/>
        <w:rPr>
          <w:sz w:val="28"/>
          <w:szCs w:val="28"/>
          <w:lang w:val="nl-NL"/>
        </w:rPr>
      </w:pPr>
      <w:r w:rsidRPr="00180F17">
        <w:rPr>
          <w:sz w:val="28"/>
          <w:szCs w:val="28"/>
          <w:lang w:val="nl-NL"/>
        </w:rPr>
        <w:t>Mục 2. Bản vẽ</w:t>
      </w:r>
      <w:r>
        <w:rPr>
          <w:sz w:val="28"/>
          <w:szCs w:val="28"/>
          <w:lang w:val="nl-NL"/>
        </w:rPr>
        <w:t>: Không áp dụng</w:t>
      </w:r>
    </w:p>
    <w:p w:rsidR="004A4D24" w:rsidRPr="00180F17" w:rsidRDefault="004A4D24" w:rsidP="004A4D24">
      <w:pPr>
        <w:pStyle w:val="SectionVIHeader"/>
        <w:widowControl w:val="0"/>
        <w:spacing w:after="120" w:line="264" w:lineRule="auto"/>
        <w:ind w:firstLine="709"/>
        <w:jc w:val="left"/>
        <w:rPr>
          <w:sz w:val="32"/>
          <w:szCs w:val="32"/>
        </w:rPr>
      </w:pPr>
      <w:r w:rsidRPr="00180F17">
        <w:rPr>
          <w:sz w:val="28"/>
        </w:rPr>
        <w:t>Mục 3. Kiểm tra và thử nghiệm</w:t>
      </w:r>
    </w:p>
    <w:p w:rsidR="004A4D24" w:rsidRPr="0085558F" w:rsidRDefault="004A4D24" w:rsidP="004A4D24">
      <w:pPr>
        <w:jc w:val="left"/>
        <w:rPr>
          <w:sz w:val="26"/>
          <w:szCs w:val="26"/>
        </w:rPr>
      </w:pPr>
      <w:r w:rsidRPr="0085558F">
        <w:rPr>
          <w:sz w:val="26"/>
          <w:szCs w:val="26"/>
        </w:rPr>
        <w:t>- Thực hiện kiểm tra và nghiệm thu hàng hóa trước khi đưa vào sử dụng. - Bất kỳ hàng hóa nào qua kiểm tra, thử nghiệm mà không phù hợp với đặc tính kỹ thuật theo hợp đồng thì CĐT có quyền từ chối và nhà thầu phải có trách nhiệm thay thế bằng hàng hóa khác hoặc tiến hành những điều chỉnh cần thiết để đáp ứng đúng các yêu cầu về đặc tính kỹ thuật. Trường hợp nhà thầu không có khả năng thay thế hay điều chỉnh các hàng hóa không phù hợp, CĐT có quyền tổ chức việc thay thế hay điều chỉnh đó nếu thấy cần thiết, mọi rủi ro và chi phí liên quan do nhà thầu chịu.</w:t>
      </w:r>
    </w:p>
    <w:p w:rsidR="004A4D24" w:rsidRPr="007E4DD6" w:rsidRDefault="004A4D24" w:rsidP="007E4DD6">
      <w:pPr>
        <w:rPr>
          <w:iCs/>
          <w:sz w:val="26"/>
          <w:szCs w:val="26"/>
        </w:rPr>
      </w:pPr>
      <w:bookmarkStart w:id="3" w:name="_GoBack"/>
      <w:bookmarkEnd w:id="3"/>
    </w:p>
    <w:p w:rsidR="007E4DD6" w:rsidRPr="007E4DD6" w:rsidRDefault="007E4DD6" w:rsidP="007E4DD6">
      <w:pPr>
        <w:rPr>
          <w:iCs/>
          <w:sz w:val="26"/>
          <w:szCs w:val="26"/>
        </w:rPr>
      </w:pPr>
    </w:p>
    <w:p w:rsidR="007E4DD6" w:rsidRPr="007E4DD6" w:rsidRDefault="007E4DD6">
      <w:pPr>
        <w:spacing w:after="200" w:line="276" w:lineRule="auto"/>
        <w:jc w:val="left"/>
        <w:rPr>
          <w:iCs/>
          <w:sz w:val="26"/>
          <w:szCs w:val="26"/>
        </w:rPr>
      </w:pPr>
      <w:r w:rsidRPr="007E4DD6">
        <w:rPr>
          <w:iCs/>
          <w:sz w:val="26"/>
          <w:szCs w:val="26"/>
        </w:rPr>
        <w:br w:type="page"/>
      </w:r>
    </w:p>
    <w:p w:rsidR="007E4DD6" w:rsidRPr="007E4DD6" w:rsidRDefault="007E4DD6" w:rsidP="007E4DD6">
      <w:pPr>
        <w:sectPr w:rsidR="007E4DD6" w:rsidRPr="007E4DD6" w:rsidSect="000E6AAD">
          <w:type w:val="nextColumn"/>
          <w:pgSz w:w="11907" w:h="16839" w:code="9"/>
          <w:pgMar w:top="590" w:right="1440" w:bottom="590" w:left="1440" w:header="708" w:footer="708" w:gutter="0"/>
          <w:cols w:space="708"/>
          <w:docGrid w:linePitch="360"/>
        </w:sectPr>
      </w:pPr>
    </w:p>
    <w:p w:rsidR="007E4DD6" w:rsidRPr="007E4DD6" w:rsidRDefault="007E4DD6" w:rsidP="007E4DD6">
      <w:pPr>
        <w:pStyle w:val="ListParagraph"/>
        <w:numPr>
          <w:ilvl w:val="0"/>
          <w:numId w:val="41"/>
        </w:numPr>
        <w:spacing w:after="200" w:line="276" w:lineRule="auto"/>
        <w:rPr>
          <w:b/>
          <w:sz w:val="26"/>
          <w:szCs w:val="26"/>
          <w:lang w:val="pl-PL"/>
        </w:rPr>
      </w:pPr>
      <w:r w:rsidRPr="007E4DD6">
        <w:rPr>
          <w:sz w:val="26"/>
          <w:szCs w:val="26"/>
        </w:rPr>
        <w:lastRenderedPageBreak/>
        <w:t>Nhà thầu kê khai đầy đủ thông tin theo bảng sau và đính kèm trong Hồ sơ dự thầu bản gốc có đại diện hợp pháp của nhà thầu ký tên và đóng dấu</w:t>
      </w:r>
    </w:p>
    <w:p w:rsidR="007E4DD6" w:rsidRPr="007E4DD6" w:rsidRDefault="007E4DD6" w:rsidP="007E4DD6">
      <w:pPr>
        <w:spacing w:after="200" w:line="276" w:lineRule="auto"/>
        <w:ind w:left="2880" w:firstLine="720"/>
        <w:rPr>
          <w:b/>
          <w:bCs/>
          <w:sz w:val="26"/>
          <w:szCs w:val="26"/>
          <w:lang w:val="vi-VN"/>
        </w:rPr>
      </w:pPr>
      <w:r w:rsidRPr="007E4DD6">
        <w:rPr>
          <w:b/>
          <w:bCs/>
          <w:sz w:val="26"/>
          <w:szCs w:val="26"/>
        </w:rPr>
        <w:t xml:space="preserve">BẢNG SỐ 1. </w:t>
      </w:r>
      <w:r w:rsidRPr="007E4DD6">
        <w:rPr>
          <w:b/>
          <w:bCs/>
          <w:sz w:val="26"/>
          <w:szCs w:val="26"/>
          <w:lang w:val="vi-VN"/>
        </w:rPr>
        <w:t>BẢNG MÔ TẢ, SO SÁNH ĐẶC TÍNH, THÔNG SỐ KỸ THUẬT</w:t>
      </w:r>
    </w:p>
    <w:tbl>
      <w:tblPr>
        <w:tblStyle w:val="TableGrid"/>
        <w:tblW w:w="14447" w:type="dxa"/>
        <w:tblInd w:w="279" w:type="dxa"/>
        <w:tblLook w:val="04A0" w:firstRow="1" w:lastRow="0" w:firstColumn="1" w:lastColumn="0" w:noHBand="0" w:noVBand="1"/>
      </w:tblPr>
      <w:tblGrid>
        <w:gridCol w:w="1885"/>
        <w:gridCol w:w="4699"/>
        <w:gridCol w:w="4243"/>
        <w:gridCol w:w="3620"/>
      </w:tblGrid>
      <w:tr w:rsidR="007E4DD6" w:rsidRPr="007E4DD6" w:rsidTr="00367D6F">
        <w:trPr>
          <w:trHeight w:val="379"/>
        </w:trPr>
        <w:tc>
          <w:tcPr>
            <w:tcW w:w="1885" w:type="dxa"/>
          </w:tcPr>
          <w:p w:rsidR="007E4DD6" w:rsidRPr="007E4DD6" w:rsidRDefault="007E4DD6" w:rsidP="00367D6F">
            <w:pPr>
              <w:pStyle w:val="ListParagraph"/>
              <w:spacing w:line="276" w:lineRule="auto"/>
              <w:ind w:left="0"/>
              <w:jc w:val="center"/>
              <w:rPr>
                <w:b/>
                <w:bCs/>
                <w:sz w:val="26"/>
                <w:szCs w:val="26"/>
              </w:rPr>
            </w:pPr>
            <w:r w:rsidRPr="007E4DD6">
              <w:rPr>
                <w:b/>
                <w:bCs/>
                <w:sz w:val="26"/>
                <w:szCs w:val="26"/>
              </w:rPr>
              <w:t>STT</w:t>
            </w:r>
          </w:p>
        </w:tc>
        <w:tc>
          <w:tcPr>
            <w:tcW w:w="4699" w:type="dxa"/>
          </w:tcPr>
          <w:p w:rsidR="007E4DD6" w:rsidRPr="007E4DD6" w:rsidRDefault="007E4DD6" w:rsidP="00367D6F">
            <w:pPr>
              <w:pStyle w:val="ListParagraph"/>
              <w:spacing w:line="276" w:lineRule="auto"/>
              <w:ind w:left="0"/>
              <w:jc w:val="center"/>
              <w:rPr>
                <w:b/>
                <w:bCs/>
                <w:sz w:val="26"/>
                <w:szCs w:val="26"/>
              </w:rPr>
            </w:pPr>
            <w:r w:rsidRPr="007E4DD6">
              <w:rPr>
                <w:b/>
                <w:bCs/>
                <w:sz w:val="26"/>
                <w:szCs w:val="26"/>
              </w:rPr>
              <w:t>Nội dung yêu cầu của E-HSMT</w:t>
            </w:r>
          </w:p>
        </w:tc>
        <w:tc>
          <w:tcPr>
            <w:tcW w:w="4243" w:type="dxa"/>
          </w:tcPr>
          <w:p w:rsidR="007E4DD6" w:rsidRPr="007E4DD6" w:rsidRDefault="007E4DD6" w:rsidP="00367D6F">
            <w:pPr>
              <w:pStyle w:val="ListParagraph"/>
              <w:spacing w:line="276" w:lineRule="auto"/>
              <w:ind w:left="0"/>
              <w:jc w:val="center"/>
              <w:rPr>
                <w:b/>
                <w:bCs/>
                <w:sz w:val="26"/>
                <w:szCs w:val="26"/>
              </w:rPr>
            </w:pPr>
            <w:r w:rsidRPr="007E4DD6">
              <w:rPr>
                <w:b/>
                <w:bCs/>
                <w:sz w:val="26"/>
                <w:szCs w:val="26"/>
              </w:rPr>
              <w:t>Nội dung E-HSDT</w:t>
            </w:r>
          </w:p>
        </w:tc>
        <w:tc>
          <w:tcPr>
            <w:tcW w:w="3620" w:type="dxa"/>
          </w:tcPr>
          <w:p w:rsidR="007E4DD6" w:rsidRPr="007E4DD6" w:rsidRDefault="007E4DD6" w:rsidP="00367D6F">
            <w:pPr>
              <w:pStyle w:val="ListParagraph"/>
              <w:spacing w:line="276" w:lineRule="auto"/>
              <w:ind w:left="0"/>
              <w:jc w:val="center"/>
              <w:rPr>
                <w:b/>
                <w:bCs/>
                <w:sz w:val="26"/>
                <w:szCs w:val="26"/>
              </w:rPr>
            </w:pPr>
            <w:r w:rsidRPr="007E4DD6">
              <w:rPr>
                <w:b/>
                <w:bCs/>
                <w:sz w:val="26"/>
                <w:szCs w:val="26"/>
              </w:rPr>
              <w:t>Tài liệu tham chiếu</w:t>
            </w:r>
          </w:p>
        </w:tc>
      </w:tr>
      <w:tr w:rsidR="007E4DD6" w:rsidRPr="007E4DD6" w:rsidTr="00367D6F">
        <w:trPr>
          <w:trHeight w:val="362"/>
        </w:trPr>
        <w:tc>
          <w:tcPr>
            <w:tcW w:w="1885" w:type="dxa"/>
            <w:vAlign w:val="center"/>
          </w:tcPr>
          <w:p w:rsidR="007E4DD6" w:rsidRPr="007E4DD6" w:rsidRDefault="007E4DD6" w:rsidP="00367D6F">
            <w:pPr>
              <w:pStyle w:val="ListParagraph"/>
              <w:spacing w:line="276" w:lineRule="auto"/>
              <w:ind w:left="0"/>
              <w:jc w:val="center"/>
              <w:rPr>
                <w:sz w:val="26"/>
                <w:szCs w:val="26"/>
              </w:rPr>
            </w:pPr>
            <w:r w:rsidRPr="007E4DD6">
              <w:rPr>
                <w:sz w:val="26"/>
                <w:szCs w:val="26"/>
              </w:rPr>
              <w:t>1</w:t>
            </w:r>
          </w:p>
        </w:tc>
        <w:tc>
          <w:tcPr>
            <w:tcW w:w="4699" w:type="dxa"/>
          </w:tcPr>
          <w:p w:rsidR="007E4DD6" w:rsidRPr="007E4DD6" w:rsidRDefault="007E4DD6" w:rsidP="00367D6F">
            <w:pPr>
              <w:pStyle w:val="ListParagraph"/>
              <w:spacing w:line="276" w:lineRule="auto"/>
              <w:ind w:left="0"/>
              <w:jc w:val="center"/>
              <w:rPr>
                <w:b/>
                <w:bCs/>
                <w:sz w:val="26"/>
                <w:szCs w:val="26"/>
                <w:lang w:val="vi-VN"/>
              </w:rPr>
            </w:pPr>
          </w:p>
        </w:tc>
        <w:tc>
          <w:tcPr>
            <w:tcW w:w="4243" w:type="dxa"/>
          </w:tcPr>
          <w:p w:rsidR="007E4DD6" w:rsidRPr="007E4DD6" w:rsidRDefault="007E4DD6" w:rsidP="00367D6F">
            <w:pPr>
              <w:pStyle w:val="ListParagraph"/>
              <w:spacing w:line="276" w:lineRule="auto"/>
              <w:ind w:left="0"/>
              <w:jc w:val="center"/>
              <w:rPr>
                <w:b/>
                <w:bCs/>
                <w:sz w:val="26"/>
                <w:szCs w:val="26"/>
                <w:lang w:val="vi-VN"/>
              </w:rPr>
            </w:pPr>
          </w:p>
        </w:tc>
        <w:tc>
          <w:tcPr>
            <w:tcW w:w="3620" w:type="dxa"/>
          </w:tcPr>
          <w:p w:rsidR="007E4DD6" w:rsidRPr="007E4DD6" w:rsidRDefault="007E4DD6" w:rsidP="00367D6F">
            <w:pPr>
              <w:pStyle w:val="ListParagraph"/>
              <w:spacing w:line="276" w:lineRule="auto"/>
              <w:ind w:left="0"/>
              <w:jc w:val="center"/>
              <w:rPr>
                <w:b/>
                <w:bCs/>
                <w:sz w:val="26"/>
                <w:szCs w:val="26"/>
                <w:lang w:val="vi-VN"/>
              </w:rPr>
            </w:pPr>
          </w:p>
        </w:tc>
      </w:tr>
      <w:tr w:rsidR="007E4DD6" w:rsidRPr="007E4DD6" w:rsidTr="00367D6F">
        <w:trPr>
          <w:trHeight w:val="362"/>
        </w:trPr>
        <w:tc>
          <w:tcPr>
            <w:tcW w:w="1885" w:type="dxa"/>
            <w:vAlign w:val="center"/>
          </w:tcPr>
          <w:p w:rsidR="007E4DD6" w:rsidRPr="007E4DD6" w:rsidRDefault="007E4DD6" w:rsidP="00367D6F">
            <w:pPr>
              <w:pStyle w:val="ListParagraph"/>
              <w:spacing w:line="276" w:lineRule="auto"/>
              <w:ind w:left="0"/>
              <w:jc w:val="center"/>
              <w:rPr>
                <w:sz w:val="26"/>
                <w:szCs w:val="26"/>
              </w:rPr>
            </w:pPr>
            <w:r w:rsidRPr="007E4DD6">
              <w:rPr>
                <w:sz w:val="26"/>
                <w:szCs w:val="26"/>
              </w:rPr>
              <w:t>2</w:t>
            </w:r>
          </w:p>
        </w:tc>
        <w:tc>
          <w:tcPr>
            <w:tcW w:w="4699" w:type="dxa"/>
          </w:tcPr>
          <w:p w:rsidR="007E4DD6" w:rsidRPr="007E4DD6" w:rsidRDefault="007E4DD6" w:rsidP="00367D6F">
            <w:pPr>
              <w:pStyle w:val="ListParagraph"/>
              <w:spacing w:line="276" w:lineRule="auto"/>
              <w:ind w:left="0"/>
              <w:jc w:val="center"/>
              <w:rPr>
                <w:b/>
                <w:bCs/>
                <w:sz w:val="26"/>
                <w:szCs w:val="26"/>
                <w:lang w:val="vi-VN"/>
              </w:rPr>
            </w:pPr>
          </w:p>
        </w:tc>
        <w:tc>
          <w:tcPr>
            <w:tcW w:w="4243" w:type="dxa"/>
          </w:tcPr>
          <w:p w:rsidR="007E4DD6" w:rsidRPr="007E4DD6" w:rsidRDefault="007E4DD6" w:rsidP="00367D6F">
            <w:pPr>
              <w:pStyle w:val="ListParagraph"/>
              <w:spacing w:line="276" w:lineRule="auto"/>
              <w:ind w:left="0"/>
              <w:jc w:val="center"/>
              <w:rPr>
                <w:b/>
                <w:bCs/>
                <w:sz w:val="26"/>
                <w:szCs w:val="26"/>
                <w:lang w:val="vi-VN"/>
              </w:rPr>
            </w:pPr>
          </w:p>
        </w:tc>
        <w:tc>
          <w:tcPr>
            <w:tcW w:w="3620" w:type="dxa"/>
          </w:tcPr>
          <w:p w:rsidR="007E4DD6" w:rsidRPr="007E4DD6" w:rsidRDefault="007E4DD6" w:rsidP="00367D6F">
            <w:pPr>
              <w:pStyle w:val="ListParagraph"/>
              <w:spacing w:line="276" w:lineRule="auto"/>
              <w:ind w:left="0"/>
              <w:jc w:val="center"/>
              <w:rPr>
                <w:b/>
                <w:bCs/>
                <w:sz w:val="26"/>
                <w:szCs w:val="26"/>
                <w:lang w:val="vi-VN"/>
              </w:rPr>
            </w:pPr>
          </w:p>
        </w:tc>
      </w:tr>
    </w:tbl>
    <w:p w:rsidR="007E4DD6" w:rsidRPr="007E4DD6" w:rsidRDefault="007E4DD6" w:rsidP="007E4DD6">
      <w:pPr>
        <w:spacing w:line="276" w:lineRule="auto"/>
        <w:ind w:firstLine="8505"/>
        <w:jc w:val="center"/>
        <w:rPr>
          <w:sz w:val="26"/>
          <w:szCs w:val="26"/>
        </w:rPr>
      </w:pPr>
      <w:r w:rsidRPr="007E4DD6">
        <w:rPr>
          <w:sz w:val="26"/>
          <w:szCs w:val="26"/>
        </w:rPr>
        <w:t>...................., ngày.........tháng..........năm 2025</w:t>
      </w:r>
    </w:p>
    <w:p w:rsidR="007E4DD6" w:rsidRPr="007E4DD6" w:rsidRDefault="007E4DD6" w:rsidP="007E4DD6">
      <w:pPr>
        <w:spacing w:line="276" w:lineRule="auto"/>
        <w:ind w:firstLine="8505"/>
        <w:jc w:val="center"/>
        <w:rPr>
          <w:b/>
          <w:bCs/>
          <w:sz w:val="26"/>
          <w:szCs w:val="26"/>
        </w:rPr>
      </w:pPr>
      <w:r w:rsidRPr="007E4DD6">
        <w:rPr>
          <w:b/>
          <w:bCs/>
          <w:sz w:val="26"/>
          <w:szCs w:val="26"/>
        </w:rPr>
        <w:t>Đại diện hợp pháp của nhà thầu</w:t>
      </w:r>
    </w:p>
    <w:p w:rsidR="007E4DD6" w:rsidRPr="007E4DD6" w:rsidRDefault="007E4DD6" w:rsidP="007E4DD6">
      <w:pPr>
        <w:spacing w:line="276" w:lineRule="auto"/>
        <w:ind w:firstLine="8505"/>
        <w:jc w:val="center"/>
        <w:rPr>
          <w:i/>
          <w:iCs/>
          <w:sz w:val="26"/>
          <w:szCs w:val="26"/>
        </w:rPr>
      </w:pPr>
      <w:r w:rsidRPr="007E4DD6">
        <w:rPr>
          <w:i/>
          <w:iCs/>
          <w:sz w:val="26"/>
          <w:szCs w:val="26"/>
        </w:rPr>
        <w:t>[Ghi tên, chức danh, ký tên và đóng dấu]</w:t>
      </w:r>
    </w:p>
    <w:p w:rsidR="007E4DD6" w:rsidRPr="007E4DD6" w:rsidRDefault="007E4DD6" w:rsidP="007E4DD6">
      <w:pPr>
        <w:pStyle w:val="ListParagraph"/>
        <w:spacing w:after="200" w:line="276" w:lineRule="auto"/>
        <w:ind w:left="1429"/>
        <w:rPr>
          <w:i/>
          <w:iCs/>
          <w:sz w:val="26"/>
          <w:szCs w:val="26"/>
          <w:lang w:val="vi-VN"/>
        </w:rPr>
      </w:pPr>
    </w:p>
    <w:p w:rsidR="007E4DD6" w:rsidRPr="007E4DD6" w:rsidRDefault="007E4DD6" w:rsidP="007E4DD6">
      <w:pPr>
        <w:spacing w:after="160" w:line="259" w:lineRule="auto"/>
        <w:jc w:val="left"/>
        <w:rPr>
          <w:sz w:val="26"/>
          <w:szCs w:val="26"/>
          <w:lang w:val="vi-VN"/>
        </w:rPr>
      </w:pPr>
      <w:r w:rsidRPr="007E4DD6">
        <w:rPr>
          <w:sz w:val="26"/>
          <w:szCs w:val="26"/>
          <w:lang w:val="vi-VN"/>
        </w:rPr>
        <w:br w:type="page"/>
      </w:r>
    </w:p>
    <w:p w:rsidR="007E4DD6" w:rsidRPr="007E4DD6" w:rsidRDefault="007E4DD6" w:rsidP="007E4DD6">
      <w:pPr>
        <w:pStyle w:val="ListParagraph"/>
        <w:numPr>
          <w:ilvl w:val="0"/>
          <w:numId w:val="41"/>
        </w:numPr>
        <w:spacing w:after="200" w:line="276" w:lineRule="auto"/>
        <w:rPr>
          <w:i/>
          <w:iCs/>
          <w:sz w:val="26"/>
          <w:szCs w:val="26"/>
          <w:lang w:val="vi-VN"/>
        </w:rPr>
      </w:pPr>
      <w:r w:rsidRPr="007E4DD6">
        <w:rPr>
          <w:sz w:val="26"/>
          <w:szCs w:val="26"/>
          <w:lang w:val="vi-VN"/>
        </w:rPr>
        <w:lastRenderedPageBreak/>
        <w:t xml:space="preserve">Nhà thầu phải cung cấp bảng dự thầu của hàng hóa (gồm file excel và bản scan có đóng dấu và chữ ký của người đại diện hợp pháp của Công ty) đầy đủ thông tin như sau: </w:t>
      </w:r>
    </w:p>
    <w:p w:rsidR="007E4DD6" w:rsidRPr="007E4DD6" w:rsidRDefault="007E4DD6" w:rsidP="007E4DD6">
      <w:pPr>
        <w:spacing w:after="200" w:line="276" w:lineRule="auto"/>
        <w:ind w:firstLine="709"/>
        <w:jc w:val="center"/>
        <w:rPr>
          <w:b/>
          <w:bCs/>
          <w:sz w:val="26"/>
          <w:szCs w:val="26"/>
          <w:lang w:val="vi-VN"/>
        </w:rPr>
      </w:pPr>
      <w:r w:rsidRPr="007E4DD6">
        <w:rPr>
          <w:b/>
          <w:bCs/>
          <w:sz w:val="26"/>
          <w:szCs w:val="26"/>
        </w:rPr>
        <w:t xml:space="preserve">BẢNG SỐ 2. </w:t>
      </w:r>
      <w:r w:rsidRPr="007E4DD6">
        <w:rPr>
          <w:b/>
          <w:bCs/>
          <w:sz w:val="26"/>
          <w:szCs w:val="26"/>
          <w:lang w:val="vi-VN"/>
        </w:rPr>
        <w:t>BẢNG KÊ KHAI CHI TIẾT HÀNG HÓA DỰ THẦU</w:t>
      </w:r>
    </w:p>
    <w:tbl>
      <w:tblPr>
        <w:tblStyle w:val="TableGrid"/>
        <w:tblW w:w="15925" w:type="dxa"/>
        <w:tblInd w:w="-714" w:type="dxa"/>
        <w:tblLayout w:type="fixed"/>
        <w:tblLook w:val="04A0" w:firstRow="1" w:lastRow="0" w:firstColumn="1" w:lastColumn="0" w:noHBand="0" w:noVBand="1"/>
      </w:tblPr>
      <w:tblGrid>
        <w:gridCol w:w="630"/>
        <w:gridCol w:w="871"/>
        <w:gridCol w:w="725"/>
        <w:gridCol w:w="726"/>
        <w:gridCol w:w="871"/>
        <w:gridCol w:w="727"/>
        <w:gridCol w:w="871"/>
        <w:gridCol w:w="726"/>
        <w:gridCol w:w="1016"/>
        <w:gridCol w:w="726"/>
        <w:gridCol w:w="870"/>
        <w:gridCol w:w="787"/>
        <w:gridCol w:w="726"/>
        <w:gridCol w:w="1016"/>
        <w:gridCol w:w="726"/>
        <w:gridCol w:w="725"/>
        <w:gridCol w:w="871"/>
        <w:gridCol w:w="726"/>
        <w:gridCol w:w="874"/>
        <w:gridCol w:w="715"/>
      </w:tblGrid>
      <w:tr w:rsidR="007E4DD6" w:rsidRPr="007E4DD6" w:rsidTr="00367D6F">
        <w:trPr>
          <w:trHeight w:val="70"/>
        </w:trPr>
        <w:tc>
          <w:tcPr>
            <w:tcW w:w="4550" w:type="dxa"/>
            <w:gridSpan w:val="6"/>
            <w:vAlign w:val="center"/>
          </w:tcPr>
          <w:p w:rsidR="007E4DD6" w:rsidRPr="007E4DD6" w:rsidRDefault="007E4DD6" w:rsidP="00367D6F">
            <w:pPr>
              <w:spacing w:line="276" w:lineRule="auto"/>
              <w:jc w:val="center"/>
              <w:rPr>
                <w:b/>
                <w:bCs/>
                <w:sz w:val="22"/>
                <w:szCs w:val="22"/>
              </w:rPr>
            </w:pPr>
            <w:r w:rsidRPr="007E4DD6">
              <w:rPr>
                <w:b/>
                <w:bCs/>
                <w:sz w:val="22"/>
                <w:szCs w:val="22"/>
              </w:rPr>
              <w:t>Yêu cầu E-HSMT</w:t>
            </w:r>
          </w:p>
        </w:tc>
        <w:tc>
          <w:tcPr>
            <w:tcW w:w="11375" w:type="dxa"/>
            <w:gridSpan w:val="14"/>
            <w:vAlign w:val="center"/>
          </w:tcPr>
          <w:p w:rsidR="007E4DD6" w:rsidRPr="007E4DD6" w:rsidRDefault="007E4DD6" w:rsidP="00367D6F">
            <w:pPr>
              <w:spacing w:line="276" w:lineRule="auto"/>
              <w:jc w:val="center"/>
              <w:rPr>
                <w:b/>
                <w:bCs/>
                <w:sz w:val="22"/>
                <w:szCs w:val="22"/>
              </w:rPr>
            </w:pPr>
            <w:r w:rsidRPr="007E4DD6">
              <w:rPr>
                <w:b/>
                <w:bCs/>
                <w:sz w:val="22"/>
                <w:szCs w:val="22"/>
              </w:rPr>
              <w:t>Đáp ứng yêu cầu trong E-HSDT</w:t>
            </w:r>
          </w:p>
        </w:tc>
      </w:tr>
      <w:tr w:rsidR="007E4DD6" w:rsidRPr="007E4DD6" w:rsidTr="00367D6F">
        <w:trPr>
          <w:trHeight w:val="1967"/>
        </w:trPr>
        <w:tc>
          <w:tcPr>
            <w:tcW w:w="630"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STT</w:t>
            </w:r>
          </w:p>
        </w:tc>
        <w:tc>
          <w:tcPr>
            <w:tcW w:w="871"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Tên phần (lô)</w:t>
            </w:r>
          </w:p>
        </w:tc>
        <w:tc>
          <w:tcPr>
            <w:tcW w:w="725"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Danh mục hàng hóa</w:t>
            </w:r>
          </w:p>
        </w:tc>
        <w:tc>
          <w:tcPr>
            <w:tcW w:w="72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Đơn vị tính</w:t>
            </w:r>
          </w:p>
        </w:tc>
        <w:tc>
          <w:tcPr>
            <w:tcW w:w="871"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Khối lượng</w:t>
            </w:r>
          </w:p>
        </w:tc>
        <w:tc>
          <w:tcPr>
            <w:tcW w:w="727"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Yêu cầu về đặc tính, thông số kỹ thuật</w:t>
            </w:r>
          </w:p>
        </w:tc>
        <w:tc>
          <w:tcPr>
            <w:tcW w:w="871"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Tên thương dự thầu</w:t>
            </w:r>
          </w:p>
        </w:tc>
        <w:tc>
          <w:tcPr>
            <w:tcW w:w="72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Quy cách đóng gói</w:t>
            </w:r>
          </w:p>
        </w:tc>
        <w:tc>
          <w:tcPr>
            <w:tcW w:w="101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Mã HS</w:t>
            </w:r>
          </w:p>
        </w:tc>
        <w:tc>
          <w:tcPr>
            <w:tcW w:w="72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Chủng loại (Model/ Ký mã hiệu)</w:t>
            </w:r>
          </w:p>
        </w:tc>
        <w:tc>
          <w:tcPr>
            <w:tcW w:w="870"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Số lưu hành hoặc số GPNK ngày cấp</w:t>
            </w:r>
          </w:p>
        </w:tc>
        <w:tc>
          <w:tcPr>
            <w:tcW w:w="787"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Phân loại TTBYT ngày cấp</w:t>
            </w:r>
          </w:p>
        </w:tc>
        <w:tc>
          <w:tcPr>
            <w:tcW w:w="72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Năm sản xuất</w:t>
            </w:r>
          </w:p>
        </w:tc>
        <w:tc>
          <w:tcPr>
            <w:tcW w:w="101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Nước sản xuất</w:t>
            </w:r>
          </w:p>
        </w:tc>
        <w:tc>
          <w:tcPr>
            <w:tcW w:w="726" w:type="dxa"/>
            <w:vAlign w:val="center"/>
          </w:tcPr>
          <w:p w:rsidR="007E4DD6" w:rsidRPr="007E4DD6" w:rsidRDefault="007E4DD6" w:rsidP="00367D6F">
            <w:pPr>
              <w:spacing w:line="276" w:lineRule="auto"/>
              <w:ind w:left="-105" w:right="-41"/>
              <w:jc w:val="center"/>
              <w:rPr>
                <w:b/>
                <w:bCs/>
                <w:sz w:val="22"/>
                <w:szCs w:val="22"/>
              </w:rPr>
            </w:pPr>
            <w:r w:rsidRPr="007E4DD6">
              <w:rPr>
                <w:b/>
                <w:bCs/>
                <w:sz w:val="22"/>
                <w:szCs w:val="22"/>
              </w:rPr>
              <w:t>Hãng sản xuất</w:t>
            </w:r>
          </w:p>
        </w:tc>
        <w:tc>
          <w:tcPr>
            <w:tcW w:w="725" w:type="dxa"/>
            <w:vAlign w:val="center"/>
          </w:tcPr>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r w:rsidRPr="007E4DD6">
              <w:rPr>
                <w:b/>
                <w:bCs/>
                <w:sz w:val="22"/>
                <w:szCs w:val="22"/>
              </w:rPr>
              <w:t>Hãng/ Nước chủ sở hữu</w:t>
            </w:r>
          </w:p>
        </w:tc>
        <w:tc>
          <w:tcPr>
            <w:tcW w:w="871" w:type="dxa"/>
            <w:vAlign w:val="center"/>
          </w:tcPr>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r w:rsidRPr="007E4DD6">
              <w:rPr>
                <w:b/>
                <w:bCs/>
                <w:sz w:val="22"/>
                <w:szCs w:val="22"/>
              </w:rPr>
              <w:t>Đơn vị tính</w:t>
            </w:r>
          </w:p>
        </w:tc>
        <w:tc>
          <w:tcPr>
            <w:tcW w:w="726" w:type="dxa"/>
            <w:vAlign w:val="center"/>
          </w:tcPr>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r w:rsidRPr="007E4DD6">
              <w:rPr>
                <w:b/>
                <w:bCs/>
                <w:sz w:val="22"/>
                <w:szCs w:val="22"/>
              </w:rPr>
              <w:t>Khối lượng dự thầu</w:t>
            </w:r>
          </w:p>
        </w:tc>
        <w:tc>
          <w:tcPr>
            <w:tcW w:w="874" w:type="dxa"/>
            <w:vAlign w:val="center"/>
          </w:tcPr>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r w:rsidRPr="007E4DD6">
              <w:rPr>
                <w:b/>
                <w:bCs/>
                <w:sz w:val="22"/>
                <w:szCs w:val="22"/>
              </w:rPr>
              <w:t>Đặc tính thông số kỹ thuật</w:t>
            </w:r>
          </w:p>
        </w:tc>
        <w:tc>
          <w:tcPr>
            <w:tcW w:w="715" w:type="dxa"/>
            <w:vAlign w:val="center"/>
          </w:tcPr>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p>
          <w:p w:rsidR="007E4DD6" w:rsidRPr="007E4DD6" w:rsidRDefault="007E4DD6" w:rsidP="00367D6F">
            <w:pPr>
              <w:spacing w:line="276" w:lineRule="auto"/>
              <w:ind w:left="-105" w:right="-41"/>
              <w:jc w:val="center"/>
              <w:rPr>
                <w:b/>
                <w:bCs/>
                <w:sz w:val="22"/>
                <w:szCs w:val="22"/>
              </w:rPr>
            </w:pPr>
            <w:r w:rsidRPr="007E4DD6">
              <w:rPr>
                <w:b/>
                <w:bCs/>
                <w:sz w:val="22"/>
                <w:szCs w:val="22"/>
              </w:rPr>
              <w:t>Đánh giá về kỹ thuật Đạt/ Không đạt</w:t>
            </w:r>
          </w:p>
        </w:tc>
      </w:tr>
      <w:tr w:rsidR="007E4DD6" w:rsidRPr="007E4DD6" w:rsidTr="00367D6F">
        <w:trPr>
          <w:trHeight w:val="299"/>
        </w:trPr>
        <w:tc>
          <w:tcPr>
            <w:tcW w:w="630" w:type="dxa"/>
          </w:tcPr>
          <w:p w:rsidR="007E4DD6" w:rsidRPr="007E4DD6" w:rsidRDefault="007E4DD6" w:rsidP="00367D6F">
            <w:pPr>
              <w:spacing w:line="276" w:lineRule="auto"/>
              <w:jc w:val="center"/>
              <w:rPr>
                <w:b/>
                <w:bCs/>
                <w:sz w:val="22"/>
                <w:szCs w:val="22"/>
              </w:rPr>
            </w:pPr>
            <w:r w:rsidRPr="007E4DD6">
              <w:rPr>
                <w:b/>
                <w:bCs/>
                <w:sz w:val="22"/>
                <w:szCs w:val="22"/>
              </w:rPr>
              <w:t>(1)</w:t>
            </w:r>
          </w:p>
        </w:tc>
        <w:tc>
          <w:tcPr>
            <w:tcW w:w="871" w:type="dxa"/>
          </w:tcPr>
          <w:p w:rsidR="007E4DD6" w:rsidRPr="007E4DD6" w:rsidRDefault="007E4DD6" w:rsidP="00367D6F">
            <w:pPr>
              <w:spacing w:line="276" w:lineRule="auto"/>
              <w:jc w:val="center"/>
              <w:rPr>
                <w:b/>
                <w:bCs/>
                <w:sz w:val="22"/>
                <w:szCs w:val="22"/>
              </w:rPr>
            </w:pPr>
            <w:r w:rsidRPr="007E4DD6">
              <w:rPr>
                <w:b/>
                <w:bCs/>
                <w:sz w:val="22"/>
                <w:szCs w:val="22"/>
              </w:rPr>
              <w:t>(2)</w:t>
            </w:r>
          </w:p>
        </w:tc>
        <w:tc>
          <w:tcPr>
            <w:tcW w:w="725" w:type="dxa"/>
          </w:tcPr>
          <w:p w:rsidR="007E4DD6" w:rsidRPr="007E4DD6" w:rsidRDefault="007E4DD6" w:rsidP="00367D6F">
            <w:pPr>
              <w:spacing w:line="276" w:lineRule="auto"/>
              <w:jc w:val="center"/>
              <w:rPr>
                <w:b/>
                <w:bCs/>
                <w:sz w:val="22"/>
                <w:szCs w:val="22"/>
              </w:rPr>
            </w:pPr>
            <w:r w:rsidRPr="007E4DD6">
              <w:rPr>
                <w:b/>
                <w:bCs/>
                <w:sz w:val="22"/>
                <w:szCs w:val="22"/>
              </w:rPr>
              <w:t>(3)</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(4)</w:t>
            </w:r>
          </w:p>
        </w:tc>
        <w:tc>
          <w:tcPr>
            <w:tcW w:w="871" w:type="dxa"/>
          </w:tcPr>
          <w:p w:rsidR="007E4DD6" w:rsidRPr="007E4DD6" w:rsidRDefault="007E4DD6" w:rsidP="00367D6F">
            <w:pPr>
              <w:spacing w:line="276" w:lineRule="auto"/>
              <w:jc w:val="center"/>
              <w:rPr>
                <w:b/>
                <w:bCs/>
                <w:sz w:val="22"/>
                <w:szCs w:val="22"/>
              </w:rPr>
            </w:pPr>
            <w:r w:rsidRPr="007E4DD6">
              <w:rPr>
                <w:b/>
                <w:bCs/>
                <w:sz w:val="22"/>
                <w:szCs w:val="22"/>
              </w:rPr>
              <w:t>(5)</w:t>
            </w:r>
          </w:p>
        </w:tc>
        <w:tc>
          <w:tcPr>
            <w:tcW w:w="727" w:type="dxa"/>
          </w:tcPr>
          <w:p w:rsidR="007E4DD6" w:rsidRPr="007E4DD6" w:rsidRDefault="007E4DD6" w:rsidP="00367D6F">
            <w:pPr>
              <w:spacing w:line="276" w:lineRule="auto"/>
              <w:jc w:val="center"/>
              <w:rPr>
                <w:b/>
                <w:bCs/>
                <w:sz w:val="22"/>
                <w:szCs w:val="22"/>
              </w:rPr>
            </w:pPr>
            <w:r w:rsidRPr="007E4DD6">
              <w:rPr>
                <w:b/>
                <w:bCs/>
                <w:sz w:val="22"/>
                <w:szCs w:val="22"/>
              </w:rPr>
              <w:t>(6)</w:t>
            </w:r>
          </w:p>
        </w:tc>
        <w:tc>
          <w:tcPr>
            <w:tcW w:w="871" w:type="dxa"/>
          </w:tcPr>
          <w:p w:rsidR="007E4DD6" w:rsidRPr="007E4DD6" w:rsidRDefault="007E4DD6" w:rsidP="00367D6F">
            <w:pPr>
              <w:spacing w:line="276" w:lineRule="auto"/>
              <w:jc w:val="center"/>
              <w:rPr>
                <w:b/>
                <w:bCs/>
                <w:sz w:val="22"/>
                <w:szCs w:val="22"/>
              </w:rPr>
            </w:pPr>
            <w:r w:rsidRPr="007E4DD6">
              <w:rPr>
                <w:b/>
                <w:bCs/>
                <w:sz w:val="22"/>
                <w:szCs w:val="22"/>
              </w:rPr>
              <w:t>(7)</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(8)</w:t>
            </w:r>
          </w:p>
        </w:tc>
        <w:tc>
          <w:tcPr>
            <w:tcW w:w="1016" w:type="dxa"/>
          </w:tcPr>
          <w:p w:rsidR="007E4DD6" w:rsidRPr="007E4DD6" w:rsidRDefault="007E4DD6" w:rsidP="00367D6F">
            <w:pPr>
              <w:spacing w:line="276" w:lineRule="auto"/>
              <w:jc w:val="center"/>
              <w:rPr>
                <w:b/>
                <w:bCs/>
                <w:sz w:val="22"/>
                <w:szCs w:val="22"/>
              </w:rPr>
            </w:pPr>
            <w:r w:rsidRPr="007E4DD6">
              <w:rPr>
                <w:b/>
                <w:bCs/>
                <w:sz w:val="22"/>
                <w:szCs w:val="22"/>
              </w:rPr>
              <w:t>(9)</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(10)</w:t>
            </w:r>
          </w:p>
        </w:tc>
        <w:tc>
          <w:tcPr>
            <w:tcW w:w="870" w:type="dxa"/>
          </w:tcPr>
          <w:p w:rsidR="007E4DD6" w:rsidRPr="007E4DD6" w:rsidRDefault="007E4DD6" w:rsidP="00367D6F">
            <w:pPr>
              <w:spacing w:line="276" w:lineRule="auto"/>
              <w:jc w:val="center"/>
              <w:rPr>
                <w:b/>
                <w:bCs/>
                <w:sz w:val="22"/>
                <w:szCs w:val="22"/>
              </w:rPr>
            </w:pPr>
            <w:r w:rsidRPr="007E4DD6">
              <w:rPr>
                <w:b/>
                <w:bCs/>
                <w:sz w:val="22"/>
                <w:szCs w:val="22"/>
              </w:rPr>
              <w:t>(11)</w:t>
            </w:r>
          </w:p>
        </w:tc>
        <w:tc>
          <w:tcPr>
            <w:tcW w:w="787" w:type="dxa"/>
          </w:tcPr>
          <w:p w:rsidR="007E4DD6" w:rsidRPr="007E4DD6" w:rsidRDefault="007E4DD6" w:rsidP="00367D6F">
            <w:pPr>
              <w:spacing w:line="276" w:lineRule="auto"/>
              <w:jc w:val="center"/>
              <w:rPr>
                <w:b/>
                <w:bCs/>
                <w:sz w:val="22"/>
                <w:szCs w:val="22"/>
              </w:rPr>
            </w:pPr>
            <w:r w:rsidRPr="007E4DD6">
              <w:rPr>
                <w:b/>
                <w:bCs/>
                <w:sz w:val="22"/>
                <w:szCs w:val="22"/>
              </w:rPr>
              <w:t>(12)</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(13)</w:t>
            </w:r>
          </w:p>
        </w:tc>
        <w:tc>
          <w:tcPr>
            <w:tcW w:w="1016" w:type="dxa"/>
          </w:tcPr>
          <w:p w:rsidR="007E4DD6" w:rsidRPr="007E4DD6" w:rsidRDefault="007E4DD6" w:rsidP="00367D6F">
            <w:pPr>
              <w:spacing w:line="276" w:lineRule="auto"/>
              <w:jc w:val="center"/>
              <w:rPr>
                <w:b/>
                <w:bCs/>
                <w:sz w:val="22"/>
                <w:szCs w:val="22"/>
              </w:rPr>
            </w:pPr>
            <w:r w:rsidRPr="007E4DD6">
              <w:rPr>
                <w:b/>
                <w:bCs/>
                <w:sz w:val="22"/>
                <w:szCs w:val="22"/>
              </w:rPr>
              <w:t>(14)</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(15)</w:t>
            </w:r>
          </w:p>
        </w:tc>
        <w:tc>
          <w:tcPr>
            <w:tcW w:w="725" w:type="dxa"/>
          </w:tcPr>
          <w:p w:rsidR="007E4DD6" w:rsidRPr="007E4DD6" w:rsidRDefault="007E4DD6" w:rsidP="00367D6F">
            <w:pPr>
              <w:spacing w:line="276" w:lineRule="auto"/>
              <w:jc w:val="center"/>
              <w:rPr>
                <w:b/>
                <w:bCs/>
                <w:sz w:val="22"/>
                <w:szCs w:val="22"/>
              </w:rPr>
            </w:pPr>
            <w:r w:rsidRPr="007E4DD6">
              <w:rPr>
                <w:b/>
                <w:bCs/>
                <w:sz w:val="22"/>
                <w:szCs w:val="22"/>
              </w:rPr>
              <w:t>(16)</w:t>
            </w:r>
          </w:p>
        </w:tc>
        <w:tc>
          <w:tcPr>
            <w:tcW w:w="871" w:type="dxa"/>
          </w:tcPr>
          <w:p w:rsidR="007E4DD6" w:rsidRPr="007E4DD6" w:rsidRDefault="007E4DD6" w:rsidP="00367D6F">
            <w:pPr>
              <w:spacing w:line="276" w:lineRule="auto"/>
              <w:jc w:val="center"/>
              <w:rPr>
                <w:b/>
                <w:bCs/>
                <w:sz w:val="22"/>
                <w:szCs w:val="22"/>
              </w:rPr>
            </w:pPr>
            <w:r w:rsidRPr="007E4DD6">
              <w:rPr>
                <w:b/>
                <w:bCs/>
                <w:sz w:val="22"/>
                <w:szCs w:val="22"/>
              </w:rPr>
              <w:t>(17)</w:t>
            </w:r>
          </w:p>
        </w:tc>
        <w:tc>
          <w:tcPr>
            <w:tcW w:w="726" w:type="dxa"/>
          </w:tcPr>
          <w:p w:rsidR="007E4DD6" w:rsidRPr="007E4DD6" w:rsidRDefault="007E4DD6" w:rsidP="00367D6F">
            <w:pPr>
              <w:spacing w:line="276" w:lineRule="auto"/>
              <w:jc w:val="center"/>
              <w:rPr>
                <w:b/>
                <w:bCs/>
                <w:sz w:val="22"/>
                <w:szCs w:val="22"/>
              </w:rPr>
            </w:pPr>
            <w:r w:rsidRPr="007E4DD6">
              <w:rPr>
                <w:b/>
                <w:bCs/>
                <w:sz w:val="22"/>
                <w:szCs w:val="22"/>
              </w:rPr>
              <w:t>(18)</w:t>
            </w:r>
          </w:p>
        </w:tc>
        <w:tc>
          <w:tcPr>
            <w:tcW w:w="874" w:type="dxa"/>
          </w:tcPr>
          <w:p w:rsidR="007E4DD6" w:rsidRPr="007E4DD6" w:rsidRDefault="007E4DD6" w:rsidP="00367D6F">
            <w:pPr>
              <w:spacing w:line="276" w:lineRule="auto"/>
              <w:jc w:val="center"/>
              <w:rPr>
                <w:b/>
                <w:bCs/>
                <w:sz w:val="22"/>
                <w:szCs w:val="22"/>
              </w:rPr>
            </w:pPr>
            <w:r w:rsidRPr="007E4DD6">
              <w:rPr>
                <w:b/>
                <w:bCs/>
                <w:sz w:val="22"/>
                <w:szCs w:val="22"/>
              </w:rPr>
              <w:t>(19)</w:t>
            </w:r>
          </w:p>
        </w:tc>
        <w:tc>
          <w:tcPr>
            <w:tcW w:w="715" w:type="dxa"/>
          </w:tcPr>
          <w:p w:rsidR="007E4DD6" w:rsidRPr="007E4DD6" w:rsidRDefault="007E4DD6" w:rsidP="00367D6F">
            <w:pPr>
              <w:spacing w:line="276" w:lineRule="auto"/>
              <w:jc w:val="center"/>
              <w:rPr>
                <w:b/>
                <w:bCs/>
                <w:sz w:val="22"/>
                <w:szCs w:val="22"/>
              </w:rPr>
            </w:pPr>
            <w:r w:rsidRPr="007E4DD6">
              <w:rPr>
                <w:b/>
                <w:bCs/>
                <w:sz w:val="22"/>
                <w:szCs w:val="22"/>
              </w:rPr>
              <w:t>(20)</w:t>
            </w:r>
          </w:p>
        </w:tc>
      </w:tr>
      <w:tr w:rsidR="007E4DD6" w:rsidRPr="007E4DD6" w:rsidTr="00367D6F">
        <w:trPr>
          <w:trHeight w:val="320"/>
        </w:trPr>
        <w:tc>
          <w:tcPr>
            <w:tcW w:w="630" w:type="dxa"/>
          </w:tcPr>
          <w:p w:rsidR="007E4DD6" w:rsidRPr="007E4DD6" w:rsidRDefault="007E4DD6" w:rsidP="00367D6F">
            <w:pPr>
              <w:spacing w:line="276" w:lineRule="auto"/>
              <w:jc w:val="center"/>
              <w:rPr>
                <w:b/>
                <w:bCs/>
                <w:sz w:val="22"/>
                <w:szCs w:val="22"/>
              </w:rPr>
            </w:pPr>
            <w:r w:rsidRPr="007E4DD6">
              <w:rPr>
                <w:b/>
                <w:bCs/>
                <w:sz w:val="22"/>
                <w:szCs w:val="22"/>
              </w:rPr>
              <w:t>....</w:t>
            </w:r>
          </w:p>
        </w:tc>
        <w:tc>
          <w:tcPr>
            <w:tcW w:w="871" w:type="dxa"/>
          </w:tcPr>
          <w:p w:rsidR="007E4DD6" w:rsidRPr="007E4DD6" w:rsidRDefault="007E4DD6" w:rsidP="00367D6F">
            <w:pPr>
              <w:spacing w:line="276" w:lineRule="auto"/>
              <w:jc w:val="center"/>
              <w:rPr>
                <w:b/>
                <w:bCs/>
                <w:sz w:val="22"/>
                <w:szCs w:val="22"/>
              </w:rPr>
            </w:pPr>
          </w:p>
        </w:tc>
        <w:tc>
          <w:tcPr>
            <w:tcW w:w="725"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871" w:type="dxa"/>
          </w:tcPr>
          <w:p w:rsidR="007E4DD6" w:rsidRPr="007E4DD6" w:rsidRDefault="007E4DD6" w:rsidP="00367D6F">
            <w:pPr>
              <w:spacing w:line="276" w:lineRule="auto"/>
              <w:jc w:val="center"/>
              <w:rPr>
                <w:b/>
                <w:bCs/>
                <w:sz w:val="22"/>
                <w:szCs w:val="22"/>
              </w:rPr>
            </w:pPr>
          </w:p>
        </w:tc>
        <w:tc>
          <w:tcPr>
            <w:tcW w:w="727" w:type="dxa"/>
          </w:tcPr>
          <w:p w:rsidR="007E4DD6" w:rsidRPr="007E4DD6" w:rsidRDefault="007E4DD6" w:rsidP="00367D6F">
            <w:pPr>
              <w:spacing w:line="276" w:lineRule="auto"/>
              <w:jc w:val="center"/>
              <w:rPr>
                <w:b/>
                <w:bCs/>
                <w:sz w:val="22"/>
                <w:szCs w:val="22"/>
              </w:rPr>
            </w:pPr>
          </w:p>
        </w:tc>
        <w:tc>
          <w:tcPr>
            <w:tcW w:w="871"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1016"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870" w:type="dxa"/>
          </w:tcPr>
          <w:p w:rsidR="007E4DD6" w:rsidRPr="007E4DD6" w:rsidRDefault="007E4DD6" w:rsidP="00367D6F">
            <w:pPr>
              <w:spacing w:line="276" w:lineRule="auto"/>
              <w:jc w:val="center"/>
              <w:rPr>
                <w:b/>
                <w:bCs/>
                <w:sz w:val="22"/>
                <w:szCs w:val="22"/>
              </w:rPr>
            </w:pPr>
          </w:p>
        </w:tc>
        <w:tc>
          <w:tcPr>
            <w:tcW w:w="787"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1016"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725" w:type="dxa"/>
          </w:tcPr>
          <w:p w:rsidR="007E4DD6" w:rsidRPr="007E4DD6" w:rsidRDefault="007E4DD6" w:rsidP="00367D6F">
            <w:pPr>
              <w:spacing w:line="276" w:lineRule="auto"/>
              <w:jc w:val="center"/>
              <w:rPr>
                <w:b/>
                <w:bCs/>
                <w:sz w:val="22"/>
                <w:szCs w:val="22"/>
              </w:rPr>
            </w:pPr>
          </w:p>
        </w:tc>
        <w:tc>
          <w:tcPr>
            <w:tcW w:w="871" w:type="dxa"/>
          </w:tcPr>
          <w:p w:rsidR="007E4DD6" w:rsidRPr="007E4DD6" w:rsidRDefault="007E4DD6" w:rsidP="00367D6F">
            <w:pPr>
              <w:spacing w:line="276" w:lineRule="auto"/>
              <w:jc w:val="center"/>
              <w:rPr>
                <w:b/>
                <w:bCs/>
                <w:sz w:val="22"/>
                <w:szCs w:val="22"/>
              </w:rPr>
            </w:pPr>
          </w:p>
        </w:tc>
        <w:tc>
          <w:tcPr>
            <w:tcW w:w="726" w:type="dxa"/>
          </w:tcPr>
          <w:p w:rsidR="007E4DD6" w:rsidRPr="007E4DD6" w:rsidRDefault="007E4DD6" w:rsidP="00367D6F">
            <w:pPr>
              <w:spacing w:line="276" w:lineRule="auto"/>
              <w:jc w:val="center"/>
              <w:rPr>
                <w:b/>
                <w:bCs/>
                <w:sz w:val="22"/>
                <w:szCs w:val="22"/>
              </w:rPr>
            </w:pPr>
          </w:p>
        </w:tc>
        <w:tc>
          <w:tcPr>
            <w:tcW w:w="874" w:type="dxa"/>
          </w:tcPr>
          <w:p w:rsidR="007E4DD6" w:rsidRPr="007E4DD6" w:rsidRDefault="007E4DD6" w:rsidP="00367D6F">
            <w:pPr>
              <w:spacing w:line="276" w:lineRule="auto"/>
              <w:jc w:val="center"/>
              <w:rPr>
                <w:b/>
                <w:bCs/>
                <w:sz w:val="22"/>
                <w:szCs w:val="22"/>
              </w:rPr>
            </w:pPr>
          </w:p>
        </w:tc>
        <w:tc>
          <w:tcPr>
            <w:tcW w:w="715" w:type="dxa"/>
          </w:tcPr>
          <w:p w:rsidR="007E4DD6" w:rsidRPr="007E4DD6" w:rsidRDefault="007E4DD6" w:rsidP="00367D6F">
            <w:pPr>
              <w:spacing w:line="276" w:lineRule="auto"/>
              <w:jc w:val="center"/>
              <w:rPr>
                <w:b/>
                <w:bCs/>
                <w:sz w:val="22"/>
                <w:szCs w:val="22"/>
              </w:rPr>
            </w:pPr>
          </w:p>
        </w:tc>
      </w:tr>
    </w:tbl>
    <w:p w:rsidR="007E4DD6" w:rsidRPr="007E4DD6" w:rsidRDefault="007E4DD6" w:rsidP="007E4DD6">
      <w:pPr>
        <w:spacing w:after="200" w:line="276" w:lineRule="auto"/>
        <w:ind w:firstLine="709"/>
        <w:jc w:val="left"/>
        <w:rPr>
          <w:sz w:val="26"/>
          <w:szCs w:val="26"/>
        </w:rPr>
      </w:pPr>
      <w:r w:rsidRPr="007E4DD6">
        <w:rPr>
          <w:sz w:val="26"/>
          <w:szCs w:val="26"/>
        </w:rPr>
        <w:t>Chúng tôi cam đoan những nội dung kê khai trên là đúng sự thật. Chúng tôi xin hoàn toàn chịu trách nhiệm về thông tin đã kê khai.</w:t>
      </w:r>
    </w:p>
    <w:p w:rsidR="007E4DD6" w:rsidRPr="007E4DD6" w:rsidRDefault="007E4DD6" w:rsidP="007E4DD6">
      <w:pPr>
        <w:spacing w:after="200" w:line="276" w:lineRule="auto"/>
        <w:ind w:firstLine="8505"/>
        <w:jc w:val="center"/>
        <w:rPr>
          <w:sz w:val="26"/>
          <w:szCs w:val="26"/>
        </w:rPr>
      </w:pPr>
      <w:r w:rsidRPr="007E4DD6">
        <w:rPr>
          <w:sz w:val="26"/>
          <w:szCs w:val="26"/>
        </w:rPr>
        <w:t>...................., ngày.........tháng..........năm 2025</w:t>
      </w:r>
    </w:p>
    <w:p w:rsidR="007E4DD6" w:rsidRPr="007E4DD6" w:rsidRDefault="007E4DD6" w:rsidP="007E4DD6">
      <w:pPr>
        <w:spacing w:after="200" w:line="276" w:lineRule="auto"/>
        <w:ind w:firstLine="8505"/>
        <w:jc w:val="center"/>
        <w:rPr>
          <w:b/>
          <w:bCs/>
          <w:sz w:val="26"/>
          <w:szCs w:val="26"/>
        </w:rPr>
      </w:pPr>
      <w:r w:rsidRPr="007E4DD6">
        <w:rPr>
          <w:b/>
          <w:bCs/>
          <w:sz w:val="26"/>
          <w:szCs w:val="26"/>
        </w:rPr>
        <w:t>Đại diện hợp pháp của nhà thầu</w:t>
      </w:r>
    </w:p>
    <w:p w:rsidR="007E4DD6" w:rsidRPr="007E4DD6" w:rsidRDefault="007E4DD6" w:rsidP="007E4DD6">
      <w:pPr>
        <w:spacing w:after="200" w:line="276" w:lineRule="auto"/>
        <w:ind w:firstLine="8505"/>
        <w:jc w:val="center"/>
        <w:rPr>
          <w:i/>
          <w:iCs/>
          <w:sz w:val="26"/>
          <w:szCs w:val="26"/>
        </w:rPr>
      </w:pPr>
      <w:r w:rsidRPr="007E4DD6">
        <w:rPr>
          <w:i/>
          <w:iCs/>
          <w:sz w:val="26"/>
          <w:szCs w:val="26"/>
        </w:rPr>
        <w:t>[Ghi tên, chức danh, ký tên và đóng dấu]</w:t>
      </w:r>
    </w:p>
    <w:p w:rsidR="007E4DD6" w:rsidRPr="007E4DD6" w:rsidRDefault="007E4DD6" w:rsidP="007E4DD6">
      <w:pPr>
        <w:spacing w:after="200" w:line="276" w:lineRule="auto"/>
        <w:rPr>
          <w:b/>
          <w:sz w:val="26"/>
          <w:szCs w:val="26"/>
        </w:rPr>
      </w:pPr>
    </w:p>
    <w:p w:rsidR="007E4DD6" w:rsidRPr="007E4DD6" w:rsidRDefault="007E4DD6" w:rsidP="007E4DD6">
      <w:pPr>
        <w:spacing w:after="200" w:line="276" w:lineRule="auto"/>
        <w:rPr>
          <w:b/>
          <w:sz w:val="26"/>
          <w:szCs w:val="26"/>
        </w:rPr>
        <w:sectPr w:rsidR="007E4DD6" w:rsidRPr="007E4DD6" w:rsidSect="000E6AAD">
          <w:footnotePr>
            <w:numRestart w:val="eachSect"/>
          </w:footnotePr>
          <w:type w:val="nextColumn"/>
          <w:pgSz w:w="16838" w:h="11906" w:orient="landscape" w:code="9"/>
          <w:pgMar w:top="590" w:right="1134" w:bottom="590" w:left="1134" w:header="720" w:footer="720" w:gutter="0"/>
          <w:cols w:space="720"/>
          <w:docGrid w:linePitch="381"/>
        </w:sectPr>
      </w:pPr>
    </w:p>
    <w:p w:rsidR="007E4DD6" w:rsidRPr="007E4DD6" w:rsidRDefault="007E4DD6" w:rsidP="007E4DD6">
      <w:pPr>
        <w:pStyle w:val="ListParagraph"/>
        <w:numPr>
          <w:ilvl w:val="0"/>
          <w:numId w:val="46"/>
        </w:numPr>
        <w:spacing w:after="200" w:line="276" w:lineRule="auto"/>
        <w:jc w:val="left"/>
        <w:rPr>
          <w:b/>
          <w:sz w:val="26"/>
          <w:szCs w:val="26"/>
        </w:rPr>
      </w:pPr>
      <w:r w:rsidRPr="007E4DD6">
        <w:rPr>
          <w:bCs/>
          <w:sz w:val="26"/>
          <w:szCs w:val="26"/>
        </w:rPr>
        <w:lastRenderedPageBreak/>
        <w:t>Thông tin liên hệ của nhà thầu tham dự :</w:t>
      </w:r>
    </w:p>
    <w:p w:rsidR="007E4DD6" w:rsidRPr="007E4DD6" w:rsidRDefault="007E4DD6" w:rsidP="007E4DD6">
      <w:pPr>
        <w:pStyle w:val="ListParagraph"/>
        <w:spacing w:after="200" w:line="276" w:lineRule="auto"/>
        <w:jc w:val="left"/>
        <w:rPr>
          <w:b/>
          <w:sz w:val="26"/>
          <w:szCs w:val="26"/>
        </w:rPr>
      </w:pPr>
    </w:p>
    <w:tbl>
      <w:tblPr>
        <w:tblStyle w:val="TableGrid"/>
        <w:tblW w:w="0" w:type="auto"/>
        <w:tblInd w:w="1429" w:type="dxa"/>
        <w:tblLook w:val="04A0" w:firstRow="1" w:lastRow="0" w:firstColumn="1" w:lastColumn="0" w:noHBand="0" w:noVBand="1"/>
      </w:tblPr>
      <w:tblGrid>
        <w:gridCol w:w="1827"/>
        <w:gridCol w:w="8535"/>
      </w:tblGrid>
      <w:tr w:rsidR="007E4DD6" w:rsidRPr="007E4DD6" w:rsidTr="00367D6F">
        <w:trPr>
          <w:trHeight w:val="565"/>
        </w:trPr>
        <w:tc>
          <w:tcPr>
            <w:tcW w:w="1827" w:type="dxa"/>
            <w:vAlign w:val="center"/>
          </w:tcPr>
          <w:p w:rsidR="007E4DD6" w:rsidRPr="007E4DD6" w:rsidRDefault="007E4DD6" w:rsidP="00367D6F">
            <w:pPr>
              <w:pStyle w:val="ListParagraph"/>
              <w:spacing w:line="276" w:lineRule="auto"/>
              <w:ind w:left="0"/>
              <w:rPr>
                <w:b/>
                <w:sz w:val="26"/>
                <w:szCs w:val="26"/>
              </w:rPr>
            </w:pPr>
            <w:r w:rsidRPr="007E4DD6">
              <w:rPr>
                <w:b/>
                <w:sz w:val="26"/>
                <w:szCs w:val="26"/>
              </w:rPr>
              <w:t>Tên công ty:</w:t>
            </w:r>
          </w:p>
        </w:tc>
        <w:tc>
          <w:tcPr>
            <w:tcW w:w="8535" w:type="dxa"/>
          </w:tcPr>
          <w:p w:rsidR="007E4DD6" w:rsidRPr="007E4DD6" w:rsidRDefault="007E4DD6" w:rsidP="00367D6F">
            <w:pPr>
              <w:pStyle w:val="ListParagraph"/>
              <w:spacing w:line="276" w:lineRule="auto"/>
              <w:ind w:left="0"/>
              <w:rPr>
                <w:bCs/>
                <w:sz w:val="26"/>
                <w:szCs w:val="26"/>
              </w:rPr>
            </w:pPr>
          </w:p>
        </w:tc>
      </w:tr>
      <w:tr w:rsidR="007E4DD6" w:rsidRPr="007E4DD6" w:rsidTr="00367D6F">
        <w:trPr>
          <w:trHeight w:val="546"/>
        </w:trPr>
        <w:tc>
          <w:tcPr>
            <w:tcW w:w="1827" w:type="dxa"/>
            <w:vAlign w:val="center"/>
          </w:tcPr>
          <w:p w:rsidR="007E4DD6" w:rsidRPr="007E4DD6" w:rsidRDefault="007E4DD6" w:rsidP="00367D6F">
            <w:pPr>
              <w:pStyle w:val="ListParagraph"/>
              <w:spacing w:line="276" w:lineRule="auto"/>
              <w:ind w:left="0"/>
              <w:rPr>
                <w:b/>
                <w:sz w:val="26"/>
                <w:szCs w:val="26"/>
              </w:rPr>
            </w:pPr>
            <w:r w:rsidRPr="007E4DD6">
              <w:rPr>
                <w:b/>
                <w:sz w:val="26"/>
                <w:szCs w:val="26"/>
              </w:rPr>
              <w:t>Đại chỉ:</w:t>
            </w:r>
          </w:p>
        </w:tc>
        <w:tc>
          <w:tcPr>
            <w:tcW w:w="8535" w:type="dxa"/>
          </w:tcPr>
          <w:p w:rsidR="007E4DD6" w:rsidRPr="007E4DD6" w:rsidRDefault="007E4DD6" w:rsidP="00367D6F">
            <w:pPr>
              <w:pStyle w:val="ListParagraph"/>
              <w:spacing w:line="276" w:lineRule="auto"/>
              <w:ind w:left="0"/>
              <w:rPr>
                <w:bCs/>
                <w:sz w:val="26"/>
                <w:szCs w:val="26"/>
              </w:rPr>
            </w:pPr>
          </w:p>
        </w:tc>
      </w:tr>
      <w:tr w:rsidR="007E4DD6" w:rsidRPr="007E4DD6" w:rsidTr="00367D6F">
        <w:trPr>
          <w:trHeight w:val="565"/>
        </w:trPr>
        <w:tc>
          <w:tcPr>
            <w:tcW w:w="1827" w:type="dxa"/>
            <w:vAlign w:val="center"/>
          </w:tcPr>
          <w:p w:rsidR="007E4DD6" w:rsidRPr="007E4DD6" w:rsidRDefault="007E4DD6" w:rsidP="00367D6F">
            <w:pPr>
              <w:pStyle w:val="ListParagraph"/>
              <w:spacing w:line="276" w:lineRule="auto"/>
              <w:ind w:left="0"/>
              <w:rPr>
                <w:b/>
                <w:sz w:val="26"/>
                <w:szCs w:val="26"/>
              </w:rPr>
            </w:pPr>
            <w:r w:rsidRPr="007E4DD6">
              <w:rPr>
                <w:b/>
                <w:sz w:val="26"/>
                <w:szCs w:val="26"/>
              </w:rPr>
              <w:t>Địa chỉ mail:</w:t>
            </w:r>
          </w:p>
        </w:tc>
        <w:tc>
          <w:tcPr>
            <w:tcW w:w="8535" w:type="dxa"/>
          </w:tcPr>
          <w:p w:rsidR="007E4DD6" w:rsidRPr="007E4DD6" w:rsidRDefault="007E4DD6" w:rsidP="00367D6F">
            <w:pPr>
              <w:pStyle w:val="ListParagraph"/>
              <w:spacing w:line="276" w:lineRule="auto"/>
              <w:ind w:left="0"/>
              <w:rPr>
                <w:bCs/>
                <w:sz w:val="26"/>
                <w:szCs w:val="26"/>
              </w:rPr>
            </w:pPr>
          </w:p>
        </w:tc>
      </w:tr>
      <w:tr w:rsidR="007E4DD6" w:rsidRPr="007E4DD6" w:rsidTr="00367D6F">
        <w:trPr>
          <w:trHeight w:val="546"/>
        </w:trPr>
        <w:tc>
          <w:tcPr>
            <w:tcW w:w="1827" w:type="dxa"/>
            <w:vAlign w:val="center"/>
          </w:tcPr>
          <w:p w:rsidR="007E4DD6" w:rsidRPr="007E4DD6" w:rsidRDefault="007E4DD6" w:rsidP="00367D6F">
            <w:pPr>
              <w:pStyle w:val="ListParagraph"/>
              <w:spacing w:line="276" w:lineRule="auto"/>
              <w:ind w:left="0"/>
              <w:rPr>
                <w:b/>
                <w:sz w:val="26"/>
                <w:szCs w:val="26"/>
              </w:rPr>
            </w:pPr>
            <w:r w:rsidRPr="007E4DD6">
              <w:rPr>
                <w:b/>
                <w:sz w:val="26"/>
                <w:szCs w:val="26"/>
              </w:rPr>
              <w:t>Người liên hệ:</w:t>
            </w:r>
          </w:p>
        </w:tc>
        <w:tc>
          <w:tcPr>
            <w:tcW w:w="8535" w:type="dxa"/>
          </w:tcPr>
          <w:p w:rsidR="007E4DD6" w:rsidRPr="007E4DD6" w:rsidRDefault="007E4DD6" w:rsidP="00367D6F">
            <w:pPr>
              <w:pStyle w:val="ListParagraph"/>
              <w:spacing w:line="276" w:lineRule="auto"/>
              <w:ind w:left="0"/>
              <w:rPr>
                <w:bCs/>
                <w:sz w:val="26"/>
                <w:szCs w:val="26"/>
              </w:rPr>
            </w:pPr>
          </w:p>
        </w:tc>
      </w:tr>
      <w:tr w:rsidR="007E4DD6" w:rsidRPr="007E4DD6" w:rsidTr="00367D6F">
        <w:trPr>
          <w:trHeight w:val="546"/>
        </w:trPr>
        <w:tc>
          <w:tcPr>
            <w:tcW w:w="1827" w:type="dxa"/>
            <w:vAlign w:val="center"/>
          </w:tcPr>
          <w:p w:rsidR="007E4DD6" w:rsidRPr="007E4DD6" w:rsidRDefault="007E4DD6" w:rsidP="00367D6F">
            <w:pPr>
              <w:pStyle w:val="ListParagraph"/>
              <w:spacing w:line="276" w:lineRule="auto"/>
              <w:ind w:left="0"/>
              <w:rPr>
                <w:b/>
                <w:sz w:val="26"/>
                <w:szCs w:val="26"/>
              </w:rPr>
            </w:pPr>
            <w:r w:rsidRPr="007E4DD6">
              <w:rPr>
                <w:b/>
                <w:sz w:val="26"/>
                <w:szCs w:val="26"/>
              </w:rPr>
              <w:t>SĐT:</w:t>
            </w:r>
          </w:p>
        </w:tc>
        <w:tc>
          <w:tcPr>
            <w:tcW w:w="8535" w:type="dxa"/>
          </w:tcPr>
          <w:p w:rsidR="007E4DD6" w:rsidRPr="007E4DD6" w:rsidRDefault="007E4DD6" w:rsidP="00367D6F">
            <w:pPr>
              <w:pStyle w:val="ListParagraph"/>
              <w:spacing w:line="276" w:lineRule="auto"/>
              <w:ind w:left="0"/>
              <w:rPr>
                <w:bCs/>
                <w:sz w:val="26"/>
                <w:szCs w:val="26"/>
              </w:rPr>
            </w:pPr>
          </w:p>
        </w:tc>
      </w:tr>
    </w:tbl>
    <w:p w:rsidR="007E4DD6" w:rsidRPr="007E4DD6" w:rsidRDefault="007E4DD6" w:rsidP="007E4DD6"/>
    <w:p w:rsidR="007E4DD6" w:rsidRPr="007E4DD6" w:rsidRDefault="007E4DD6" w:rsidP="007E4DD6"/>
    <w:p w:rsidR="007E4DD6" w:rsidRPr="007E4DD6" w:rsidRDefault="007E4DD6">
      <w:pPr>
        <w:spacing w:after="200" w:line="276" w:lineRule="auto"/>
        <w:jc w:val="left"/>
        <w:sectPr w:rsidR="007E4DD6" w:rsidRPr="007E4DD6" w:rsidSect="000E6AAD">
          <w:type w:val="nextColumn"/>
          <w:pgSz w:w="16839" w:h="11907" w:orient="landscape" w:code="9"/>
          <w:pgMar w:top="590" w:right="1440" w:bottom="590" w:left="1440" w:header="709" w:footer="709" w:gutter="0"/>
          <w:cols w:space="708"/>
          <w:docGrid w:linePitch="360"/>
        </w:sectPr>
      </w:pPr>
    </w:p>
    <w:p w:rsidR="007E4DD6" w:rsidRPr="007E4DD6" w:rsidRDefault="007E4DD6" w:rsidP="007E4DD6">
      <w:pPr>
        <w:pStyle w:val="ListParagraph"/>
        <w:numPr>
          <w:ilvl w:val="0"/>
          <w:numId w:val="46"/>
        </w:numPr>
        <w:spacing w:after="200" w:line="360" w:lineRule="auto"/>
        <w:ind w:left="426"/>
        <w:jc w:val="left"/>
        <w:rPr>
          <w:sz w:val="26"/>
          <w:szCs w:val="26"/>
        </w:rPr>
      </w:pPr>
      <w:r w:rsidRPr="007E4DD6">
        <w:rPr>
          <w:sz w:val="26"/>
          <w:szCs w:val="26"/>
        </w:rPr>
        <w:lastRenderedPageBreak/>
        <w:t>Trường hợp sau khi đánh giá tài chính, có nhiều nhà thầu được đánh giá tốt nhất, ngang nhau thì xử lý theo thứ tự ưu tiên như sau cho đến khi lựa chọn được nhà thầu trúng thầu:</w:t>
      </w:r>
    </w:p>
    <w:p w:rsidR="007E4DD6" w:rsidRPr="007E4DD6" w:rsidRDefault="007E4DD6" w:rsidP="007E4DD6">
      <w:pPr>
        <w:pStyle w:val="ListParagraph"/>
        <w:spacing w:after="200" w:line="360" w:lineRule="auto"/>
        <w:ind w:left="426"/>
        <w:jc w:val="left"/>
        <w:rPr>
          <w:sz w:val="26"/>
          <w:szCs w:val="26"/>
        </w:rPr>
      </w:pPr>
      <w:r w:rsidRPr="007E4DD6">
        <w:rPr>
          <w:sz w:val="26"/>
          <w:szCs w:val="26"/>
        </w:rPr>
        <w:t>-  Trao thầu cho doanh nghiệp nhỏ và vừa do phụ nữ làm chủ theo quy định của pháp luật về hỗ trợ doanh nghiệp nhỏ và vừa (nếu có);</w:t>
      </w:r>
    </w:p>
    <w:p w:rsidR="007E4DD6" w:rsidRPr="007E4DD6" w:rsidRDefault="007E4DD6" w:rsidP="007E4DD6">
      <w:pPr>
        <w:pStyle w:val="ListParagraph"/>
        <w:spacing w:after="200" w:line="360" w:lineRule="auto"/>
        <w:ind w:left="426"/>
        <w:jc w:val="left"/>
        <w:rPr>
          <w:sz w:val="26"/>
          <w:szCs w:val="26"/>
        </w:rPr>
      </w:pPr>
      <w:r w:rsidRPr="007E4DD6">
        <w:rPr>
          <w:sz w:val="26"/>
          <w:szCs w:val="26"/>
        </w:rPr>
        <w:t>- Trao thầu cho nhà thầu có trụ sở chính ở địa phương nơi triển khai gói thầu;</w:t>
      </w:r>
    </w:p>
    <w:p w:rsidR="007E4DD6" w:rsidRPr="007E4DD6" w:rsidRDefault="007E4DD6" w:rsidP="007E4DD6">
      <w:pPr>
        <w:pStyle w:val="ListParagraph"/>
        <w:spacing w:after="200" w:line="360" w:lineRule="auto"/>
        <w:ind w:left="426"/>
        <w:jc w:val="left"/>
        <w:rPr>
          <w:sz w:val="26"/>
          <w:szCs w:val="26"/>
        </w:rPr>
      </w:pPr>
      <w:r w:rsidRPr="007E4DD6">
        <w:rPr>
          <w:sz w:val="26"/>
          <w:szCs w:val="26"/>
        </w:rPr>
        <w:t>-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rsidR="007E4DD6" w:rsidRPr="007E4DD6" w:rsidRDefault="007E4DD6" w:rsidP="007E4DD6">
      <w:pPr>
        <w:pStyle w:val="ListParagraph"/>
        <w:spacing w:after="200" w:line="360" w:lineRule="auto"/>
        <w:ind w:left="426"/>
        <w:jc w:val="left"/>
        <w:rPr>
          <w:sz w:val="26"/>
          <w:szCs w:val="26"/>
        </w:rPr>
      </w:pPr>
      <w:r w:rsidRPr="007E4DD6">
        <w:rPr>
          <w:sz w:val="26"/>
          <w:szCs w:val="26"/>
        </w:rPr>
        <w:t>-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rsidR="007E4DD6" w:rsidRPr="007E4DD6" w:rsidRDefault="007E4DD6" w:rsidP="007E4DD6">
      <w:pPr>
        <w:pStyle w:val="ListParagraph"/>
        <w:spacing w:after="200" w:line="360" w:lineRule="auto"/>
        <w:ind w:left="426"/>
        <w:jc w:val="left"/>
        <w:rPr>
          <w:sz w:val="26"/>
          <w:szCs w:val="26"/>
        </w:rPr>
      </w:pPr>
      <w:r w:rsidRPr="007E4DD6">
        <w:rPr>
          <w:sz w:val="26"/>
          <w:szCs w:val="26"/>
        </w:rPr>
        <w:t>-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rsidR="007E4DD6" w:rsidRPr="007E4DD6" w:rsidRDefault="007E4DD6" w:rsidP="007E4DD6">
      <w:pPr>
        <w:spacing w:after="200" w:line="276" w:lineRule="auto"/>
        <w:jc w:val="left"/>
      </w:pPr>
      <w:r w:rsidRPr="007E4DD6">
        <w:rPr>
          <w:sz w:val="26"/>
          <w:szCs w:val="26"/>
        </w:rPr>
        <w:t>-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140 Nghị định 214/2025/NĐ-CP;</w:t>
      </w:r>
      <w:r w:rsidRPr="007E4DD6">
        <w:br w:type="page"/>
      </w:r>
    </w:p>
    <w:p w:rsidR="005361D5" w:rsidRPr="005361D5" w:rsidRDefault="005361D5" w:rsidP="005361D5">
      <w:pPr>
        <w:widowControl w:val="0"/>
        <w:spacing w:before="120" w:after="120"/>
        <w:jc w:val="center"/>
        <w:rPr>
          <w:b/>
          <w:sz w:val="26"/>
          <w:szCs w:val="26"/>
        </w:rPr>
      </w:pPr>
      <w:r w:rsidRPr="005361D5">
        <w:rPr>
          <w:b/>
          <w:sz w:val="26"/>
          <w:szCs w:val="26"/>
        </w:rPr>
        <w:lastRenderedPageBreak/>
        <w:t>PHỤ LỤC I</w:t>
      </w:r>
    </w:p>
    <w:p w:rsidR="005361D5" w:rsidRPr="005361D5" w:rsidRDefault="005361D5" w:rsidP="005361D5">
      <w:pPr>
        <w:widowControl w:val="0"/>
        <w:spacing w:before="120" w:after="120"/>
        <w:ind w:firstLine="567"/>
        <w:jc w:val="center"/>
        <w:rPr>
          <w:b/>
          <w:sz w:val="26"/>
          <w:szCs w:val="26"/>
        </w:rPr>
      </w:pPr>
      <w:r w:rsidRPr="005361D5">
        <w:rPr>
          <w:b/>
          <w:sz w:val="26"/>
          <w:szCs w:val="26"/>
        </w:rPr>
        <w:t>CỘNG HÒA XÃ HỘI CHỦ NGHĨA VIỆT NAM</w:t>
      </w:r>
    </w:p>
    <w:p w:rsidR="005361D5" w:rsidRPr="005361D5" w:rsidRDefault="005361D5" w:rsidP="005361D5">
      <w:pPr>
        <w:widowControl w:val="0"/>
        <w:spacing w:before="120" w:after="120"/>
        <w:ind w:firstLine="567"/>
        <w:jc w:val="center"/>
        <w:rPr>
          <w:b/>
          <w:sz w:val="26"/>
          <w:szCs w:val="26"/>
        </w:rPr>
      </w:pPr>
      <w:r w:rsidRPr="005361D5">
        <w:rPr>
          <w:b/>
          <w:noProof/>
          <w:sz w:val="26"/>
          <w:szCs w:val="26"/>
        </w:rPr>
        <mc:AlternateContent>
          <mc:Choice Requires="wps">
            <w:drawing>
              <wp:anchor distT="0" distB="0" distL="114300" distR="114300" simplePos="0" relativeHeight="251659264" behindDoc="0" locked="0" layoutInCell="1" allowOverlap="1" wp14:anchorId="06147BC2" wp14:editId="5ADC7D7E">
                <wp:simplePos x="0" y="0"/>
                <wp:positionH relativeFrom="column">
                  <wp:posOffset>2305685</wp:posOffset>
                </wp:positionH>
                <wp:positionV relativeFrom="paragraph">
                  <wp:posOffset>238125</wp:posOffset>
                </wp:positionV>
                <wp:extent cx="1662430" cy="0"/>
                <wp:effectExtent l="0" t="0" r="0" b="0"/>
                <wp:wrapNone/>
                <wp:docPr id="194" name="Straight Connector 194"/>
                <wp:cNvGraphicFramePr/>
                <a:graphic xmlns:a="http://schemas.openxmlformats.org/drawingml/2006/main">
                  <a:graphicData uri="http://schemas.microsoft.com/office/word/2010/wordprocessingShape">
                    <wps:wsp>
                      <wps:cNvCnPr/>
                      <wps:spPr>
                        <a:xfrm>
                          <a:off x="0" y="0"/>
                          <a:ext cx="1662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9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55pt,18.75pt" to="312.4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" strokecolor="black [3040]"/>
            </w:pict>
          </mc:Fallback>
        </mc:AlternateContent>
      </w:r>
      <w:r w:rsidRPr="005361D5">
        <w:rPr>
          <w:b/>
          <w:sz w:val="26"/>
          <w:szCs w:val="26"/>
        </w:rPr>
        <w:t>Độc lập – Tự do – Hạnh phúc</w:t>
      </w:r>
    </w:p>
    <w:p w:rsidR="005361D5" w:rsidRPr="005361D5" w:rsidRDefault="005361D5" w:rsidP="005361D5">
      <w:pPr>
        <w:widowControl w:val="0"/>
        <w:spacing w:before="360" w:after="120" w:line="264" w:lineRule="auto"/>
        <w:ind w:firstLine="562"/>
        <w:jc w:val="center"/>
        <w:rPr>
          <w:b/>
          <w:sz w:val="26"/>
          <w:szCs w:val="26"/>
        </w:rPr>
      </w:pPr>
      <w:r w:rsidRPr="005361D5">
        <w:rPr>
          <w:b/>
          <w:sz w:val="26"/>
          <w:szCs w:val="26"/>
        </w:rPr>
        <w:t xml:space="preserve">BẢN CAM KẾT </w:t>
      </w:r>
    </w:p>
    <w:p w:rsidR="005361D5" w:rsidRPr="005361D5" w:rsidRDefault="005361D5" w:rsidP="005361D5">
      <w:pPr>
        <w:widowControl w:val="0"/>
        <w:spacing w:line="264" w:lineRule="auto"/>
        <w:jc w:val="center"/>
        <w:rPr>
          <w:b/>
          <w:sz w:val="26"/>
          <w:szCs w:val="26"/>
        </w:rPr>
      </w:pPr>
      <w:r w:rsidRPr="005361D5">
        <w:rPr>
          <w:b/>
          <w:sz w:val="26"/>
          <w:szCs w:val="26"/>
        </w:rPr>
        <w:t>Kính gửi: Bệnh viện đa khoa Sài Gòn</w:t>
      </w:r>
    </w:p>
    <w:p w:rsidR="005361D5" w:rsidRPr="005361D5" w:rsidRDefault="005361D5" w:rsidP="005361D5">
      <w:pPr>
        <w:widowControl w:val="0"/>
        <w:autoSpaceDE w:val="0"/>
        <w:autoSpaceDN w:val="0"/>
        <w:adjustRightInd w:val="0"/>
        <w:spacing w:before="40" w:after="40"/>
        <w:ind w:firstLine="567"/>
        <w:rPr>
          <w:sz w:val="26"/>
          <w:szCs w:val="26"/>
        </w:rPr>
      </w:pPr>
      <w:r w:rsidRPr="005361D5">
        <w:rPr>
          <w:sz w:val="26"/>
          <w:szCs w:val="26"/>
        </w:rPr>
        <w:t xml:space="preserve">Sau khi nghiên cứu E-HSMT gói thầu Mua sắm vật tư y tế, vật tư tiêu hao năm 2025  </w:t>
      </w:r>
    </w:p>
    <w:p w:rsidR="005361D5" w:rsidRPr="005361D5" w:rsidRDefault="005361D5" w:rsidP="005361D5">
      <w:pPr>
        <w:widowControl w:val="0"/>
        <w:spacing w:before="40" w:after="40"/>
        <w:ind w:left="284" w:firstLine="567"/>
        <w:rPr>
          <w:sz w:val="26"/>
          <w:szCs w:val="26"/>
        </w:rPr>
      </w:pPr>
      <w:r w:rsidRPr="005361D5">
        <w:rPr>
          <w:sz w:val="26"/>
          <w:szCs w:val="26"/>
        </w:rPr>
        <w:t>Chúng tôi, [ghi tên nhà thầu], cam kết các nội dung sau:</w:t>
      </w:r>
    </w:p>
    <w:p w:rsidR="005361D5" w:rsidRPr="005361D5" w:rsidRDefault="005361D5" w:rsidP="005361D5">
      <w:pPr>
        <w:widowControl w:val="0"/>
        <w:autoSpaceDE w:val="0"/>
        <w:autoSpaceDN w:val="0"/>
        <w:adjustRightInd w:val="0"/>
        <w:spacing w:before="40" w:after="40"/>
        <w:ind w:firstLine="567"/>
        <w:rPr>
          <w:rFonts w:eastAsia="Calibri"/>
          <w:b/>
          <w:snapToGrid w:val="0"/>
          <w:spacing w:val="-4"/>
          <w:sz w:val="26"/>
          <w:szCs w:val="26"/>
          <w:lang w:val="pl-PL"/>
        </w:rPr>
      </w:pPr>
      <w:r w:rsidRPr="005361D5">
        <w:rPr>
          <w:rFonts w:eastAsia="Calibri"/>
          <w:b/>
          <w:snapToGrid w:val="0"/>
          <w:spacing w:val="-4"/>
          <w:sz w:val="26"/>
          <w:szCs w:val="26"/>
          <w:lang w:val="pl-PL"/>
        </w:rPr>
        <w:t xml:space="preserve">1. Cam kết về các dịch vụ sau bán hàng: </w:t>
      </w:r>
      <w:r w:rsidRPr="005361D5">
        <w:rPr>
          <w:rFonts w:eastAsia="Calibri"/>
          <w:snapToGrid w:val="0"/>
          <w:sz w:val="26"/>
          <w:szCs w:val="26"/>
          <w:lang w:val="pl-PL"/>
        </w:rPr>
        <w:t xml:space="preserve">Nếu hàng hóa xảy ra việc không đáp ứng yêu cầu về một trong những yếu tố như: chất lượng, chủng loại, số lượng, khối lượng… như đã nêu trong hợp đồng, hồ sơ mời thầu và hồ sơ thầu dự thầu của nhà thầu, trong vòng tối đa </w:t>
      </w:r>
      <w:r w:rsidRPr="005361D5">
        <w:rPr>
          <w:rFonts w:eastAsia="Calibri"/>
          <w:snapToGrid w:val="0"/>
          <w:sz w:val="26"/>
          <w:szCs w:val="26"/>
        </w:rPr>
        <w:t>48</w:t>
      </w:r>
      <w:r w:rsidRPr="005361D5">
        <w:rPr>
          <w:rFonts w:eastAsia="Calibri"/>
          <w:snapToGrid w:val="0"/>
          <w:sz w:val="26"/>
          <w:szCs w:val="26"/>
          <w:lang w:val="vi-VN"/>
        </w:rPr>
        <w:t xml:space="preserve"> giờ </w:t>
      </w:r>
      <w:r w:rsidRPr="005361D5">
        <w:rPr>
          <w:rFonts w:eastAsia="Calibri"/>
          <w:snapToGrid w:val="0"/>
          <w:sz w:val="26"/>
          <w:szCs w:val="26"/>
          <w:lang w:val="pl-PL"/>
        </w:rPr>
        <w:t>nhà thầu sẽ cung cấp hàng hóa mới cùng loại để thay thế. Trong trường hợp này, nhà thầu có trách nhiệm thu hồi hàng hóa không đạt yêu cầu.</w:t>
      </w:r>
    </w:p>
    <w:p w:rsidR="005361D5" w:rsidRPr="005361D5" w:rsidRDefault="005361D5" w:rsidP="005361D5">
      <w:pPr>
        <w:widowControl w:val="0"/>
        <w:autoSpaceDE w:val="0"/>
        <w:autoSpaceDN w:val="0"/>
        <w:adjustRightInd w:val="0"/>
        <w:spacing w:before="40" w:after="40"/>
        <w:ind w:firstLine="567"/>
        <w:rPr>
          <w:rFonts w:eastAsia="Calibri"/>
          <w:b/>
          <w:snapToGrid w:val="0"/>
          <w:spacing w:val="-4"/>
          <w:sz w:val="26"/>
          <w:szCs w:val="26"/>
          <w:lang w:val="pl-PL"/>
        </w:rPr>
      </w:pPr>
      <w:r w:rsidRPr="005361D5">
        <w:rPr>
          <w:rFonts w:eastAsia="Calibri"/>
          <w:b/>
          <w:snapToGrid w:val="0"/>
          <w:spacing w:val="-4"/>
          <w:sz w:val="26"/>
          <w:szCs w:val="26"/>
          <w:lang w:val="pl-PL"/>
        </w:rPr>
        <w:t xml:space="preserve">2. Cam kết về tiến độ: </w:t>
      </w:r>
      <w:r w:rsidRPr="005361D5">
        <w:rPr>
          <w:sz w:val="26"/>
          <w:szCs w:val="26"/>
        </w:rPr>
        <w:t>Hàng hóa sẽ được cung cấp làm nhiều đợt theo nhu cầu sử dụng của Bệnh viện</w:t>
      </w:r>
    </w:p>
    <w:p w:rsidR="005361D5" w:rsidRPr="005361D5" w:rsidRDefault="005361D5" w:rsidP="005361D5">
      <w:pPr>
        <w:widowControl w:val="0"/>
        <w:autoSpaceDE w:val="0"/>
        <w:autoSpaceDN w:val="0"/>
        <w:adjustRightInd w:val="0"/>
        <w:spacing w:before="40" w:after="40"/>
        <w:ind w:firstLine="567"/>
        <w:rPr>
          <w:rFonts w:eastAsia="Calibri"/>
          <w:snapToGrid w:val="0"/>
          <w:spacing w:val="-4"/>
          <w:sz w:val="26"/>
          <w:szCs w:val="26"/>
          <w:lang w:val="pl-PL"/>
        </w:rPr>
      </w:pPr>
      <w:r w:rsidRPr="005361D5">
        <w:rPr>
          <w:sz w:val="26"/>
          <w:szCs w:val="26"/>
        </w:rPr>
        <w:t>3. Cam kết cung cấp cho chủ đầu tư tài liệu về số lưu hành trang thiết bị y tế (đối với trang thiết bị y tế nhập khẩu thuộc loại C, D) còn hiệu lực, có công chứng hoặc chứng thực khi có yêu cầu.</w:t>
      </w:r>
    </w:p>
    <w:p w:rsidR="005361D5" w:rsidRPr="005361D5" w:rsidRDefault="005361D5" w:rsidP="005361D5">
      <w:pPr>
        <w:widowControl w:val="0"/>
        <w:autoSpaceDE w:val="0"/>
        <w:autoSpaceDN w:val="0"/>
        <w:adjustRightInd w:val="0"/>
        <w:spacing w:before="40" w:after="40"/>
        <w:ind w:firstLine="567"/>
        <w:rPr>
          <w:rFonts w:eastAsia="Calibri"/>
          <w:snapToGrid w:val="0"/>
          <w:spacing w:val="-4"/>
          <w:sz w:val="26"/>
          <w:szCs w:val="26"/>
          <w:lang w:val="pl-PL"/>
        </w:rPr>
      </w:pPr>
      <w:r w:rsidRPr="005361D5">
        <w:rPr>
          <w:sz w:val="26"/>
          <w:szCs w:val="26"/>
        </w:rPr>
        <w:t xml:space="preserve">4. Cung cấp Tờ khai hải quan tại thời điểm nhập hàng hóa khi có yêu cầu </w:t>
      </w:r>
      <w:r w:rsidRPr="005361D5">
        <w:rPr>
          <w:sz w:val="26"/>
          <w:szCs w:val="26"/>
          <w:lang w:val="vi-VN"/>
        </w:rPr>
        <w:t xml:space="preserve">(đối với các </w:t>
      </w:r>
      <w:r w:rsidRPr="005361D5">
        <w:rPr>
          <w:sz w:val="26"/>
          <w:szCs w:val="26"/>
        </w:rPr>
        <w:t>hàng hóa</w:t>
      </w:r>
      <w:r w:rsidRPr="005361D5">
        <w:rPr>
          <w:sz w:val="26"/>
          <w:szCs w:val="26"/>
          <w:lang w:val="vi-VN"/>
        </w:rPr>
        <w:t xml:space="preserve"> nhập khẩu)</w:t>
      </w:r>
      <w:r w:rsidRPr="005361D5">
        <w:rPr>
          <w:sz w:val="26"/>
          <w:szCs w:val="26"/>
        </w:rPr>
        <w:t>.</w:t>
      </w:r>
    </w:p>
    <w:p w:rsidR="005361D5" w:rsidRPr="005361D5" w:rsidRDefault="005361D5" w:rsidP="005361D5">
      <w:pPr>
        <w:widowControl w:val="0"/>
        <w:autoSpaceDE w:val="0"/>
        <w:autoSpaceDN w:val="0"/>
        <w:adjustRightInd w:val="0"/>
        <w:spacing w:before="40" w:after="40"/>
        <w:ind w:firstLine="567"/>
        <w:rPr>
          <w:rFonts w:eastAsia="Calibri"/>
          <w:snapToGrid w:val="0"/>
          <w:spacing w:val="-4"/>
          <w:sz w:val="26"/>
          <w:szCs w:val="26"/>
          <w:lang w:val="pl-PL"/>
        </w:rPr>
      </w:pPr>
      <w:r w:rsidRPr="005361D5">
        <w:rPr>
          <w:rFonts w:eastAsia="Calibri"/>
          <w:sz w:val="26"/>
          <w:szCs w:val="26"/>
        </w:rPr>
        <w:t xml:space="preserve">5. Hàng hóa cung cấp phải đảm bảo đầy đủ số lượng, chất lượng, kỹ thuật, quy cách hàng hóa và giao hàng tại kho của </w:t>
      </w:r>
      <w:r w:rsidRPr="005361D5">
        <w:rPr>
          <w:sz w:val="26"/>
          <w:szCs w:val="26"/>
          <w:lang w:val="nl-NL"/>
        </w:rPr>
        <w:t>Bệnh viện</w:t>
      </w:r>
      <w:r w:rsidRPr="005361D5">
        <w:rPr>
          <w:rFonts w:eastAsia="Calibri"/>
          <w:sz w:val="26"/>
          <w:szCs w:val="26"/>
        </w:rPr>
        <w:t>.</w:t>
      </w:r>
    </w:p>
    <w:p w:rsidR="005361D5" w:rsidRPr="005361D5" w:rsidRDefault="005361D5" w:rsidP="005361D5">
      <w:pPr>
        <w:widowControl w:val="0"/>
        <w:autoSpaceDE w:val="0"/>
        <w:autoSpaceDN w:val="0"/>
        <w:adjustRightInd w:val="0"/>
        <w:spacing w:before="40" w:after="40"/>
        <w:ind w:right="-185" w:firstLine="567"/>
        <w:jc w:val="left"/>
        <w:rPr>
          <w:rFonts w:eastAsia="Calibri"/>
          <w:snapToGrid w:val="0"/>
          <w:spacing w:val="-4"/>
          <w:sz w:val="26"/>
          <w:szCs w:val="26"/>
          <w:lang w:val="pl-PL"/>
        </w:rPr>
      </w:pPr>
      <w:r w:rsidRPr="005361D5">
        <w:rPr>
          <w:spacing w:val="-4"/>
          <w:sz w:val="26"/>
          <w:szCs w:val="26"/>
        </w:rPr>
        <w:t>6. Thời hạn giao hàng là 48</w:t>
      </w:r>
      <w:r w:rsidRPr="005361D5">
        <w:rPr>
          <w:spacing w:val="-4"/>
          <w:sz w:val="26"/>
          <w:szCs w:val="26"/>
          <w:lang w:val="vi-VN"/>
        </w:rPr>
        <w:t xml:space="preserve"> </w:t>
      </w:r>
      <w:r w:rsidRPr="005361D5">
        <w:rPr>
          <w:spacing w:val="-4"/>
          <w:sz w:val="26"/>
          <w:szCs w:val="26"/>
        </w:rPr>
        <w:t xml:space="preserve">giờ kể từ khi nhận được yêu cầu giao hàng của </w:t>
      </w:r>
      <w:r w:rsidRPr="005361D5">
        <w:rPr>
          <w:sz w:val="26"/>
          <w:szCs w:val="26"/>
          <w:lang w:val="nl-NL"/>
        </w:rPr>
        <w:t>Bệnh viện</w:t>
      </w:r>
      <w:r w:rsidRPr="005361D5">
        <w:rPr>
          <w:spacing w:val="-4"/>
          <w:sz w:val="26"/>
          <w:szCs w:val="26"/>
        </w:rPr>
        <w:t xml:space="preserve">. </w:t>
      </w:r>
    </w:p>
    <w:p w:rsidR="005361D5" w:rsidRPr="005361D5" w:rsidRDefault="005361D5" w:rsidP="005361D5">
      <w:pPr>
        <w:widowControl w:val="0"/>
        <w:autoSpaceDE w:val="0"/>
        <w:autoSpaceDN w:val="0"/>
        <w:adjustRightInd w:val="0"/>
        <w:spacing w:before="40" w:after="40"/>
        <w:ind w:firstLine="567"/>
        <w:rPr>
          <w:rFonts w:eastAsia="Calibri"/>
          <w:snapToGrid w:val="0"/>
          <w:spacing w:val="-2"/>
          <w:sz w:val="26"/>
          <w:szCs w:val="26"/>
          <w:lang w:val="pl-PL"/>
        </w:rPr>
      </w:pPr>
      <w:r w:rsidRPr="005361D5">
        <w:rPr>
          <w:spacing w:val="-2"/>
          <w:sz w:val="26"/>
          <w:szCs w:val="26"/>
        </w:rPr>
        <w:t xml:space="preserve">7. Thu hồi và đổi trả nếu hàng hóa bị lỗi do nhà sản xuất và lỗi do quá trình vận chuyển đến kho của </w:t>
      </w:r>
      <w:r w:rsidRPr="005361D5">
        <w:rPr>
          <w:b/>
          <w:bCs/>
          <w:spacing w:val="-2"/>
          <w:sz w:val="26"/>
          <w:szCs w:val="26"/>
        </w:rPr>
        <w:t xml:space="preserve">Bệnh viện đa khoa Sài Gòn </w:t>
      </w:r>
      <w:r w:rsidRPr="005361D5">
        <w:rPr>
          <w:spacing w:val="-2"/>
          <w:sz w:val="26"/>
          <w:szCs w:val="26"/>
        </w:rPr>
        <w:t xml:space="preserve">hoặc </w:t>
      </w:r>
      <w:r w:rsidRPr="005361D5">
        <w:rPr>
          <w:spacing w:val="-2"/>
          <w:sz w:val="26"/>
          <w:szCs w:val="26"/>
          <w:lang w:val="pt-BR"/>
        </w:rPr>
        <w:t>có thông báo thu hồi của cơ quan có thẩm quyền mà nguyên nhân không do lỗi của chủ đầu tư</w:t>
      </w:r>
      <w:r w:rsidRPr="005361D5">
        <w:rPr>
          <w:spacing w:val="-2"/>
          <w:sz w:val="26"/>
          <w:szCs w:val="26"/>
        </w:rPr>
        <w:t>.</w:t>
      </w:r>
    </w:p>
    <w:p w:rsidR="005361D5" w:rsidRPr="005361D5" w:rsidRDefault="005361D5" w:rsidP="005361D5">
      <w:pPr>
        <w:widowControl w:val="0"/>
        <w:autoSpaceDE w:val="0"/>
        <w:autoSpaceDN w:val="0"/>
        <w:adjustRightInd w:val="0"/>
        <w:spacing w:before="40" w:after="40"/>
        <w:ind w:firstLine="567"/>
        <w:rPr>
          <w:rFonts w:eastAsia="Calibri"/>
          <w:snapToGrid w:val="0"/>
          <w:spacing w:val="-4"/>
          <w:sz w:val="26"/>
          <w:szCs w:val="26"/>
          <w:lang w:val="pl-PL"/>
        </w:rPr>
      </w:pPr>
      <w:r w:rsidRPr="005361D5">
        <w:rPr>
          <w:sz w:val="26"/>
          <w:szCs w:val="26"/>
          <w:lang w:val="es-ES_tradnl"/>
        </w:rPr>
        <w:t>8. Các tài liệu trong E-HSDT này đều chính xác, nếu có dấu hiệu gian lận hoặc không trung thực thì E-HSDT xem như không hợp lệ.</w:t>
      </w:r>
    </w:p>
    <w:p w:rsidR="005361D5" w:rsidRPr="005361D5" w:rsidRDefault="005361D5" w:rsidP="005361D5">
      <w:pPr>
        <w:spacing w:before="40" w:after="40"/>
        <w:ind w:firstLine="567"/>
        <w:rPr>
          <w:rFonts w:eastAsia="Calibri"/>
          <w:snapToGrid w:val="0"/>
          <w:spacing w:val="-4"/>
          <w:sz w:val="26"/>
          <w:szCs w:val="26"/>
          <w:lang w:val="pl-PL"/>
        </w:rPr>
      </w:pPr>
      <w:r w:rsidRPr="005361D5">
        <w:rPr>
          <w:rFonts w:eastAsia="Calibri"/>
          <w:snapToGrid w:val="0"/>
          <w:spacing w:val="-4"/>
          <w:sz w:val="26"/>
          <w:szCs w:val="26"/>
          <w:lang w:val="pl-PL"/>
        </w:rPr>
        <w:t>9. Cam kết cung cấp đầy đủ, chính xác mã vật tư y tế cho bệnh viện theo đúng quy định của Bộ Y tế ban hành danh mục dùng chung mã hãng sản xuất vật tư y tế và nguyên tắc mã hóa vật tư y tế phục vụ quản lý và giám định, thanh toán chi phí khám bệnh, chữa bệnh bảo hiểm y tế.</w:t>
      </w:r>
    </w:p>
    <w:p w:rsidR="005361D5" w:rsidRPr="005361D5" w:rsidRDefault="005361D5" w:rsidP="005361D5">
      <w:pPr>
        <w:spacing w:before="40" w:after="40"/>
        <w:ind w:firstLine="567"/>
        <w:rPr>
          <w:rFonts w:eastAsia="Calibri"/>
          <w:snapToGrid w:val="0"/>
          <w:color w:val="244061" w:themeColor="accent1" w:themeShade="80"/>
          <w:spacing w:val="-4"/>
          <w:sz w:val="26"/>
          <w:szCs w:val="26"/>
          <w:lang w:val="pl-PL"/>
        </w:rPr>
      </w:pPr>
      <w:r w:rsidRPr="005361D5">
        <w:rPr>
          <w:rFonts w:eastAsia="Calibri"/>
          <w:snapToGrid w:val="0"/>
          <w:spacing w:val="-4"/>
          <w:sz w:val="26"/>
          <w:szCs w:val="26"/>
          <w:lang w:val="pl-PL"/>
        </w:rPr>
        <w:t>10. Cam kết hỗ trợ đối với các phần lô có STT 1; 2; 3; 4; 5; 6; 7; 9; 12; 16; 17; 18; 19; 20; 21; 53; 54; 55; 83; 84: Nhà thầu cam kết hỗ trợ máy để sử dụng hóa chất, vật tư theo máy trong trường hợp nhà thầu được lựa chọn trúng thầu trong thời gian thực hiện hợp đồng. Chất lượng máy có CO, CQ, TKHQ theo quy định. Mọi vấn đề bảo trì, sửa chữa do nhà thầu chịu mọi chi phí. Số lượng máy cho mượn sẽ thỏa thuận trong quá trình hoàn thiện ký kết hợp đồng</w:t>
      </w:r>
      <w:r w:rsidRPr="005361D5">
        <w:rPr>
          <w:rFonts w:eastAsia="Calibri"/>
          <w:snapToGrid w:val="0"/>
          <w:color w:val="244061" w:themeColor="accent1" w:themeShade="80"/>
          <w:spacing w:val="-4"/>
          <w:sz w:val="26"/>
          <w:szCs w:val="26"/>
          <w:lang w:val="pl-PL"/>
        </w:rPr>
        <w:t>.</w:t>
      </w:r>
    </w:p>
    <w:p w:rsidR="005361D5" w:rsidRPr="005361D5" w:rsidRDefault="005361D5" w:rsidP="005361D5">
      <w:pPr>
        <w:spacing w:before="40" w:after="40"/>
        <w:ind w:firstLine="567"/>
        <w:rPr>
          <w:rFonts w:eastAsia="Calibri"/>
          <w:snapToGrid w:val="0"/>
          <w:spacing w:val="-4"/>
          <w:sz w:val="26"/>
          <w:szCs w:val="26"/>
          <w:lang w:val="pl-PL"/>
        </w:rPr>
      </w:pPr>
      <w:r w:rsidRPr="005361D5">
        <w:rPr>
          <w:rFonts w:eastAsia="Calibri"/>
          <w:snapToGrid w:val="0"/>
          <w:spacing w:val="-4"/>
          <w:sz w:val="26"/>
          <w:szCs w:val="26"/>
          <w:lang w:val="pl-PL"/>
        </w:rPr>
        <w:t>11. Chịu trách nhiệm giải trình về giá các mặt hàng tham dự thầu với cơ quan chức năng khi có yêu cầu.</w:t>
      </w:r>
    </w:p>
    <w:p w:rsidR="005361D5" w:rsidRPr="005361D5" w:rsidRDefault="005361D5" w:rsidP="005361D5">
      <w:pPr>
        <w:widowControl w:val="0"/>
        <w:spacing w:before="40" w:after="40"/>
        <w:ind w:firstLine="567"/>
        <w:rPr>
          <w:sz w:val="26"/>
          <w:szCs w:val="26"/>
        </w:rPr>
      </w:pPr>
      <w:r w:rsidRPr="005361D5">
        <w:rPr>
          <w:sz w:val="26"/>
          <w:szCs w:val="26"/>
        </w:rPr>
        <w:t>Chúng tôi hoàn toàn chịu trách nhiệm về tính chính xác của thông tin nêu trên.</w:t>
      </w:r>
    </w:p>
    <w:p w:rsidR="005361D5" w:rsidRPr="005361D5" w:rsidRDefault="005361D5" w:rsidP="000E6AAD">
      <w:pPr>
        <w:widowControl w:val="0"/>
        <w:spacing w:line="264" w:lineRule="auto"/>
        <w:ind w:left="4320"/>
        <w:jc w:val="right"/>
        <w:rPr>
          <w:b/>
          <w:sz w:val="26"/>
          <w:szCs w:val="26"/>
          <w:lang w:val="pl-PL"/>
        </w:rPr>
      </w:pPr>
      <w:r w:rsidRPr="005361D5">
        <w:rPr>
          <w:sz w:val="26"/>
          <w:szCs w:val="26"/>
          <w:lang w:val="pl-PL"/>
        </w:rPr>
        <w:t>ĐẠI DIỆN HỢP PHÁP CỦA NHÀ THẦU</w:t>
      </w:r>
    </w:p>
    <w:p w:rsidR="007E4DD6" w:rsidRPr="005361D5" w:rsidRDefault="005361D5" w:rsidP="005361D5">
      <w:pPr>
        <w:jc w:val="right"/>
      </w:pPr>
      <w:r w:rsidRPr="005361D5">
        <w:rPr>
          <w:b/>
          <w:sz w:val="26"/>
          <w:szCs w:val="26"/>
          <w:lang w:val="pl-PL"/>
        </w:rPr>
        <w:t>(ghi tên, chức danh, ký tên và đóng dấu)</w:t>
      </w:r>
    </w:p>
    <w:sectPr w:rsidR="007E4DD6" w:rsidRPr="005361D5" w:rsidSect="000E6AAD">
      <w:type w:val="nextColumn"/>
      <w:pgSz w:w="11907" w:h="16839" w:code="9"/>
      <w:pgMar w:top="590" w:right="1440" w:bottom="59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13E44A80"/>
    <w:multiLevelType w:val="hybridMultilevel"/>
    <w:tmpl w:val="62C0F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3552413"/>
    <w:multiLevelType w:val="multilevel"/>
    <w:tmpl w:val="23552413"/>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nsid w:val="2405075F"/>
    <w:multiLevelType w:val="hybridMultilevel"/>
    <w:tmpl w:val="CC2EAC9A"/>
    <w:lvl w:ilvl="0" w:tplc="A1A23D20">
      <w:numFmt w:val="bullet"/>
      <w:lvlText w:val="-"/>
      <w:lvlJc w:val="left"/>
      <w:pPr>
        <w:ind w:left="1429" w:hanging="360"/>
      </w:pPr>
      <w:rPr>
        <w:rFonts w:ascii="VNI-Times" w:eastAsia="Times New Roman" w:hAnsi="VNI-Times" w:cs="Times New Roman"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6442DA3"/>
    <w:multiLevelType w:val="hybridMultilevel"/>
    <w:tmpl w:val="E84A0D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D7232"/>
    <w:multiLevelType w:val="hybridMultilevel"/>
    <w:tmpl w:val="536A5962"/>
    <w:lvl w:ilvl="0" w:tplc="54E89BCE">
      <w:start w:val="1"/>
      <w:numFmt w:val="bullet"/>
      <w:lvlText w:val=""/>
      <w:lvlJc w:val="left"/>
      <w:pPr>
        <w:ind w:left="540" w:hanging="360"/>
      </w:pPr>
      <w:rPr>
        <w:rFonts w:ascii="Symbol" w:hAnsi="Symbol" w:hint="default"/>
      </w:rPr>
    </w:lvl>
    <w:lvl w:ilvl="1" w:tplc="04090003">
      <w:start w:val="1"/>
      <w:numFmt w:val="bullet"/>
      <w:lvlText w:val="o"/>
      <w:lvlJc w:val="left"/>
      <w:pPr>
        <w:ind w:left="-1641" w:hanging="360"/>
      </w:pPr>
      <w:rPr>
        <w:rFonts w:ascii="Courier New" w:hAnsi="Courier New" w:cs="Courier New" w:hint="default"/>
      </w:rPr>
    </w:lvl>
    <w:lvl w:ilvl="2" w:tplc="04090005">
      <w:start w:val="1"/>
      <w:numFmt w:val="bullet"/>
      <w:lvlText w:val=""/>
      <w:lvlJc w:val="left"/>
      <w:pPr>
        <w:ind w:left="-921" w:hanging="360"/>
      </w:pPr>
      <w:rPr>
        <w:rFonts w:ascii="Wingdings" w:hAnsi="Wingdings" w:hint="default"/>
      </w:rPr>
    </w:lvl>
    <w:lvl w:ilvl="3" w:tplc="04090001">
      <w:start w:val="1"/>
      <w:numFmt w:val="bullet"/>
      <w:lvlText w:val=""/>
      <w:lvlJc w:val="left"/>
      <w:pPr>
        <w:ind w:left="-201" w:hanging="360"/>
      </w:pPr>
      <w:rPr>
        <w:rFonts w:ascii="Symbol" w:hAnsi="Symbol" w:hint="default"/>
      </w:rPr>
    </w:lvl>
    <w:lvl w:ilvl="4" w:tplc="04090003">
      <w:start w:val="1"/>
      <w:numFmt w:val="bullet"/>
      <w:lvlText w:val="o"/>
      <w:lvlJc w:val="left"/>
      <w:pPr>
        <w:ind w:left="519" w:hanging="360"/>
      </w:pPr>
      <w:rPr>
        <w:rFonts w:ascii="Courier New" w:hAnsi="Courier New" w:cs="Courier New" w:hint="default"/>
      </w:rPr>
    </w:lvl>
    <w:lvl w:ilvl="5" w:tplc="04090005">
      <w:start w:val="1"/>
      <w:numFmt w:val="bullet"/>
      <w:lvlText w:val=""/>
      <w:lvlJc w:val="left"/>
      <w:pPr>
        <w:ind w:left="1239" w:hanging="360"/>
      </w:pPr>
      <w:rPr>
        <w:rFonts w:ascii="Wingdings" w:hAnsi="Wingdings" w:hint="default"/>
      </w:rPr>
    </w:lvl>
    <w:lvl w:ilvl="6" w:tplc="04090001">
      <w:start w:val="1"/>
      <w:numFmt w:val="bullet"/>
      <w:lvlText w:val=""/>
      <w:lvlJc w:val="left"/>
      <w:pPr>
        <w:ind w:left="1959" w:hanging="360"/>
      </w:pPr>
      <w:rPr>
        <w:rFonts w:ascii="Symbol" w:hAnsi="Symbol" w:hint="default"/>
      </w:rPr>
    </w:lvl>
    <w:lvl w:ilvl="7" w:tplc="04090003">
      <w:start w:val="1"/>
      <w:numFmt w:val="bullet"/>
      <w:lvlText w:val="o"/>
      <w:lvlJc w:val="left"/>
      <w:pPr>
        <w:ind w:left="2679" w:hanging="360"/>
      </w:pPr>
      <w:rPr>
        <w:rFonts w:ascii="Courier New" w:hAnsi="Courier New" w:cs="Courier New" w:hint="default"/>
      </w:rPr>
    </w:lvl>
    <w:lvl w:ilvl="8" w:tplc="04090005">
      <w:start w:val="1"/>
      <w:numFmt w:val="bullet"/>
      <w:lvlText w:val=""/>
      <w:lvlJc w:val="left"/>
      <w:pPr>
        <w:ind w:left="3399" w:hanging="360"/>
      </w:pPr>
      <w:rPr>
        <w:rFonts w:ascii="Wingdings" w:hAnsi="Wingdings" w:hint="default"/>
      </w:rPr>
    </w:lvl>
  </w:abstractNum>
  <w:abstractNum w:abstractNumId="13">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4">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24C1811"/>
    <w:multiLevelType w:val="hybridMultilevel"/>
    <w:tmpl w:val="24067092"/>
    <w:lvl w:ilvl="0" w:tplc="96BAC500">
      <w:start w:val="5"/>
      <w:numFmt w:val="bullet"/>
      <w:lvlText w:val="-"/>
      <w:lvlJc w:val="left"/>
      <w:pPr>
        <w:ind w:left="452" w:hanging="360"/>
      </w:pPr>
      <w:rPr>
        <w:rFonts w:ascii="Times New Roman" w:eastAsia="Times New Roman" w:hAnsi="Times New Roman" w:cs="Times New Roman" w:hint="default"/>
      </w:rPr>
    </w:lvl>
    <w:lvl w:ilvl="1" w:tplc="04090003" w:tentative="1">
      <w:start w:val="1"/>
      <w:numFmt w:val="bullet"/>
      <w:lvlText w:val="o"/>
      <w:lvlJc w:val="left"/>
      <w:pPr>
        <w:ind w:left="1172" w:hanging="360"/>
      </w:pPr>
      <w:rPr>
        <w:rFonts w:ascii="Courier New" w:hAnsi="Courier New" w:cs="Courier New" w:hint="default"/>
      </w:rPr>
    </w:lvl>
    <w:lvl w:ilvl="2" w:tplc="04090005" w:tentative="1">
      <w:start w:val="1"/>
      <w:numFmt w:val="bullet"/>
      <w:lvlText w:val=""/>
      <w:lvlJc w:val="left"/>
      <w:pPr>
        <w:ind w:left="1892" w:hanging="360"/>
      </w:pPr>
      <w:rPr>
        <w:rFonts w:ascii="Wingdings" w:hAnsi="Wingdings" w:hint="default"/>
      </w:rPr>
    </w:lvl>
    <w:lvl w:ilvl="3" w:tplc="04090001" w:tentative="1">
      <w:start w:val="1"/>
      <w:numFmt w:val="bullet"/>
      <w:lvlText w:val=""/>
      <w:lvlJc w:val="left"/>
      <w:pPr>
        <w:ind w:left="2612" w:hanging="360"/>
      </w:pPr>
      <w:rPr>
        <w:rFonts w:ascii="Symbol" w:hAnsi="Symbol" w:hint="default"/>
      </w:rPr>
    </w:lvl>
    <w:lvl w:ilvl="4" w:tplc="04090003" w:tentative="1">
      <w:start w:val="1"/>
      <w:numFmt w:val="bullet"/>
      <w:lvlText w:val="o"/>
      <w:lvlJc w:val="left"/>
      <w:pPr>
        <w:ind w:left="3332" w:hanging="360"/>
      </w:pPr>
      <w:rPr>
        <w:rFonts w:ascii="Courier New" w:hAnsi="Courier New" w:cs="Courier New" w:hint="default"/>
      </w:rPr>
    </w:lvl>
    <w:lvl w:ilvl="5" w:tplc="04090005" w:tentative="1">
      <w:start w:val="1"/>
      <w:numFmt w:val="bullet"/>
      <w:lvlText w:val=""/>
      <w:lvlJc w:val="left"/>
      <w:pPr>
        <w:ind w:left="4052" w:hanging="360"/>
      </w:pPr>
      <w:rPr>
        <w:rFonts w:ascii="Wingdings" w:hAnsi="Wingdings" w:hint="default"/>
      </w:rPr>
    </w:lvl>
    <w:lvl w:ilvl="6" w:tplc="04090001" w:tentative="1">
      <w:start w:val="1"/>
      <w:numFmt w:val="bullet"/>
      <w:lvlText w:val=""/>
      <w:lvlJc w:val="left"/>
      <w:pPr>
        <w:ind w:left="4772" w:hanging="360"/>
      </w:pPr>
      <w:rPr>
        <w:rFonts w:ascii="Symbol" w:hAnsi="Symbol" w:hint="default"/>
      </w:rPr>
    </w:lvl>
    <w:lvl w:ilvl="7" w:tplc="04090003" w:tentative="1">
      <w:start w:val="1"/>
      <w:numFmt w:val="bullet"/>
      <w:lvlText w:val="o"/>
      <w:lvlJc w:val="left"/>
      <w:pPr>
        <w:ind w:left="5492" w:hanging="360"/>
      </w:pPr>
      <w:rPr>
        <w:rFonts w:ascii="Courier New" w:hAnsi="Courier New" w:cs="Courier New" w:hint="default"/>
      </w:rPr>
    </w:lvl>
    <w:lvl w:ilvl="8" w:tplc="04090005" w:tentative="1">
      <w:start w:val="1"/>
      <w:numFmt w:val="bullet"/>
      <w:lvlText w:val=""/>
      <w:lvlJc w:val="left"/>
      <w:pPr>
        <w:ind w:left="6212" w:hanging="360"/>
      </w:pPr>
      <w:rPr>
        <w:rFonts w:ascii="Wingdings" w:hAnsi="Wingdings" w:hint="default"/>
      </w:rPr>
    </w:lvl>
  </w:abstractNum>
  <w:abstractNum w:abstractNumId="2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2">
    <w:nsid w:val="49B56EB5"/>
    <w:multiLevelType w:val="hybridMultilevel"/>
    <w:tmpl w:val="AAE81D7E"/>
    <w:lvl w:ilvl="0" w:tplc="0409000B">
      <w:start w:val="1"/>
      <w:numFmt w:val="bullet"/>
      <w:lvlText w:val=""/>
      <w:lvlJc w:val="left"/>
      <w:pPr>
        <w:ind w:left="9225" w:hanging="360"/>
      </w:pPr>
      <w:rPr>
        <w:rFonts w:ascii="Wingdings" w:hAnsi="Wingdings" w:hint="default"/>
      </w:rPr>
    </w:lvl>
    <w:lvl w:ilvl="1" w:tplc="04090003" w:tentative="1">
      <w:start w:val="1"/>
      <w:numFmt w:val="bullet"/>
      <w:lvlText w:val="o"/>
      <w:lvlJc w:val="left"/>
      <w:pPr>
        <w:ind w:left="9945" w:hanging="360"/>
      </w:pPr>
      <w:rPr>
        <w:rFonts w:ascii="Courier New" w:hAnsi="Courier New" w:cs="Courier New" w:hint="default"/>
      </w:rPr>
    </w:lvl>
    <w:lvl w:ilvl="2" w:tplc="04090005" w:tentative="1">
      <w:start w:val="1"/>
      <w:numFmt w:val="bullet"/>
      <w:lvlText w:val=""/>
      <w:lvlJc w:val="left"/>
      <w:pPr>
        <w:ind w:left="10665" w:hanging="360"/>
      </w:pPr>
      <w:rPr>
        <w:rFonts w:ascii="Wingdings" w:hAnsi="Wingdings" w:hint="default"/>
      </w:rPr>
    </w:lvl>
    <w:lvl w:ilvl="3" w:tplc="04090001" w:tentative="1">
      <w:start w:val="1"/>
      <w:numFmt w:val="bullet"/>
      <w:lvlText w:val=""/>
      <w:lvlJc w:val="left"/>
      <w:pPr>
        <w:ind w:left="11385" w:hanging="360"/>
      </w:pPr>
      <w:rPr>
        <w:rFonts w:ascii="Symbol" w:hAnsi="Symbol" w:hint="default"/>
      </w:rPr>
    </w:lvl>
    <w:lvl w:ilvl="4" w:tplc="04090003" w:tentative="1">
      <w:start w:val="1"/>
      <w:numFmt w:val="bullet"/>
      <w:lvlText w:val="o"/>
      <w:lvlJc w:val="left"/>
      <w:pPr>
        <w:ind w:left="12105" w:hanging="360"/>
      </w:pPr>
      <w:rPr>
        <w:rFonts w:ascii="Courier New" w:hAnsi="Courier New" w:cs="Courier New" w:hint="default"/>
      </w:rPr>
    </w:lvl>
    <w:lvl w:ilvl="5" w:tplc="04090005" w:tentative="1">
      <w:start w:val="1"/>
      <w:numFmt w:val="bullet"/>
      <w:lvlText w:val=""/>
      <w:lvlJc w:val="left"/>
      <w:pPr>
        <w:ind w:left="12825" w:hanging="360"/>
      </w:pPr>
      <w:rPr>
        <w:rFonts w:ascii="Wingdings" w:hAnsi="Wingdings" w:hint="default"/>
      </w:rPr>
    </w:lvl>
    <w:lvl w:ilvl="6" w:tplc="04090001" w:tentative="1">
      <w:start w:val="1"/>
      <w:numFmt w:val="bullet"/>
      <w:lvlText w:val=""/>
      <w:lvlJc w:val="left"/>
      <w:pPr>
        <w:ind w:left="13545" w:hanging="360"/>
      </w:pPr>
      <w:rPr>
        <w:rFonts w:ascii="Symbol" w:hAnsi="Symbol" w:hint="default"/>
      </w:rPr>
    </w:lvl>
    <w:lvl w:ilvl="7" w:tplc="04090003" w:tentative="1">
      <w:start w:val="1"/>
      <w:numFmt w:val="bullet"/>
      <w:lvlText w:val="o"/>
      <w:lvlJc w:val="left"/>
      <w:pPr>
        <w:ind w:left="14265" w:hanging="360"/>
      </w:pPr>
      <w:rPr>
        <w:rFonts w:ascii="Courier New" w:hAnsi="Courier New" w:cs="Courier New" w:hint="default"/>
      </w:rPr>
    </w:lvl>
    <w:lvl w:ilvl="8" w:tplc="04090005" w:tentative="1">
      <w:start w:val="1"/>
      <w:numFmt w:val="bullet"/>
      <w:lvlText w:val=""/>
      <w:lvlJc w:val="left"/>
      <w:pPr>
        <w:ind w:left="14985" w:hanging="360"/>
      </w:pPr>
      <w:rPr>
        <w:rFonts w:ascii="Wingdings" w:hAnsi="Wingdings" w:hint="default"/>
      </w:rPr>
    </w:lvl>
  </w:abstractNum>
  <w:abstractNum w:abstractNumId="23">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5">
    <w:nsid w:val="51E16989"/>
    <w:multiLevelType w:val="hybridMultilevel"/>
    <w:tmpl w:val="D8582260"/>
    <w:lvl w:ilvl="0" w:tplc="A1A23D20">
      <w:numFmt w:val="bullet"/>
      <w:lvlText w:val="-"/>
      <w:lvlJc w:val="left"/>
      <w:pPr>
        <w:ind w:left="1429" w:hanging="360"/>
      </w:pPr>
      <w:rPr>
        <w:rFonts w:ascii="VNI-Times" w:eastAsia="Times New Roman" w:hAnsi="VNI-Times" w:cs="Times New Roman"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6">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3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6732937"/>
    <w:multiLevelType w:val="multilevel"/>
    <w:tmpl w:val="6AC80BA6"/>
    <w:lvl w:ilvl="0">
      <w:start w:val="1"/>
      <w:numFmt w:val="decimal"/>
      <w:lvlText w:val="%1."/>
      <w:lvlJc w:val="left"/>
      <w:pPr>
        <w:ind w:left="390" w:hanging="390"/>
      </w:pPr>
      <w:rPr>
        <w:rFonts w:hint="default"/>
        <w:b/>
      </w:rPr>
    </w:lvl>
    <w:lvl w:ilvl="1">
      <w:start w:val="1"/>
      <w:numFmt w:val="decimal"/>
      <w:lvlText w:val="%1.%2."/>
      <w:lvlJc w:val="left"/>
      <w:pPr>
        <w:ind w:left="862" w:hanging="72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2936" w:hanging="1800"/>
      </w:pPr>
      <w:rPr>
        <w:rFonts w:hint="default"/>
        <w:b/>
      </w:rPr>
    </w:lvl>
  </w:abstractNum>
  <w:abstractNum w:abstractNumId="35">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4">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7"/>
  </w:num>
  <w:num w:numId="2">
    <w:abstractNumId w:val="23"/>
  </w:num>
  <w:num w:numId="3">
    <w:abstractNumId w:val="42"/>
  </w:num>
  <w:num w:numId="4">
    <w:abstractNumId w:val="8"/>
  </w:num>
  <w:num w:numId="5">
    <w:abstractNumId w:val="24"/>
  </w:num>
  <w:num w:numId="6">
    <w:abstractNumId w:val="33"/>
  </w:num>
  <w:num w:numId="7">
    <w:abstractNumId w:val="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0"/>
  </w:num>
  <w:num w:numId="11">
    <w:abstractNumId w:val="35"/>
  </w:num>
  <w:num w:numId="12">
    <w:abstractNumId w:val="40"/>
  </w:num>
  <w:num w:numId="13">
    <w:abstractNumId w:val="15"/>
  </w:num>
  <w:num w:numId="14">
    <w:abstractNumId w:val="30"/>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1"/>
  </w:num>
  <w:num w:numId="19">
    <w:abstractNumId w:val="4"/>
  </w:num>
  <w:num w:numId="20">
    <w:abstractNumId w:val="39"/>
  </w:num>
  <w:num w:numId="21">
    <w:abstractNumId w:val="28"/>
  </w:num>
  <w:num w:numId="22">
    <w:abstractNumId w:val="36"/>
  </w:num>
  <w:num w:numId="23">
    <w:abstractNumId w:val="21"/>
  </w:num>
  <w:num w:numId="24">
    <w:abstractNumId w:val="38"/>
  </w:num>
  <w:num w:numId="25">
    <w:abstractNumId w:val="18"/>
  </w:num>
  <w:num w:numId="26">
    <w:abstractNumId w:val="44"/>
  </w:num>
  <w:num w:numId="27">
    <w:abstractNumId w:val="6"/>
  </w:num>
  <w:num w:numId="28">
    <w:abstractNumId w:val="31"/>
  </w:num>
  <w:num w:numId="29">
    <w:abstractNumId w:val="27"/>
  </w:num>
  <w:num w:numId="30">
    <w:abstractNumId w:val="20"/>
  </w:num>
  <w:num w:numId="31">
    <w:abstractNumId w:val="29"/>
  </w:num>
  <w:num w:numId="32">
    <w:abstractNumId w:val="2"/>
  </w:num>
  <w:num w:numId="33">
    <w:abstractNumId w:val="13"/>
  </w:num>
  <w:num w:numId="34">
    <w:abstractNumId w:val="43"/>
  </w:num>
  <w:num w:numId="35">
    <w:abstractNumId w:val="1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37"/>
  </w:num>
  <w:num w:numId="38">
    <w:abstractNumId w:val="19"/>
  </w:num>
  <w:num w:numId="39">
    <w:abstractNumId w:val="9"/>
  </w:num>
  <w:num w:numId="40">
    <w:abstractNumId w:val="25"/>
  </w:num>
  <w:num w:numId="41">
    <w:abstractNumId w:val="7"/>
  </w:num>
  <w:num w:numId="42">
    <w:abstractNumId w:val="12"/>
  </w:num>
  <w:num w:numId="43">
    <w:abstractNumId w:val="34"/>
  </w:num>
  <w:num w:numId="44">
    <w:abstractNumId w:val="22"/>
  </w:num>
  <w:num w:numId="45">
    <w:abstractNumId w:val="11"/>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D6"/>
    <w:rsid w:val="000E6AAD"/>
    <w:rsid w:val="003D3CB2"/>
    <w:rsid w:val="004A4D24"/>
    <w:rsid w:val="005361D5"/>
    <w:rsid w:val="007E4DD6"/>
    <w:rsid w:val="008252B5"/>
    <w:rsid w:val="00AE21F5"/>
    <w:rsid w:val="00B10E9F"/>
    <w:rsid w:val="00D75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DD6"/>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
    <w:basedOn w:val="Normal"/>
    <w:next w:val="Normal"/>
    <w:link w:val="Heading1Char"/>
    <w:qFormat/>
    <w:rsid w:val="007E4DD6"/>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7E4DD6"/>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7E4DD6"/>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7E4DD6"/>
    <w:pPr>
      <w:keepNext/>
      <w:spacing w:after="200"/>
      <w:ind w:left="1422" w:right="18" w:hanging="457"/>
      <w:outlineLvl w:val="3"/>
    </w:pPr>
    <w:rPr>
      <w:b/>
      <w:bCs/>
    </w:rPr>
  </w:style>
  <w:style w:type="paragraph" w:styleId="Heading5">
    <w:name w:val="heading 5"/>
    <w:basedOn w:val="Normal"/>
    <w:next w:val="Normal"/>
    <w:link w:val="Heading5Char"/>
    <w:qFormat/>
    <w:rsid w:val="007E4DD6"/>
    <w:pPr>
      <w:keepNext/>
      <w:jc w:val="center"/>
      <w:outlineLvl w:val="4"/>
    </w:pPr>
    <w:rPr>
      <w:rFonts w:ascii="Arial" w:hAnsi="Arial"/>
      <w:u w:val="single"/>
    </w:rPr>
  </w:style>
  <w:style w:type="paragraph" w:styleId="Heading6">
    <w:name w:val="heading 6"/>
    <w:basedOn w:val="Normal"/>
    <w:next w:val="Normal"/>
    <w:link w:val="Heading6Char"/>
    <w:qFormat/>
    <w:rsid w:val="007E4DD6"/>
    <w:pPr>
      <w:keepNext/>
      <w:keepLines/>
      <w:suppressAutoHyphens/>
      <w:ind w:right="-72"/>
      <w:jc w:val="center"/>
      <w:outlineLvl w:val="5"/>
    </w:pPr>
    <w:rPr>
      <w:b/>
      <w:sz w:val="28"/>
    </w:rPr>
  </w:style>
  <w:style w:type="paragraph" w:styleId="Heading7">
    <w:name w:val="heading 7"/>
    <w:basedOn w:val="Normal"/>
    <w:next w:val="Normal"/>
    <w:link w:val="Heading7Char"/>
    <w:qFormat/>
    <w:rsid w:val="007E4DD6"/>
    <w:pPr>
      <w:keepNext/>
      <w:jc w:val="center"/>
      <w:outlineLvl w:val="6"/>
    </w:pPr>
    <w:rPr>
      <w:b/>
      <w:sz w:val="72"/>
    </w:rPr>
  </w:style>
  <w:style w:type="paragraph" w:styleId="Heading8">
    <w:name w:val="heading 8"/>
    <w:basedOn w:val="Normal"/>
    <w:next w:val="Normal"/>
    <w:link w:val="Heading8Char"/>
    <w:qFormat/>
    <w:rsid w:val="007E4DD6"/>
    <w:pPr>
      <w:keepNext/>
      <w:jc w:val="center"/>
      <w:outlineLvl w:val="7"/>
    </w:pPr>
    <w:rPr>
      <w:b/>
      <w:sz w:val="56"/>
    </w:rPr>
  </w:style>
  <w:style w:type="paragraph" w:styleId="Heading9">
    <w:name w:val="heading 9"/>
    <w:basedOn w:val="Normal"/>
    <w:next w:val="Normal"/>
    <w:link w:val="Heading9Char"/>
    <w:qFormat/>
    <w:rsid w:val="007E4DD6"/>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E4DD6"/>
    <w:pPr>
      <w:jc w:val="center"/>
    </w:pPr>
    <w:rPr>
      <w:b/>
      <w:sz w:val="44"/>
    </w:rPr>
  </w:style>
  <w:style w:type="character" w:customStyle="1" w:styleId="SubtitleChar">
    <w:name w:val="Subtitle Char"/>
    <w:basedOn w:val="DefaultParagraphFont"/>
    <w:link w:val="Subtitle"/>
    <w:rsid w:val="007E4DD6"/>
    <w:rPr>
      <w:rFonts w:ascii="Times New Roman" w:eastAsia="Times New Roman" w:hAnsi="Times New Roman" w:cs="Times New Roman"/>
      <w:b/>
      <w:sz w:val="44"/>
      <w:szCs w:val="20"/>
    </w:rPr>
  </w:style>
  <w:style w:type="paragraph" w:customStyle="1" w:styleId="SectionVIHeader">
    <w:name w:val="Section VI. Header"/>
    <w:basedOn w:val="Normal"/>
    <w:rsid w:val="007E4DD6"/>
    <w:pPr>
      <w:spacing w:before="120" w:after="240"/>
      <w:jc w:val="center"/>
    </w:pPr>
    <w:rPr>
      <w:b/>
      <w:sz w:val="36"/>
    </w:rPr>
  </w:style>
  <w:style w:type="character" w:customStyle="1" w:styleId="Heading1Char">
    <w:name w:val="Heading 1 Char"/>
    <w:aliases w:val="Document Header1 Char,ClauseGroup_Title Char"/>
    <w:basedOn w:val="DefaultParagraphFont"/>
    <w:link w:val="Heading1"/>
    <w:rsid w:val="007E4DD6"/>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7E4DD6"/>
    <w:rPr>
      <w:rFonts w:ascii="Times New Roman Bold" w:eastAsia="Times New Roman" w:hAnsi="Times New Roman Bold" w:cs="Times New Roman"/>
      <w:b/>
      <w:sz w:val="28"/>
      <w:szCs w:val="20"/>
    </w:rPr>
  </w:style>
  <w:style w:type="character" w:customStyle="1" w:styleId="Heading3Char">
    <w:name w:val="Heading 3 Char"/>
    <w:basedOn w:val="DefaultParagraphFont"/>
    <w:uiPriority w:val="9"/>
    <w:rsid w:val="007E4DD6"/>
    <w:rPr>
      <w:rFonts w:asciiTheme="majorHAnsi" w:eastAsiaTheme="majorEastAsia" w:hAnsiTheme="majorHAnsi" w:cstheme="majorBidi"/>
      <w:b/>
      <w:bCs/>
      <w:color w:val="4F81BD" w:themeColor="accent1"/>
      <w:sz w:val="24"/>
      <w:szCs w:val="20"/>
    </w:rPr>
  </w:style>
  <w:style w:type="character" w:customStyle="1" w:styleId="Heading4Char">
    <w:name w:val="Heading 4 Char"/>
    <w:aliases w:val="Sub-Clause Sub-paragraph Char,ClauseSubSub_No&amp;Name Char, Sub-Clause Sub-paragraph Char"/>
    <w:basedOn w:val="DefaultParagraphFont"/>
    <w:link w:val="Heading4"/>
    <w:uiPriority w:val="9"/>
    <w:rsid w:val="007E4DD6"/>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rsid w:val="007E4DD6"/>
    <w:rPr>
      <w:rFonts w:ascii="Arial" w:eastAsia="Times New Roman" w:hAnsi="Arial" w:cs="Times New Roman"/>
      <w:sz w:val="24"/>
      <w:szCs w:val="20"/>
      <w:u w:val="single"/>
    </w:rPr>
  </w:style>
  <w:style w:type="character" w:customStyle="1" w:styleId="Heading6Char">
    <w:name w:val="Heading 6 Char"/>
    <w:basedOn w:val="DefaultParagraphFont"/>
    <w:link w:val="Heading6"/>
    <w:rsid w:val="007E4DD6"/>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7E4DD6"/>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7E4DD6"/>
    <w:rPr>
      <w:rFonts w:ascii="Times New Roman" w:eastAsia="Times New Roman" w:hAnsi="Times New Roman" w:cs="Times New Roman"/>
      <w:b/>
      <w:sz w:val="56"/>
      <w:szCs w:val="20"/>
    </w:rPr>
  </w:style>
  <w:style w:type="character" w:customStyle="1" w:styleId="Heading9Char">
    <w:name w:val="Heading 9 Char"/>
    <w:basedOn w:val="DefaultParagraphFont"/>
    <w:link w:val="Heading9"/>
    <w:rsid w:val="007E4DD6"/>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7E4DD6"/>
    <w:rPr>
      <w:rFonts w:ascii="Times New Roman" w:eastAsia="Times New Roman" w:hAnsi="Times New Roman" w:cs="Times New Roman"/>
      <w:b/>
      <w:sz w:val="28"/>
      <w:szCs w:val="20"/>
    </w:rPr>
  </w:style>
  <w:style w:type="paragraph" w:styleId="TOC1">
    <w:name w:val="toc 1"/>
    <w:basedOn w:val="Normal"/>
    <w:next w:val="Normal"/>
    <w:autoRedefine/>
    <w:uiPriority w:val="39"/>
    <w:qFormat/>
    <w:rsid w:val="007E4DD6"/>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7E4DD6"/>
  </w:style>
  <w:style w:type="character" w:customStyle="1" w:styleId="DocInit">
    <w:name w:val="Doc Init"/>
    <w:basedOn w:val="DefaultParagraphFont"/>
    <w:rsid w:val="007E4DD6"/>
  </w:style>
  <w:style w:type="paragraph" w:customStyle="1" w:styleId="Document1">
    <w:name w:val="Document 1"/>
    <w:rsid w:val="007E4DD6"/>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7E4DD6"/>
    <w:rPr>
      <w:rFonts w:ascii="Times" w:hAnsi="Times"/>
      <w:noProof w:val="0"/>
      <w:sz w:val="24"/>
      <w:lang w:val="en-US"/>
    </w:rPr>
  </w:style>
  <w:style w:type="character" w:customStyle="1" w:styleId="Document3">
    <w:name w:val="Document 3"/>
    <w:rsid w:val="007E4DD6"/>
    <w:rPr>
      <w:rFonts w:ascii="Times" w:hAnsi="Times"/>
      <w:noProof w:val="0"/>
      <w:sz w:val="24"/>
      <w:lang w:val="en-US"/>
    </w:rPr>
  </w:style>
  <w:style w:type="character" w:customStyle="1" w:styleId="Document4">
    <w:name w:val="Document 4"/>
    <w:rsid w:val="007E4DD6"/>
    <w:rPr>
      <w:b/>
      <w:i/>
      <w:sz w:val="24"/>
    </w:rPr>
  </w:style>
  <w:style w:type="character" w:customStyle="1" w:styleId="Document5">
    <w:name w:val="Document 5"/>
    <w:basedOn w:val="DefaultParagraphFont"/>
    <w:rsid w:val="007E4DD6"/>
  </w:style>
  <w:style w:type="character" w:customStyle="1" w:styleId="Document6">
    <w:name w:val="Document 6"/>
    <w:basedOn w:val="DefaultParagraphFont"/>
    <w:rsid w:val="007E4DD6"/>
  </w:style>
  <w:style w:type="character" w:customStyle="1" w:styleId="Document7">
    <w:name w:val="Document 7"/>
    <w:basedOn w:val="DefaultParagraphFont"/>
    <w:rsid w:val="007E4DD6"/>
  </w:style>
  <w:style w:type="character" w:customStyle="1" w:styleId="Document8">
    <w:name w:val="Document 8"/>
    <w:basedOn w:val="DefaultParagraphFont"/>
    <w:rsid w:val="007E4DD6"/>
  </w:style>
  <w:style w:type="character" w:customStyle="1" w:styleId="TechInit">
    <w:name w:val="Tech Init"/>
    <w:rsid w:val="007E4DD6"/>
    <w:rPr>
      <w:rFonts w:ascii="Times" w:hAnsi="Times"/>
      <w:noProof w:val="0"/>
      <w:sz w:val="24"/>
      <w:lang w:val="en-US"/>
    </w:rPr>
  </w:style>
  <w:style w:type="character" w:customStyle="1" w:styleId="Technical1">
    <w:name w:val="Technical 1"/>
    <w:rsid w:val="007E4DD6"/>
    <w:rPr>
      <w:rFonts w:ascii="Times" w:hAnsi="Times"/>
      <w:noProof w:val="0"/>
      <w:sz w:val="24"/>
      <w:lang w:val="en-US"/>
    </w:rPr>
  </w:style>
  <w:style w:type="character" w:customStyle="1" w:styleId="Technical2">
    <w:name w:val="Technical 2"/>
    <w:rsid w:val="007E4DD6"/>
    <w:rPr>
      <w:rFonts w:ascii="Times" w:hAnsi="Times"/>
      <w:noProof w:val="0"/>
      <w:sz w:val="24"/>
      <w:lang w:val="en-US"/>
    </w:rPr>
  </w:style>
  <w:style w:type="character" w:customStyle="1" w:styleId="Technical3">
    <w:name w:val="Technical 3"/>
    <w:rsid w:val="007E4DD6"/>
    <w:rPr>
      <w:rFonts w:ascii="Times" w:hAnsi="Times"/>
      <w:noProof w:val="0"/>
      <w:sz w:val="24"/>
      <w:lang w:val="en-US"/>
    </w:rPr>
  </w:style>
  <w:style w:type="paragraph" w:customStyle="1" w:styleId="Technical4">
    <w:name w:val="Technical 4"/>
    <w:rsid w:val="007E4DD6"/>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7E4DD6"/>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7E4DD6"/>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7E4DD6"/>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7E4DD6"/>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7E4DD6"/>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7E4DD6"/>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7E4DD6"/>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7E4DD6"/>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7E4DD6"/>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2">
    <w:name w:val="toc 2"/>
    <w:basedOn w:val="Normal"/>
    <w:next w:val="Normal"/>
    <w:uiPriority w:val="39"/>
    <w:rsid w:val="007E4DD6"/>
    <w:pPr>
      <w:tabs>
        <w:tab w:val="right" w:leader="dot" w:pos="9000"/>
      </w:tabs>
      <w:suppressAutoHyphens/>
      <w:ind w:left="1440" w:hanging="720"/>
    </w:pPr>
  </w:style>
  <w:style w:type="paragraph" w:styleId="TOC3">
    <w:name w:val="toc 3"/>
    <w:basedOn w:val="Normal"/>
    <w:next w:val="Normal"/>
    <w:rsid w:val="007E4DD6"/>
    <w:pPr>
      <w:tabs>
        <w:tab w:val="right" w:leader="dot" w:pos="9000"/>
      </w:tabs>
      <w:suppressAutoHyphens/>
      <w:ind w:left="1440" w:hanging="720"/>
    </w:pPr>
    <w:rPr>
      <w:i/>
    </w:rPr>
  </w:style>
  <w:style w:type="paragraph" w:styleId="TOC4">
    <w:name w:val="toc 4"/>
    <w:basedOn w:val="Normal"/>
    <w:next w:val="Normal"/>
    <w:rsid w:val="007E4DD6"/>
    <w:pPr>
      <w:tabs>
        <w:tab w:val="left" w:leader="dot" w:pos="8640"/>
        <w:tab w:val="right" w:pos="9000"/>
      </w:tabs>
      <w:suppressAutoHyphens/>
      <w:ind w:left="2880" w:right="720" w:hanging="720"/>
    </w:pPr>
  </w:style>
  <w:style w:type="paragraph" w:styleId="TOC5">
    <w:name w:val="toc 5"/>
    <w:basedOn w:val="Normal"/>
    <w:next w:val="Normal"/>
    <w:rsid w:val="007E4DD6"/>
    <w:pPr>
      <w:tabs>
        <w:tab w:val="left" w:leader="dot" w:pos="8640"/>
        <w:tab w:val="right" w:pos="9000"/>
      </w:tabs>
      <w:suppressAutoHyphens/>
      <w:ind w:left="3600" w:right="720" w:hanging="720"/>
    </w:pPr>
  </w:style>
  <w:style w:type="paragraph" w:styleId="TOC6">
    <w:name w:val="toc 6"/>
    <w:basedOn w:val="Normal"/>
    <w:next w:val="Normal"/>
    <w:rsid w:val="007E4DD6"/>
    <w:pPr>
      <w:tabs>
        <w:tab w:val="left" w:pos="8640"/>
        <w:tab w:val="right" w:pos="9000"/>
      </w:tabs>
      <w:suppressAutoHyphens/>
      <w:ind w:left="720" w:hanging="720"/>
    </w:pPr>
  </w:style>
  <w:style w:type="paragraph" w:styleId="TOC7">
    <w:name w:val="toc 7"/>
    <w:basedOn w:val="Normal"/>
    <w:next w:val="Normal"/>
    <w:rsid w:val="007E4DD6"/>
    <w:pPr>
      <w:suppressAutoHyphens/>
      <w:ind w:left="720" w:hanging="720"/>
    </w:pPr>
  </w:style>
  <w:style w:type="paragraph" w:styleId="TOC8">
    <w:name w:val="toc 8"/>
    <w:basedOn w:val="Normal"/>
    <w:next w:val="Normal"/>
    <w:rsid w:val="007E4DD6"/>
    <w:pPr>
      <w:tabs>
        <w:tab w:val="left" w:pos="8640"/>
        <w:tab w:val="right" w:pos="9000"/>
      </w:tabs>
      <w:suppressAutoHyphens/>
      <w:ind w:left="720" w:hanging="720"/>
    </w:pPr>
  </w:style>
  <w:style w:type="paragraph" w:styleId="TOC9">
    <w:name w:val="toc 9"/>
    <w:basedOn w:val="Normal"/>
    <w:next w:val="Normal"/>
    <w:rsid w:val="007E4DD6"/>
    <w:pPr>
      <w:tabs>
        <w:tab w:val="left" w:leader="dot" w:pos="8640"/>
        <w:tab w:val="right" w:pos="9000"/>
      </w:tabs>
      <w:suppressAutoHyphens/>
      <w:ind w:left="720" w:hanging="720"/>
    </w:pPr>
  </w:style>
  <w:style w:type="paragraph" w:styleId="TOAHeading">
    <w:name w:val="toa heading"/>
    <w:basedOn w:val="Normal"/>
    <w:next w:val="Normal"/>
    <w:rsid w:val="007E4DD6"/>
    <w:pPr>
      <w:tabs>
        <w:tab w:val="left" w:pos="9000"/>
        <w:tab w:val="right" w:pos="9360"/>
      </w:tabs>
      <w:suppressAutoHyphens/>
    </w:pPr>
  </w:style>
  <w:style w:type="paragraph" w:styleId="Caption">
    <w:name w:val="caption"/>
    <w:basedOn w:val="Normal"/>
    <w:next w:val="Normal"/>
    <w:qFormat/>
    <w:rsid w:val="007E4DD6"/>
    <w:rPr>
      <w:rFonts w:ascii="Courier New" w:hAnsi="Courier New"/>
    </w:rPr>
  </w:style>
  <w:style w:type="character" w:customStyle="1" w:styleId="EquationCaption">
    <w:name w:val="_Equation Caption"/>
    <w:rsid w:val="007E4DD6"/>
  </w:style>
  <w:style w:type="character" w:customStyle="1" w:styleId="vlpgno">
    <w:name w:val="vl.pg.no."/>
    <w:rsid w:val="007E4DD6"/>
    <w:rPr>
      <w:rFonts w:ascii="Times" w:hAnsi="Times"/>
      <w:b/>
      <w:noProof w:val="0"/>
      <w:sz w:val="20"/>
      <w:lang w:val="en-US"/>
    </w:rPr>
  </w:style>
  <w:style w:type="character" w:styleId="LineNumber">
    <w:name w:val="line number"/>
    <w:basedOn w:val="DefaultParagraphFont"/>
    <w:uiPriority w:val="99"/>
    <w:rsid w:val="007E4DD6"/>
  </w:style>
  <w:style w:type="paragraph" w:styleId="Title">
    <w:name w:val="Title"/>
    <w:basedOn w:val="Normal"/>
    <w:link w:val="TitleChar"/>
    <w:qFormat/>
    <w:rsid w:val="007E4DD6"/>
    <w:pPr>
      <w:spacing w:before="240" w:after="60"/>
      <w:jc w:val="center"/>
    </w:pPr>
    <w:rPr>
      <w:rFonts w:ascii="Arial" w:hAnsi="Arial"/>
      <w:b/>
      <w:kern w:val="28"/>
      <w:sz w:val="32"/>
    </w:rPr>
  </w:style>
  <w:style w:type="character" w:customStyle="1" w:styleId="TitleChar">
    <w:name w:val="Title Char"/>
    <w:basedOn w:val="DefaultParagraphFont"/>
    <w:link w:val="Title"/>
    <w:rsid w:val="007E4DD6"/>
    <w:rPr>
      <w:rFonts w:ascii="Arial" w:eastAsia="Times New Roman" w:hAnsi="Arial" w:cs="Times New Roman"/>
      <w:b/>
      <w:kern w:val="28"/>
      <w:sz w:val="32"/>
      <w:szCs w:val="20"/>
    </w:rPr>
  </w:style>
  <w:style w:type="character" w:customStyle="1" w:styleId="footnote">
    <w:name w:val="footnote"/>
    <w:rsid w:val="007E4DD6"/>
    <w:rPr>
      <w:rFonts w:ascii="Book Antiqua" w:hAnsi="Book Antiqua"/>
      <w:noProof w:val="0"/>
      <w:sz w:val="24"/>
      <w:lang w:val="en-US"/>
    </w:rPr>
  </w:style>
  <w:style w:type="paragraph" w:styleId="Header">
    <w:name w:val="header"/>
    <w:basedOn w:val="Normal"/>
    <w:link w:val="HeaderChar"/>
    <w:rsid w:val="007E4DD6"/>
    <w:rPr>
      <w:sz w:val="20"/>
    </w:rPr>
  </w:style>
  <w:style w:type="character" w:customStyle="1" w:styleId="HeaderChar">
    <w:name w:val="Header Char"/>
    <w:basedOn w:val="DefaultParagraphFont"/>
    <w:link w:val="Header"/>
    <w:rsid w:val="007E4DD6"/>
    <w:rPr>
      <w:rFonts w:ascii="Times New Roman" w:eastAsia="Times New Roman" w:hAnsi="Times New Roman" w:cs="Times New Roman"/>
      <w:sz w:val="20"/>
      <w:szCs w:val="20"/>
    </w:rPr>
  </w:style>
  <w:style w:type="paragraph" w:styleId="Footer">
    <w:name w:val="footer"/>
    <w:basedOn w:val="Normal"/>
    <w:link w:val="FooterChar"/>
    <w:uiPriority w:val="99"/>
    <w:rsid w:val="007E4DD6"/>
    <w:rPr>
      <w:sz w:val="20"/>
    </w:rPr>
  </w:style>
  <w:style w:type="character" w:customStyle="1" w:styleId="FooterChar">
    <w:name w:val="Footer Char"/>
    <w:basedOn w:val="DefaultParagraphFont"/>
    <w:link w:val="Footer"/>
    <w:uiPriority w:val="99"/>
    <w:rsid w:val="007E4DD6"/>
    <w:rPr>
      <w:rFonts w:ascii="Times New Roman" w:eastAsia="Times New Roman" w:hAnsi="Times New Roman" w:cs="Times New Roman"/>
      <w:sz w:val="20"/>
      <w:szCs w:val="20"/>
    </w:rPr>
  </w:style>
  <w:style w:type="character" w:styleId="PageNumber">
    <w:name w:val="page number"/>
    <w:basedOn w:val="DefaultParagraphFont"/>
    <w:rsid w:val="007E4DD6"/>
  </w:style>
  <w:style w:type="paragraph" w:styleId="FootnoteText">
    <w:name w:val="footnote text"/>
    <w:basedOn w:val="Normal"/>
    <w:link w:val="FootnoteTextChar"/>
    <w:rsid w:val="007E4DD6"/>
    <w:pPr>
      <w:tabs>
        <w:tab w:val="left" w:pos="360"/>
      </w:tabs>
      <w:ind w:left="360" w:hanging="360"/>
    </w:pPr>
    <w:rPr>
      <w:sz w:val="20"/>
    </w:rPr>
  </w:style>
  <w:style w:type="character" w:customStyle="1" w:styleId="FootnoteTextChar">
    <w:name w:val="Footnote Text Char"/>
    <w:basedOn w:val="DefaultParagraphFont"/>
    <w:link w:val="FootnoteText"/>
    <w:rsid w:val="007E4DD6"/>
    <w:rPr>
      <w:rFonts w:ascii="Times New Roman" w:eastAsia="Times New Roman" w:hAnsi="Times New Roman" w:cs="Times New Roman"/>
      <w:sz w:val="20"/>
      <w:szCs w:val="20"/>
    </w:rPr>
  </w:style>
  <w:style w:type="paragraph" w:customStyle="1" w:styleId="Head21">
    <w:name w:val="Head 2.1"/>
    <w:basedOn w:val="Normal"/>
    <w:rsid w:val="007E4DD6"/>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7E4DD6"/>
    <w:pPr>
      <w:tabs>
        <w:tab w:val="left" w:pos="360"/>
      </w:tabs>
      <w:suppressAutoHyphens/>
      <w:spacing w:after="240"/>
      <w:ind w:left="360" w:hanging="360"/>
      <w:jc w:val="left"/>
    </w:pPr>
    <w:rPr>
      <w:b/>
    </w:rPr>
  </w:style>
  <w:style w:type="character" w:styleId="FootnoteReference">
    <w:name w:val="footnote reference"/>
    <w:aliases w:val="callout"/>
    <w:uiPriority w:val="99"/>
    <w:rsid w:val="007E4DD6"/>
    <w:rPr>
      <w:vertAlign w:val="superscript"/>
    </w:rPr>
  </w:style>
  <w:style w:type="character" w:customStyle="1" w:styleId="insert2">
    <w:name w:val="insert2"/>
    <w:rsid w:val="007E4DD6"/>
    <w:rPr>
      <w:rFonts w:ascii="Arial" w:hAnsi="Arial"/>
      <w:i/>
      <w:noProof w:val="0"/>
      <w:sz w:val="24"/>
      <w:lang w:val="en-US"/>
    </w:rPr>
  </w:style>
  <w:style w:type="character" w:customStyle="1" w:styleId="reference">
    <w:name w:val="reference"/>
    <w:rsid w:val="007E4DD6"/>
    <w:rPr>
      <w:rFonts w:ascii="Book Antiqua" w:hAnsi="Book Antiqua"/>
      <w:i/>
      <w:noProof w:val="0"/>
      <w:sz w:val="24"/>
      <w:lang w:val="en-US"/>
    </w:rPr>
  </w:style>
  <w:style w:type="paragraph" w:styleId="Index9">
    <w:name w:val="index 9"/>
    <w:basedOn w:val="Normal"/>
    <w:next w:val="Normal"/>
    <w:rsid w:val="007E4DD6"/>
    <w:pPr>
      <w:tabs>
        <w:tab w:val="right" w:pos="4140"/>
      </w:tabs>
      <w:ind w:left="2160" w:hanging="240"/>
      <w:jc w:val="left"/>
    </w:pPr>
    <w:rPr>
      <w:sz w:val="20"/>
    </w:rPr>
  </w:style>
  <w:style w:type="paragraph" w:styleId="Index1">
    <w:name w:val="index 1"/>
    <w:basedOn w:val="Normal"/>
    <w:next w:val="Normal"/>
    <w:autoRedefine/>
    <w:semiHidden/>
    <w:unhideWhenUsed/>
    <w:rsid w:val="007E4DD6"/>
    <w:pPr>
      <w:ind w:left="240" w:hanging="240"/>
    </w:pPr>
  </w:style>
  <w:style w:type="paragraph" w:styleId="IndexHeading">
    <w:name w:val="index heading"/>
    <w:basedOn w:val="Normal"/>
    <w:next w:val="Index1"/>
    <w:rsid w:val="007E4DD6"/>
    <w:pPr>
      <w:jc w:val="left"/>
    </w:pPr>
    <w:rPr>
      <w:sz w:val="20"/>
    </w:rPr>
  </w:style>
  <w:style w:type="paragraph" w:customStyle="1" w:styleId="Headingrb2">
    <w:name w:val="Heading rb2"/>
    <w:basedOn w:val="Normal"/>
    <w:rsid w:val="007E4DD6"/>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7E4DD6"/>
  </w:style>
  <w:style w:type="paragraph" w:customStyle="1" w:styleId="Head2">
    <w:name w:val="Head 2"/>
    <w:basedOn w:val="Normal"/>
    <w:autoRedefine/>
    <w:rsid w:val="007E4DD6"/>
    <w:pPr>
      <w:spacing w:before="120" w:after="120"/>
    </w:pPr>
    <w:rPr>
      <w:b/>
      <w:lang w:val="en-GB"/>
    </w:rPr>
  </w:style>
  <w:style w:type="paragraph" w:customStyle="1" w:styleId="explanatoryclause">
    <w:name w:val="explanatory_clause"/>
    <w:basedOn w:val="Normal"/>
    <w:rsid w:val="007E4DD6"/>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7E4DD6"/>
    <w:pPr>
      <w:suppressAutoHyphens/>
      <w:spacing w:after="240" w:line="360" w:lineRule="exact"/>
    </w:pPr>
    <w:rPr>
      <w:rFonts w:ascii="Arial" w:hAnsi="Arial"/>
    </w:rPr>
  </w:style>
  <w:style w:type="paragraph" w:customStyle="1" w:styleId="Head22b">
    <w:name w:val="Head 2.2b"/>
    <w:basedOn w:val="Normal"/>
    <w:rsid w:val="007E4DD6"/>
    <w:pPr>
      <w:suppressAutoHyphens/>
      <w:spacing w:after="240"/>
      <w:ind w:left="360" w:hanging="360"/>
      <w:jc w:val="left"/>
    </w:pPr>
    <w:rPr>
      <w:rFonts w:ascii="Tms Rmn" w:hAnsi="Tms Rmn"/>
      <w:b/>
    </w:rPr>
  </w:style>
  <w:style w:type="paragraph" w:customStyle="1" w:styleId="Head31">
    <w:name w:val="Head 3.1"/>
    <w:basedOn w:val="Head21"/>
    <w:rsid w:val="007E4DD6"/>
  </w:style>
  <w:style w:type="paragraph" w:customStyle="1" w:styleId="Head41">
    <w:name w:val="Head 4.1"/>
    <w:basedOn w:val="Head21"/>
    <w:rsid w:val="007E4DD6"/>
  </w:style>
  <w:style w:type="paragraph" w:customStyle="1" w:styleId="Head42">
    <w:name w:val="Head 4.2"/>
    <w:basedOn w:val="Normal"/>
    <w:rsid w:val="007E4DD6"/>
    <w:pPr>
      <w:suppressAutoHyphens/>
      <w:spacing w:after="240"/>
      <w:ind w:left="360" w:hanging="360"/>
      <w:jc w:val="left"/>
    </w:pPr>
    <w:rPr>
      <w:b/>
    </w:rPr>
  </w:style>
  <w:style w:type="paragraph" w:customStyle="1" w:styleId="Head51">
    <w:name w:val="Head 5.1"/>
    <w:basedOn w:val="Head21"/>
    <w:rsid w:val="007E4DD6"/>
    <w:pPr>
      <w:spacing w:after="0"/>
    </w:pPr>
  </w:style>
  <w:style w:type="paragraph" w:customStyle="1" w:styleId="Head52">
    <w:name w:val="Head 5.2"/>
    <w:basedOn w:val="Normal"/>
    <w:rsid w:val="007E4DD6"/>
    <w:pPr>
      <w:keepNext/>
      <w:suppressAutoHyphens/>
      <w:spacing w:before="480" w:after="240"/>
      <w:ind w:left="547" w:hanging="547"/>
      <w:jc w:val="center"/>
    </w:pPr>
    <w:rPr>
      <w:b/>
    </w:rPr>
  </w:style>
  <w:style w:type="paragraph" w:customStyle="1" w:styleId="Head61">
    <w:name w:val="Head 6.1"/>
    <w:basedOn w:val="Head51"/>
    <w:rsid w:val="007E4DD6"/>
    <w:pPr>
      <w:pBdr>
        <w:bottom w:val="none" w:sz="0" w:space="0" w:color="auto"/>
      </w:pBdr>
      <w:spacing w:before="0" w:after="240"/>
    </w:pPr>
    <w:rPr>
      <w:caps/>
    </w:rPr>
  </w:style>
  <w:style w:type="paragraph" w:customStyle="1" w:styleId="Head71">
    <w:name w:val="Head 7.1"/>
    <w:basedOn w:val="Head21"/>
    <w:rsid w:val="007E4DD6"/>
  </w:style>
  <w:style w:type="paragraph" w:customStyle="1" w:styleId="Head72">
    <w:name w:val="Head 7.2"/>
    <w:basedOn w:val="Normal"/>
    <w:rsid w:val="007E4DD6"/>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7E4DD6"/>
    <w:pPr>
      <w:outlineLvl w:val="9"/>
    </w:pPr>
    <w:rPr>
      <w:smallCaps w:val="0"/>
      <w:sz w:val="32"/>
    </w:rPr>
  </w:style>
  <w:style w:type="paragraph" w:customStyle="1" w:styleId="Head82">
    <w:name w:val="Head 8.2"/>
    <w:basedOn w:val="Head81"/>
    <w:rsid w:val="007E4DD6"/>
    <w:rPr>
      <w:smallCaps/>
      <w:sz w:val="28"/>
    </w:rPr>
  </w:style>
  <w:style w:type="paragraph" w:styleId="BodyText">
    <w:name w:val="Body Text"/>
    <w:basedOn w:val="Normal"/>
    <w:link w:val="BodyTextChar"/>
    <w:rsid w:val="007E4DD6"/>
    <w:pPr>
      <w:suppressAutoHyphens/>
      <w:ind w:right="-72"/>
    </w:pPr>
    <w:rPr>
      <w:spacing w:val="-4"/>
    </w:rPr>
  </w:style>
  <w:style w:type="character" w:customStyle="1" w:styleId="BodyTextChar">
    <w:name w:val="Body Text Char"/>
    <w:basedOn w:val="DefaultParagraphFont"/>
    <w:link w:val="BodyText"/>
    <w:rsid w:val="007E4DD6"/>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7E4DD6"/>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E4DD6"/>
    <w:rPr>
      <w:rFonts w:ascii="Times New Roman" w:eastAsia="Times New Roman" w:hAnsi="Times New Roman" w:cs="Times New Roman"/>
      <w:sz w:val="24"/>
      <w:szCs w:val="20"/>
    </w:rPr>
  </w:style>
  <w:style w:type="paragraph" w:styleId="BlockText">
    <w:name w:val="Block Text"/>
    <w:basedOn w:val="Normal"/>
    <w:rsid w:val="007E4DD6"/>
    <w:pPr>
      <w:tabs>
        <w:tab w:val="left" w:pos="1080"/>
      </w:tabs>
      <w:suppressAutoHyphens/>
      <w:spacing w:after="200"/>
      <w:ind w:left="547" w:right="-72" w:hanging="547"/>
    </w:pPr>
  </w:style>
  <w:style w:type="character" w:customStyle="1" w:styleId="EndnoteTextChar">
    <w:name w:val="Endnote Text Char"/>
    <w:link w:val="EndnoteText"/>
    <w:semiHidden/>
    <w:rsid w:val="007E4DD6"/>
    <w:rPr>
      <w:rFonts w:eastAsia="Times New Roman" w:cs="Times New Roman"/>
      <w:sz w:val="20"/>
      <w:szCs w:val="20"/>
    </w:rPr>
  </w:style>
  <w:style w:type="paragraph" w:styleId="EndnoteText">
    <w:name w:val="endnote text"/>
    <w:basedOn w:val="Normal"/>
    <w:link w:val="EndnoteTextChar"/>
    <w:semiHidden/>
    <w:rsid w:val="007E4DD6"/>
    <w:pPr>
      <w:tabs>
        <w:tab w:val="left" w:pos="-720"/>
      </w:tabs>
      <w:suppressAutoHyphens/>
      <w:jc w:val="left"/>
    </w:pPr>
    <w:rPr>
      <w:rFonts w:asciiTheme="minorHAnsi" w:hAnsiTheme="minorHAnsi"/>
      <w:sz w:val="20"/>
    </w:rPr>
  </w:style>
  <w:style w:type="character" w:customStyle="1" w:styleId="EndnoteTextChar1">
    <w:name w:val="Endnote Text Char1"/>
    <w:basedOn w:val="DefaultParagraphFont"/>
    <w:uiPriority w:val="99"/>
    <w:semiHidden/>
    <w:rsid w:val="007E4DD6"/>
    <w:rPr>
      <w:rFonts w:ascii="Times New Roman" w:eastAsia="Times New Roman" w:hAnsi="Times New Roman" w:cs="Times New Roman"/>
      <w:sz w:val="20"/>
      <w:szCs w:val="20"/>
    </w:rPr>
  </w:style>
  <w:style w:type="character" w:styleId="EndnoteReference">
    <w:name w:val="endnote reference"/>
    <w:uiPriority w:val="99"/>
    <w:rsid w:val="007E4DD6"/>
    <w:rPr>
      <w:rFonts w:ascii="CG Times" w:hAnsi="CG Times"/>
      <w:noProof w:val="0"/>
      <w:sz w:val="22"/>
      <w:vertAlign w:val="superscript"/>
      <w:lang w:val="en-US"/>
    </w:rPr>
  </w:style>
  <w:style w:type="paragraph" w:styleId="NormalWeb">
    <w:name w:val="Normal (Web)"/>
    <w:basedOn w:val="Normal"/>
    <w:uiPriority w:val="99"/>
    <w:rsid w:val="007E4DD6"/>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7E4DD6"/>
    <w:pPr>
      <w:suppressAutoHyphens/>
      <w:spacing w:after="140"/>
      <w:jc w:val="left"/>
    </w:pPr>
    <w:rPr>
      <w:i/>
      <w:iCs/>
      <w:color w:val="000000"/>
      <w:szCs w:val="24"/>
    </w:rPr>
  </w:style>
  <w:style w:type="character" w:customStyle="1" w:styleId="BodyText3Char">
    <w:name w:val="Body Text 3 Char"/>
    <w:basedOn w:val="DefaultParagraphFont"/>
    <w:link w:val="BodyText3"/>
    <w:rsid w:val="007E4DD6"/>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7E4DD6"/>
    <w:pPr>
      <w:suppressAutoHyphens/>
    </w:pPr>
    <w:rPr>
      <w:i/>
    </w:rPr>
  </w:style>
  <w:style w:type="character" w:customStyle="1" w:styleId="BodyText2Char">
    <w:name w:val="Body Text 2 Char"/>
    <w:basedOn w:val="DefaultParagraphFont"/>
    <w:link w:val="BodyText2"/>
    <w:rsid w:val="007E4DD6"/>
    <w:rPr>
      <w:rFonts w:ascii="Times New Roman" w:eastAsia="Times New Roman" w:hAnsi="Times New Roman" w:cs="Times New Roman"/>
      <w:i/>
      <w:sz w:val="24"/>
      <w:szCs w:val="20"/>
    </w:rPr>
  </w:style>
  <w:style w:type="paragraph" w:styleId="BodyTextIndent2">
    <w:name w:val="Body Text Indent 2"/>
    <w:basedOn w:val="Normal"/>
    <w:link w:val="BodyTextIndent2Char"/>
    <w:rsid w:val="007E4DD6"/>
    <w:pPr>
      <w:tabs>
        <w:tab w:val="num" w:pos="720"/>
      </w:tabs>
      <w:ind w:left="720" w:hanging="720"/>
      <w:jc w:val="left"/>
    </w:pPr>
  </w:style>
  <w:style w:type="character" w:customStyle="1" w:styleId="BodyTextIndent2Char">
    <w:name w:val="Body Text Indent 2 Char"/>
    <w:basedOn w:val="DefaultParagraphFont"/>
    <w:link w:val="BodyTextIndent2"/>
    <w:rsid w:val="007E4DD6"/>
    <w:rPr>
      <w:rFonts w:ascii="Times New Roman" w:eastAsia="Times New Roman" w:hAnsi="Times New Roman" w:cs="Times New Roman"/>
      <w:sz w:val="24"/>
      <w:szCs w:val="20"/>
    </w:rPr>
  </w:style>
  <w:style w:type="paragraph" w:styleId="List">
    <w:name w:val="List"/>
    <w:aliases w:val="1. List"/>
    <w:basedOn w:val="Normal"/>
    <w:rsid w:val="007E4DD6"/>
    <w:pPr>
      <w:spacing w:before="120" w:after="120"/>
      <w:ind w:left="1440"/>
    </w:pPr>
  </w:style>
  <w:style w:type="paragraph" w:customStyle="1" w:styleId="TOCNumber1">
    <w:name w:val="TOC Number1"/>
    <w:basedOn w:val="Heading4"/>
    <w:autoRedefine/>
    <w:rsid w:val="007E4DD6"/>
    <w:pPr>
      <w:keepNext w:val="0"/>
      <w:suppressAutoHyphens/>
      <w:spacing w:after="120"/>
      <w:ind w:left="0" w:firstLine="0"/>
      <w:outlineLvl w:val="9"/>
    </w:pPr>
    <w:rPr>
      <w:sz w:val="28"/>
      <w:szCs w:val="28"/>
    </w:rPr>
  </w:style>
  <w:style w:type="paragraph" w:customStyle="1" w:styleId="Subtitle2">
    <w:name w:val="Subtitle 2"/>
    <w:basedOn w:val="Footer"/>
    <w:autoRedefine/>
    <w:rsid w:val="007E4DD6"/>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7E4DD6"/>
    <w:pPr>
      <w:suppressAutoHyphens/>
    </w:pPr>
    <w:rPr>
      <w:rFonts w:ascii="Tms Rmn" w:hAnsi="Tms Rmn"/>
    </w:rPr>
  </w:style>
  <w:style w:type="character" w:customStyle="1" w:styleId="iChar">
    <w:name w:val="(i) Char"/>
    <w:link w:val="i"/>
    <w:locked/>
    <w:rsid w:val="007E4DD6"/>
    <w:rPr>
      <w:rFonts w:ascii="Tms Rmn" w:eastAsia="Times New Roman" w:hAnsi="Tms Rmn" w:cs="Times New Roman"/>
      <w:sz w:val="24"/>
      <w:szCs w:val="20"/>
    </w:rPr>
  </w:style>
  <w:style w:type="character" w:styleId="Hyperlink">
    <w:name w:val="Hyperlink"/>
    <w:uiPriority w:val="99"/>
    <w:rsid w:val="007E4DD6"/>
    <w:rPr>
      <w:color w:val="0000FF"/>
      <w:u w:val="single"/>
    </w:rPr>
  </w:style>
  <w:style w:type="paragraph" w:customStyle="1" w:styleId="2AutoList1">
    <w:name w:val="2AutoList1"/>
    <w:basedOn w:val="Normal"/>
    <w:rsid w:val="007E4DD6"/>
    <w:pPr>
      <w:tabs>
        <w:tab w:val="num" w:pos="504"/>
      </w:tabs>
      <w:ind w:left="504" w:hanging="504"/>
    </w:pPr>
    <w:rPr>
      <w:lang w:val="es-ES_tradnl"/>
    </w:rPr>
  </w:style>
  <w:style w:type="paragraph" w:customStyle="1" w:styleId="Header1-Clauses">
    <w:name w:val="Header 1 - Clauses"/>
    <w:basedOn w:val="Normal"/>
    <w:rsid w:val="007E4DD6"/>
    <w:pPr>
      <w:spacing w:after="200"/>
      <w:jc w:val="left"/>
    </w:pPr>
    <w:rPr>
      <w:b/>
      <w:lang w:val="es-ES_tradnl"/>
    </w:rPr>
  </w:style>
  <w:style w:type="paragraph" w:customStyle="1" w:styleId="Header2-SubClauses">
    <w:name w:val="Header 2 - SubClauses"/>
    <w:basedOn w:val="Normal"/>
    <w:link w:val="Header2-SubClausesCharChar"/>
    <w:autoRedefine/>
    <w:rsid w:val="007E4DD6"/>
    <w:pPr>
      <w:spacing w:after="200"/>
      <w:ind w:left="567" w:hanging="567"/>
    </w:pPr>
    <w:rPr>
      <w:lang w:val="es-ES_tradnl"/>
    </w:rPr>
  </w:style>
  <w:style w:type="character" w:customStyle="1" w:styleId="Header2-SubClausesCharChar">
    <w:name w:val="Header 2 - SubClauses Char Char"/>
    <w:link w:val="Header2-SubClauses"/>
    <w:rsid w:val="007E4DD6"/>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7E4DD6"/>
    <w:pPr>
      <w:tabs>
        <w:tab w:val="num" w:pos="864"/>
        <w:tab w:val="left" w:pos="972"/>
      </w:tabs>
      <w:ind w:left="432" w:firstLine="144"/>
      <w:jc w:val="both"/>
    </w:pPr>
    <w:rPr>
      <w:b w:val="0"/>
    </w:rPr>
  </w:style>
  <w:style w:type="paragraph" w:customStyle="1" w:styleId="Outline3">
    <w:name w:val="Outline3"/>
    <w:basedOn w:val="Normal"/>
    <w:rsid w:val="007E4DD6"/>
    <w:pPr>
      <w:tabs>
        <w:tab w:val="num" w:pos="1728"/>
      </w:tabs>
      <w:spacing w:before="240"/>
      <w:ind w:left="1728" w:hanging="432"/>
      <w:jc w:val="left"/>
    </w:pPr>
    <w:rPr>
      <w:kern w:val="28"/>
    </w:rPr>
  </w:style>
  <w:style w:type="paragraph" w:customStyle="1" w:styleId="Outline4">
    <w:name w:val="Outline4"/>
    <w:basedOn w:val="Normal"/>
    <w:autoRedefine/>
    <w:rsid w:val="007E4DD6"/>
    <w:pPr>
      <w:tabs>
        <w:tab w:val="left" w:pos="2160"/>
      </w:tabs>
      <w:ind w:firstLine="567"/>
    </w:pPr>
    <w:rPr>
      <w:kern w:val="28"/>
    </w:rPr>
  </w:style>
  <w:style w:type="paragraph" w:customStyle="1" w:styleId="Outlinei">
    <w:name w:val="Outline i)"/>
    <w:basedOn w:val="Normal"/>
    <w:rsid w:val="007E4DD6"/>
    <w:pPr>
      <w:tabs>
        <w:tab w:val="num" w:pos="1782"/>
      </w:tabs>
      <w:spacing w:before="120"/>
      <w:ind w:left="1782" w:hanging="792"/>
      <w:jc w:val="left"/>
    </w:pPr>
  </w:style>
  <w:style w:type="paragraph" w:customStyle="1" w:styleId="Outline">
    <w:name w:val="Outline"/>
    <w:basedOn w:val="Normal"/>
    <w:rsid w:val="007E4DD6"/>
    <w:pPr>
      <w:spacing w:before="240"/>
      <w:jc w:val="left"/>
    </w:pPr>
    <w:rPr>
      <w:kern w:val="28"/>
    </w:rPr>
  </w:style>
  <w:style w:type="paragraph" w:customStyle="1" w:styleId="BankNormal">
    <w:name w:val="BankNormal"/>
    <w:basedOn w:val="Normal"/>
    <w:rsid w:val="007E4DD6"/>
    <w:pPr>
      <w:spacing w:after="240"/>
      <w:jc w:val="left"/>
    </w:pPr>
  </w:style>
  <w:style w:type="paragraph" w:customStyle="1" w:styleId="SectionVHeader">
    <w:name w:val="Section V. Header"/>
    <w:basedOn w:val="Normal"/>
    <w:uiPriority w:val="99"/>
    <w:rsid w:val="007E4DD6"/>
    <w:pPr>
      <w:jc w:val="center"/>
    </w:pPr>
    <w:rPr>
      <w:b/>
      <w:sz w:val="36"/>
      <w:lang w:val="es-ES_tradnl"/>
    </w:rPr>
  </w:style>
  <w:style w:type="character" w:customStyle="1" w:styleId="Table">
    <w:name w:val="Table"/>
    <w:rsid w:val="007E4DD6"/>
    <w:rPr>
      <w:rFonts w:ascii="Arial" w:hAnsi="Arial"/>
      <w:sz w:val="20"/>
    </w:rPr>
  </w:style>
  <w:style w:type="paragraph" w:customStyle="1" w:styleId="SectionVIIHeader2">
    <w:name w:val="Section VII Header2"/>
    <w:basedOn w:val="Heading1"/>
    <w:autoRedefine/>
    <w:rsid w:val="007E4DD6"/>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7E4DD6"/>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7E4DD6"/>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7E4DD6"/>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7E4DD6"/>
    <w:pPr>
      <w:ind w:left="2835"/>
    </w:pPr>
  </w:style>
  <w:style w:type="paragraph" w:styleId="BalloonText">
    <w:name w:val="Balloon Text"/>
    <w:basedOn w:val="Normal"/>
    <w:link w:val="BalloonTextChar"/>
    <w:uiPriority w:val="99"/>
    <w:rsid w:val="007E4DD6"/>
    <w:rPr>
      <w:rFonts w:ascii="Tahoma" w:hAnsi="Tahoma"/>
      <w:sz w:val="16"/>
      <w:szCs w:val="16"/>
      <w:lang w:val="es-ES_tradnl"/>
    </w:rPr>
  </w:style>
  <w:style w:type="character" w:customStyle="1" w:styleId="BalloonTextChar">
    <w:name w:val="Balloon Text Char"/>
    <w:basedOn w:val="DefaultParagraphFont"/>
    <w:link w:val="BalloonText"/>
    <w:uiPriority w:val="99"/>
    <w:rsid w:val="007E4DD6"/>
    <w:rPr>
      <w:rFonts w:ascii="Tahoma" w:eastAsia="Times New Roman" w:hAnsi="Tahoma" w:cs="Times New Roman"/>
      <w:sz w:val="16"/>
      <w:szCs w:val="16"/>
      <w:lang w:val="es-ES_tradnl"/>
    </w:rPr>
  </w:style>
  <w:style w:type="paragraph" w:customStyle="1" w:styleId="SectionXHeader3">
    <w:name w:val="Section X Header 3"/>
    <w:basedOn w:val="Heading1"/>
    <w:autoRedefine/>
    <w:rsid w:val="007E4DD6"/>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7E4DD6"/>
    <w:rPr>
      <w:sz w:val="16"/>
    </w:rPr>
  </w:style>
  <w:style w:type="paragraph" w:customStyle="1" w:styleId="Part1">
    <w:name w:val="Part 1"/>
    <w:aliases w:val="2,3 Header 4"/>
    <w:basedOn w:val="Normal"/>
    <w:autoRedefine/>
    <w:rsid w:val="007E4DD6"/>
    <w:pPr>
      <w:spacing w:before="240" w:after="240"/>
      <w:jc w:val="center"/>
    </w:pPr>
    <w:rPr>
      <w:b/>
      <w:sz w:val="48"/>
    </w:rPr>
  </w:style>
  <w:style w:type="paragraph" w:styleId="CommentText">
    <w:name w:val="annotation text"/>
    <w:aliases w:val="Char1"/>
    <w:basedOn w:val="Normal"/>
    <w:link w:val="CommentTextChar"/>
    <w:uiPriority w:val="99"/>
    <w:rsid w:val="007E4DD6"/>
    <w:pPr>
      <w:jc w:val="left"/>
    </w:pPr>
    <w:rPr>
      <w:sz w:val="20"/>
    </w:rPr>
  </w:style>
  <w:style w:type="character" w:customStyle="1" w:styleId="CommentTextChar">
    <w:name w:val="Comment Text Char"/>
    <w:aliases w:val="Char1 Char"/>
    <w:basedOn w:val="DefaultParagraphFont"/>
    <w:link w:val="CommentText"/>
    <w:uiPriority w:val="99"/>
    <w:rsid w:val="007E4DD6"/>
    <w:rPr>
      <w:rFonts w:ascii="Times New Roman" w:eastAsia="Times New Roman" w:hAnsi="Times New Roman" w:cs="Times New Roman"/>
      <w:sz w:val="20"/>
      <w:szCs w:val="20"/>
    </w:rPr>
  </w:style>
  <w:style w:type="paragraph" w:styleId="BodyTextIndent3">
    <w:name w:val="Body Text Indent 3"/>
    <w:basedOn w:val="Normal"/>
    <w:link w:val="BodyTextIndent3Char"/>
    <w:rsid w:val="007E4DD6"/>
    <w:pPr>
      <w:spacing w:before="120"/>
      <w:ind w:left="1440" w:hanging="1440"/>
    </w:pPr>
    <w:rPr>
      <w:b/>
    </w:rPr>
  </w:style>
  <w:style w:type="character" w:customStyle="1" w:styleId="BodyTextIndent3Char">
    <w:name w:val="Body Text Indent 3 Char"/>
    <w:basedOn w:val="DefaultParagraphFont"/>
    <w:link w:val="BodyTextIndent3"/>
    <w:rsid w:val="007E4DD6"/>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7E4DD6"/>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7E4DD6"/>
    <w:pPr>
      <w:spacing w:before="100" w:after="300"/>
    </w:pPr>
    <w:rPr>
      <w:sz w:val="30"/>
      <w:szCs w:val="30"/>
    </w:rPr>
  </w:style>
  <w:style w:type="paragraph" w:customStyle="1" w:styleId="FIDICClauseSubName">
    <w:name w:val="FIDIC_ClauseSubName"/>
    <w:basedOn w:val="FIDICCoverTitle"/>
    <w:rsid w:val="007E4DD6"/>
    <w:pPr>
      <w:spacing w:before="240" w:line="240" w:lineRule="exact"/>
    </w:pPr>
    <w:rPr>
      <w:sz w:val="24"/>
      <w:szCs w:val="24"/>
    </w:rPr>
  </w:style>
  <w:style w:type="paragraph" w:customStyle="1" w:styleId="FIDICCoverTitle">
    <w:name w:val="FIDIC__CoverTitle"/>
    <w:basedOn w:val="Normal"/>
    <w:rsid w:val="007E4DD6"/>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7E4DD6"/>
    <w:rPr>
      <w:sz w:val="28"/>
      <w:szCs w:val="28"/>
    </w:rPr>
  </w:style>
  <w:style w:type="paragraph" w:customStyle="1" w:styleId="FIDICClauseSubSubPara">
    <w:name w:val="FIDIC_ClauseSubSubPara"/>
    <w:basedOn w:val="FIDICClauseSubName"/>
    <w:rsid w:val="007E4DD6"/>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7E4DD6"/>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7E4DD6"/>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7E4DD6"/>
    <w:pPr>
      <w:tabs>
        <w:tab w:val="left" w:pos="573"/>
      </w:tabs>
      <w:spacing w:after="0"/>
      <w:ind w:left="576" w:hanging="576"/>
    </w:pPr>
    <w:rPr>
      <w:bCs/>
      <w:szCs w:val="24"/>
      <w:lang w:val="en-US"/>
    </w:rPr>
  </w:style>
  <w:style w:type="paragraph" w:customStyle="1" w:styleId="Sec7-Clauses">
    <w:name w:val="Sec7-Clauses"/>
    <w:basedOn w:val="Header1-Clauses"/>
    <w:rsid w:val="007E4DD6"/>
    <w:pPr>
      <w:spacing w:after="0"/>
    </w:pPr>
    <w:rPr>
      <w:bCs/>
      <w:szCs w:val="24"/>
    </w:rPr>
  </w:style>
  <w:style w:type="paragraph" w:customStyle="1" w:styleId="sec7-header1">
    <w:name w:val="sec7-header1"/>
    <w:basedOn w:val="FIDICClauseSubName"/>
    <w:rsid w:val="007E4DD6"/>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7E4DD6"/>
    <w:rPr>
      <w:lang w:val="en-US"/>
    </w:rPr>
  </w:style>
  <w:style w:type="paragraph" w:customStyle="1" w:styleId="SectionIXHeader">
    <w:name w:val="Section IX Header"/>
    <w:basedOn w:val="SectionVHeader"/>
    <w:rsid w:val="007E4DD6"/>
    <w:rPr>
      <w:lang w:val="en-US"/>
    </w:rPr>
  </w:style>
  <w:style w:type="paragraph" w:customStyle="1" w:styleId="Parts">
    <w:name w:val="Parts"/>
    <w:basedOn w:val="Heading1"/>
    <w:rsid w:val="007E4DD6"/>
    <w:rPr>
      <w:sz w:val="56"/>
    </w:rPr>
  </w:style>
  <w:style w:type="paragraph" w:customStyle="1" w:styleId="StyleHeader1-ClausesLeft0Hanging03After0pt">
    <w:name w:val="Style Header 1 - Clauses + Left:  0&quot; Hanging:  0.3&quot; After:  0 pt"/>
    <w:basedOn w:val="Header1-Clauses"/>
    <w:rsid w:val="007E4DD6"/>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7E4DD6"/>
    <w:rPr>
      <w:b/>
      <w:bCs/>
    </w:rPr>
  </w:style>
  <w:style w:type="character" w:customStyle="1" w:styleId="StyleHeader2-SubClausesBoldChar">
    <w:name w:val="Style Header 2 - SubClauses + Bold Char"/>
    <w:link w:val="StyleHeader2-SubClausesBold"/>
    <w:rsid w:val="007E4DD6"/>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7E4DD6"/>
    <w:pPr>
      <w:jc w:val="both"/>
    </w:pPr>
    <w:rPr>
      <w:b w:val="0"/>
      <w:bCs/>
    </w:rPr>
  </w:style>
  <w:style w:type="paragraph" w:customStyle="1" w:styleId="StyleStyleHeader1-ClausesAfter0ptLeft0Hanging">
    <w:name w:val="Style Style Header 1 - Clauses + After:  0 pt + Left:  0&quot; Hanging:..."/>
    <w:basedOn w:val="StyleHeader1-ClausesAfter0pt"/>
    <w:rsid w:val="007E4DD6"/>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7E4DD6"/>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7E4DD6"/>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7E4DD6"/>
    <w:pPr>
      <w:tabs>
        <w:tab w:val="left" w:pos="1512"/>
      </w:tabs>
      <w:spacing w:after="180"/>
      <w:ind w:left="1512" w:hanging="540"/>
    </w:pPr>
  </w:style>
  <w:style w:type="paragraph" w:customStyle="1" w:styleId="Section7heading3">
    <w:name w:val="Section 7 heading 3"/>
    <w:basedOn w:val="Heading3"/>
    <w:rsid w:val="007E4DD6"/>
  </w:style>
  <w:style w:type="paragraph" w:customStyle="1" w:styleId="Section7heading4">
    <w:name w:val="Section 7 heading 4"/>
    <w:basedOn w:val="Heading3"/>
    <w:link w:val="Section7heading4Char"/>
    <w:rsid w:val="007E4DD6"/>
    <w:pPr>
      <w:tabs>
        <w:tab w:val="left" w:pos="576"/>
      </w:tabs>
      <w:ind w:left="576" w:hanging="576"/>
      <w:jc w:val="left"/>
    </w:pPr>
    <w:rPr>
      <w:sz w:val="24"/>
    </w:rPr>
  </w:style>
  <w:style w:type="character" w:customStyle="1" w:styleId="Section7heading4Char">
    <w:name w:val="Section 7 heading 4 Char"/>
    <w:link w:val="Section7heading4"/>
    <w:rsid w:val="007E4DD6"/>
    <w:rPr>
      <w:rFonts w:ascii="Times New Roman" w:eastAsia="Times New Roman" w:hAnsi="Times New Roman" w:cs="Times New Roman"/>
      <w:b/>
      <w:sz w:val="24"/>
      <w:szCs w:val="20"/>
    </w:rPr>
  </w:style>
  <w:style w:type="paragraph" w:customStyle="1" w:styleId="Section7heading5">
    <w:name w:val="Section 7 heading 5"/>
    <w:basedOn w:val="Heading3"/>
    <w:rsid w:val="007E4DD6"/>
    <w:pPr>
      <w:jc w:val="both"/>
    </w:pPr>
    <w:rPr>
      <w:sz w:val="24"/>
    </w:rPr>
  </w:style>
  <w:style w:type="paragraph" w:customStyle="1" w:styleId="StyleSection7heading3After10pt">
    <w:name w:val="Style Section 7 heading 3 + After:  10 pt"/>
    <w:basedOn w:val="Section7heading3"/>
    <w:rsid w:val="007E4DD6"/>
    <w:pPr>
      <w:spacing w:after="200"/>
    </w:pPr>
    <w:rPr>
      <w:rFonts w:ascii="Times New Roman Bold" w:hAnsi="Times New Roman Bold"/>
      <w:bCs/>
      <w:szCs w:val="28"/>
    </w:rPr>
  </w:style>
  <w:style w:type="paragraph" w:customStyle="1" w:styleId="StyleTOC1Before8pt">
    <w:name w:val="Style TOC 1 + Before:  8 pt"/>
    <w:basedOn w:val="TOC1"/>
    <w:rsid w:val="007E4DD6"/>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7E4DD6"/>
    <w:pPr>
      <w:spacing w:after="200"/>
      <w:jc w:val="both"/>
    </w:pPr>
    <w:rPr>
      <w:sz w:val="24"/>
      <w:szCs w:val="24"/>
    </w:rPr>
  </w:style>
  <w:style w:type="character" w:styleId="FollowedHyperlink">
    <w:name w:val="FollowedHyperlink"/>
    <w:uiPriority w:val="99"/>
    <w:rsid w:val="007E4DD6"/>
    <w:rPr>
      <w:color w:val="606420"/>
      <w:u w:val="single"/>
    </w:rPr>
  </w:style>
  <w:style w:type="paragraph" w:customStyle="1" w:styleId="UG-Sec3-Heading2">
    <w:name w:val="UG - Sec 3 - Heading 2"/>
    <w:basedOn w:val="UG-Heading2"/>
    <w:rsid w:val="007E4DD6"/>
  </w:style>
  <w:style w:type="paragraph" w:customStyle="1" w:styleId="UG-Heading2">
    <w:name w:val="UG - Heading 2"/>
    <w:basedOn w:val="Heading2"/>
    <w:next w:val="Normal"/>
    <w:rsid w:val="007E4DD6"/>
    <w:pPr>
      <w:pBdr>
        <w:bottom w:val="none" w:sz="0" w:space="0" w:color="auto"/>
      </w:pBdr>
    </w:pPr>
    <w:rPr>
      <w:sz w:val="32"/>
      <w:szCs w:val="28"/>
    </w:rPr>
  </w:style>
  <w:style w:type="paragraph" w:customStyle="1" w:styleId="titulo">
    <w:name w:val="titulo"/>
    <w:basedOn w:val="Heading5"/>
    <w:rsid w:val="007E4DD6"/>
    <w:pPr>
      <w:keepNext w:val="0"/>
      <w:spacing w:after="240"/>
    </w:pPr>
    <w:rPr>
      <w:rFonts w:ascii="Times New Roman Bold" w:hAnsi="Times New Roman Bold"/>
      <w:b/>
      <w:u w:val="none"/>
    </w:rPr>
  </w:style>
  <w:style w:type="paragraph" w:styleId="ListNumber">
    <w:name w:val="List Number"/>
    <w:basedOn w:val="Normal"/>
    <w:rsid w:val="007E4DD6"/>
    <w:pPr>
      <w:tabs>
        <w:tab w:val="num" w:pos="360"/>
      </w:tabs>
      <w:ind w:left="360" w:hanging="360"/>
    </w:pPr>
  </w:style>
  <w:style w:type="paragraph" w:customStyle="1" w:styleId="DefaultParagraphFont1">
    <w:name w:val="Default Paragraph Font1"/>
    <w:next w:val="Normal"/>
    <w:rsid w:val="007E4DD6"/>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7E4DD6"/>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7E4DD6"/>
    <w:pPr>
      <w:jc w:val="both"/>
    </w:pPr>
    <w:rPr>
      <w:b/>
      <w:bCs/>
    </w:rPr>
  </w:style>
  <w:style w:type="character" w:customStyle="1" w:styleId="CommentSubjectChar">
    <w:name w:val="Comment Subject Char"/>
    <w:basedOn w:val="CommentTextChar"/>
    <w:link w:val="CommentSubject"/>
    <w:uiPriority w:val="99"/>
    <w:rsid w:val="007E4DD6"/>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7E4DD6"/>
    <w:pPr>
      <w:ind w:left="706" w:hanging="706"/>
      <w:jc w:val="left"/>
    </w:pPr>
    <w:rPr>
      <w:bCs/>
    </w:rPr>
  </w:style>
  <w:style w:type="paragraph" w:customStyle="1" w:styleId="BlockQuotation">
    <w:name w:val="Block Quotation"/>
    <w:basedOn w:val="Normal"/>
    <w:rsid w:val="007E4DD6"/>
    <w:pPr>
      <w:ind w:left="855" w:right="-72" w:hanging="315"/>
    </w:pPr>
    <w:rPr>
      <w:lang w:val="en-GB" w:eastAsia="fr-FR"/>
    </w:rPr>
  </w:style>
  <w:style w:type="paragraph" w:customStyle="1" w:styleId="Header3-Paragraph">
    <w:name w:val="Header 3 - Paragraph"/>
    <w:basedOn w:val="Normal"/>
    <w:rsid w:val="007E4DD6"/>
    <w:pPr>
      <w:tabs>
        <w:tab w:val="num" w:pos="864"/>
        <w:tab w:val="num" w:pos="1152"/>
      </w:tabs>
      <w:spacing w:after="200"/>
      <w:ind w:left="1238" w:hanging="619"/>
    </w:pPr>
    <w:rPr>
      <w:lang w:eastAsia="fr-FR"/>
    </w:rPr>
  </w:style>
  <w:style w:type="paragraph" w:customStyle="1" w:styleId="outlinebullet">
    <w:name w:val="outlinebullet"/>
    <w:basedOn w:val="Normal"/>
    <w:rsid w:val="007E4DD6"/>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7E4DD6"/>
    <w:pPr>
      <w:keepNext/>
      <w:tabs>
        <w:tab w:val="num" w:pos="360"/>
        <w:tab w:val="num" w:pos="420"/>
      </w:tabs>
      <w:ind w:left="360" w:hanging="360"/>
    </w:pPr>
    <w:rPr>
      <w:lang w:eastAsia="fr-FR"/>
    </w:rPr>
  </w:style>
  <w:style w:type="paragraph" w:customStyle="1" w:styleId="Outline2">
    <w:name w:val="Outline2"/>
    <w:basedOn w:val="Normal"/>
    <w:rsid w:val="007E4DD6"/>
    <w:pPr>
      <w:tabs>
        <w:tab w:val="num" w:pos="360"/>
        <w:tab w:val="num" w:pos="420"/>
        <w:tab w:val="num" w:pos="864"/>
      </w:tabs>
      <w:spacing w:before="240"/>
      <w:ind w:left="864" w:hanging="504"/>
      <w:jc w:val="left"/>
    </w:pPr>
    <w:rPr>
      <w:kern w:val="28"/>
      <w:lang w:eastAsia="fr-FR"/>
    </w:rPr>
  </w:style>
  <w:style w:type="paragraph" w:customStyle="1" w:styleId="a11">
    <w:name w:val="a1 1"/>
    <w:rsid w:val="007E4DD6"/>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7E4DD6"/>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7E4DD6"/>
    <w:rPr>
      <w:sz w:val="24"/>
      <w:lang w:val="en-US" w:eastAsia="fr-FR" w:bidi="ar-SA"/>
    </w:rPr>
  </w:style>
  <w:style w:type="paragraph" w:customStyle="1" w:styleId="UGHeader1">
    <w:name w:val="UG Header 1"/>
    <w:basedOn w:val="Heading1"/>
    <w:next w:val="Normal"/>
    <w:rsid w:val="007E4DD6"/>
    <w:pPr>
      <w:spacing w:before="240"/>
    </w:pPr>
    <w:rPr>
      <w:smallCaps w:val="0"/>
    </w:rPr>
  </w:style>
  <w:style w:type="paragraph" w:customStyle="1" w:styleId="UG-Sec3-Heading3">
    <w:name w:val="UG - Sec 3 - Heading 3"/>
    <w:basedOn w:val="Normal"/>
    <w:rsid w:val="007E4DD6"/>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7E4DD6"/>
  </w:style>
  <w:style w:type="paragraph" w:customStyle="1" w:styleId="UG-Sec3b-Heading3">
    <w:name w:val="UG - Sec 3b - Heading 3"/>
    <w:basedOn w:val="UG-Sec3-Heading3"/>
    <w:rsid w:val="007E4DD6"/>
  </w:style>
  <w:style w:type="paragraph" w:customStyle="1" w:styleId="UG-Sec3b-Heading4">
    <w:name w:val="UG - Sec 3b - Heading 4"/>
    <w:basedOn w:val="Normal"/>
    <w:rsid w:val="007E4D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7E4DD6"/>
    <w:pPr>
      <w:spacing w:before="120" w:after="240"/>
      <w:jc w:val="center"/>
    </w:pPr>
    <w:rPr>
      <w:b/>
      <w:sz w:val="36"/>
    </w:rPr>
  </w:style>
  <w:style w:type="paragraph" w:customStyle="1" w:styleId="SectionVHeading2">
    <w:name w:val="Section V. Heading 2"/>
    <w:basedOn w:val="SectionVHeader"/>
    <w:rsid w:val="007E4DD6"/>
    <w:pPr>
      <w:spacing w:before="120" w:after="200"/>
    </w:pPr>
    <w:rPr>
      <w:sz w:val="28"/>
    </w:rPr>
  </w:style>
  <w:style w:type="paragraph" w:customStyle="1" w:styleId="UG-Sec4-heading3">
    <w:name w:val="UG-Sec 4 - heading 3"/>
    <w:basedOn w:val="Normal"/>
    <w:rsid w:val="007E4DD6"/>
    <w:pPr>
      <w:spacing w:before="120" w:after="200"/>
      <w:jc w:val="center"/>
    </w:pPr>
    <w:rPr>
      <w:b/>
      <w:sz w:val="28"/>
      <w:szCs w:val="28"/>
    </w:rPr>
  </w:style>
  <w:style w:type="paragraph" w:customStyle="1" w:styleId="Section1Header2">
    <w:name w:val="Section 1 Header 2"/>
    <w:basedOn w:val="StyleHeader1-ClausesLeft0Hanging03After0pt"/>
    <w:rsid w:val="007E4DD6"/>
    <w:rPr>
      <w:lang w:val="en-US"/>
    </w:rPr>
  </w:style>
  <w:style w:type="paragraph" w:customStyle="1" w:styleId="Section1Header1">
    <w:name w:val="Section 1 Header 1"/>
    <w:basedOn w:val="BodyText2"/>
    <w:rsid w:val="007E4DD6"/>
    <w:pPr>
      <w:spacing w:before="120" w:after="200"/>
      <w:jc w:val="center"/>
    </w:pPr>
    <w:rPr>
      <w:b/>
      <w:bCs/>
      <w:i w:val="0"/>
      <w:iCs/>
      <w:sz w:val="28"/>
    </w:rPr>
  </w:style>
  <w:style w:type="paragraph" w:customStyle="1" w:styleId="Section4heading">
    <w:name w:val="Section 4 heading"/>
    <w:basedOn w:val="Normal"/>
    <w:next w:val="Normal"/>
    <w:rsid w:val="007E4DD6"/>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7E4DD6"/>
    <w:pPr>
      <w:widowControl w:val="0"/>
      <w:autoSpaceDE w:val="0"/>
      <w:autoSpaceDN w:val="0"/>
      <w:spacing w:line="384" w:lineRule="atLeast"/>
      <w:jc w:val="left"/>
    </w:pPr>
    <w:rPr>
      <w:szCs w:val="24"/>
    </w:rPr>
  </w:style>
  <w:style w:type="paragraph" w:customStyle="1" w:styleId="Sec3header">
    <w:name w:val="Sec3 header"/>
    <w:basedOn w:val="Style11"/>
    <w:rsid w:val="007E4DD6"/>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7E4DD6"/>
    <w:pPr>
      <w:widowControl w:val="0"/>
      <w:autoSpaceDE w:val="0"/>
      <w:autoSpaceDN w:val="0"/>
      <w:adjustRightInd w:val="0"/>
      <w:jc w:val="left"/>
    </w:pPr>
    <w:rPr>
      <w:szCs w:val="24"/>
    </w:rPr>
  </w:style>
  <w:style w:type="paragraph" w:customStyle="1" w:styleId="Style17">
    <w:name w:val="Style 17"/>
    <w:basedOn w:val="Normal"/>
    <w:rsid w:val="007E4DD6"/>
    <w:pPr>
      <w:widowControl w:val="0"/>
      <w:autoSpaceDE w:val="0"/>
      <w:autoSpaceDN w:val="0"/>
      <w:spacing w:line="264" w:lineRule="exact"/>
      <w:ind w:left="576" w:hanging="360"/>
      <w:jc w:val="left"/>
    </w:pPr>
    <w:rPr>
      <w:szCs w:val="24"/>
    </w:rPr>
  </w:style>
  <w:style w:type="paragraph" w:customStyle="1" w:styleId="Style20">
    <w:name w:val="Style 20"/>
    <w:basedOn w:val="Normal"/>
    <w:rsid w:val="007E4DD6"/>
    <w:pPr>
      <w:widowControl w:val="0"/>
      <w:autoSpaceDE w:val="0"/>
      <w:autoSpaceDN w:val="0"/>
      <w:spacing w:before="144" w:after="360" w:line="264" w:lineRule="exact"/>
      <w:jc w:val="left"/>
    </w:pPr>
    <w:rPr>
      <w:szCs w:val="24"/>
    </w:rPr>
  </w:style>
  <w:style w:type="paragraph" w:customStyle="1" w:styleId="Header1">
    <w:name w:val="Header1"/>
    <w:basedOn w:val="Normal"/>
    <w:rsid w:val="007E4DD6"/>
    <w:pPr>
      <w:widowControl w:val="0"/>
      <w:autoSpaceDE w:val="0"/>
      <w:autoSpaceDN w:val="0"/>
      <w:spacing w:before="240" w:after="480"/>
      <w:jc w:val="center"/>
    </w:pPr>
    <w:rPr>
      <w:b/>
      <w:bCs/>
      <w:spacing w:val="4"/>
      <w:sz w:val="44"/>
      <w:szCs w:val="46"/>
    </w:rPr>
  </w:style>
  <w:style w:type="paragraph" w:customStyle="1" w:styleId="Default">
    <w:name w:val="Default"/>
    <w:rsid w:val="007E4D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7E4DD6"/>
    <w:pPr>
      <w:suppressAutoHyphens/>
      <w:spacing w:after="100"/>
      <w:jc w:val="center"/>
    </w:pPr>
    <w:rPr>
      <w:rFonts w:ascii="Times New Roman Bold" w:hAnsi="Times New Roman Bold"/>
      <w:b/>
    </w:rPr>
  </w:style>
  <w:style w:type="paragraph" w:customStyle="1" w:styleId="Style12">
    <w:name w:val="Style 12"/>
    <w:basedOn w:val="Normal"/>
    <w:rsid w:val="007E4DD6"/>
    <w:pPr>
      <w:widowControl w:val="0"/>
      <w:autoSpaceDE w:val="0"/>
      <w:autoSpaceDN w:val="0"/>
      <w:spacing w:line="264" w:lineRule="exact"/>
      <w:ind w:hanging="576"/>
    </w:pPr>
    <w:rPr>
      <w:szCs w:val="24"/>
    </w:rPr>
  </w:style>
  <w:style w:type="paragraph" w:customStyle="1" w:styleId="TextBox">
    <w:name w:val="Text Box"/>
    <w:rsid w:val="007E4DD6"/>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7E4DD6"/>
    <w:pPr>
      <w:spacing w:before="120" w:after="120"/>
    </w:pPr>
    <w:rPr>
      <w:spacing w:val="-4"/>
    </w:rPr>
  </w:style>
  <w:style w:type="paragraph" w:customStyle="1" w:styleId="Heading1-Clausename">
    <w:name w:val="Heading 1- Clause name"/>
    <w:basedOn w:val="Normal"/>
    <w:rsid w:val="007E4DD6"/>
    <w:pPr>
      <w:tabs>
        <w:tab w:val="num" w:pos="360"/>
      </w:tabs>
      <w:spacing w:before="120" w:after="120"/>
      <w:ind w:left="360" w:hanging="360"/>
      <w:jc w:val="left"/>
    </w:pPr>
    <w:rPr>
      <w:b/>
    </w:rPr>
  </w:style>
  <w:style w:type="paragraph" w:customStyle="1" w:styleId="sec7-clauses0">
    <w:name w:val="sec7-clauses"/>
    <w:basedOn w:val="Heading1-Clausename"/>
    <w:rsid w:val="007E4DD6"/>
  </w:style>
  <w:style w:type="paragraph" w:customStyle="1" w:styleId="Sec1-Clauses">
    <w:name w:val="Sec1-Clauses"/>
    <w:basedOn w:val="Heading1-Clausename"/>
    <w:rsid w:val="007E4DD6"/>
  </w:style>
  <w:style w:type="paragraph" w:styleId="DocumentMap">
    <w:name w:val="Document Map"/>
    <w:basedOn w:val="Normal"/>
    <w:link w:val="DocumentMapChar"/>
    <w:rsid w:val="007E4DD6"/>
    <w:pPr>
      <w:shd w:val="clear" w:color="auto" w:fill="000080"/>
      <w:jc w:val="left"/>
    </w:pPr>
    <w:rPr>
      <w:rFonts w:ascii="Tahoma" w:hAnsi="Tahoma"/>
    </w:rPr>
  </w:style>
  <w:style w:type="character" w:customStyle="1" w:styleId="DocumentMapChar">
    <w:name w:val="Document Map Char"/>
    <w:basedOn w:val="DefaultParagraphFont"/>
    <w:link w:val="DocumentMap"/>
    <w:rsid w:val="007E4DD6"/>
    <w:rPr>
      <w:rFonts w:ascii="Tahoma" w:eastAsia="Times New Roman" w:hAnsi="Tahoma" w:cs="Times New Roman"/>
      <w:sz w:val="24"/>
      <w:szCs w:val="20"/>
      <w:shd w:val="clear" w:color="auto" w:fill="000080"/>
    </w:rPr>
  </w:style>
  <w:style w:type="paragraph" w:customStyle="1" w:styleId="Head12">
    <w:name w:val="Head 1.2"/>
    <w:basedOn w:val="Normal"/>
    <w:rsid w:val="007E4DD6"/>
    <w:pPr>
      <w:tabs>
        <w:tab w:val="num" w:pos="360"/>
      </w:tabs>
      <w:ind w:left="360" w:hanging="360"/>
    </w:pPr>
    <w:rPr>
      <w:rFonts w:ascii="Arial" w:hAnsi="Arial"/>
      <w:sz w:val="20"/>
    </w:rPr>
  </w:style>
  <w:style w:type="paragraph" w:customStyle="1" w:styleId="ChapterNumber">
    <w:name w:val="ChapterNumber"/>
    <w:rsid w:val="007E4DD6"/>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7E4DD6"/>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7E4DD6"/>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7E4DD6"/>
    <w:rPr>
      <w:rFonts w:ascii="Cambria" w:eastAsia="Times New Roman" w:hAnsi="Cambria" w:cs="Times New Roman"/>
      <w:b/>
      <w:bCs/>
      <w:color w:val="365F91"/>
      <w:sz w:val="28"/>
      <w:szCs w:val="28"/>
    </w:rPr>
  </w:style>
  <w:style w:type="character" w:customStyle="1" w:styleId="st">
    <w:name w:val="st"/>
    <w:basedOn w:val="DefaultParagraphFont"/>
    <w:rsid w:val="007E4DD6"/>
  </w:style>
  <w:style w:type="paragraph" w:customStyle="1" w:styleId="plane">
    <w:name w:val="plane"/>
    <w:basedOn w:val="Normal"/>
    <w:rsid w:val="007E4DD6"/>
    <w:pPr>
      <w:suppressAutoHyphens/>
    </w:pPr>
    <w:rPr>
      <w:rFonts w:ascii="Tms Rmn" w:hAnsi="Tms Rmn"/>
    </w:rPr>
  </w:style>
  <w:style w:type="paragraph" w:customStyle="1" w:styleId="S1-Header2">
    <w:name w:val="S1-Header2"/>
    <w:basedOn w:val="Normal"/>
    <w:rsid w:val="007E4DD6"/>
    <w:pPr>
      <w:tabs>
        <w:tab w:val="num" w:pos="360"/>
      </w:tabs>
      <w:spacing w:after="200"/>
      <w:jc w:val="left"/>
    </w:pPr>
    <w:rPr>
      <w:b/>
      <w:szCs w:val="24"/>
    </w:rPr>
  </w:style>
  <w:style w:type="paragraph" w:customStyle="1" w:styleId="S4-Header2">
    <w:name w:val="S4-Header 2"/>
    <w:basedOn w:val="Normal"/>
    <w:rsid w:val="007E4DD6"/>
    <w:pPr>
      <w:spacing w:before="120" w:after="240"/>
      <w:jc w:val="center"/>
    </w:pPr>
    <w:rPr>
      <w:b/>
      <w:sz w:val="32"/>
      <w:szCs w:val="24"/>
    </w:rPr>
  </w:style>
  <w:style w:type="paragraph" w:styleId="NormalIndent">
    <w:name w:val="Normal Indent"/>
    <w:basedOn w:val="Normal"/>
    <w:unhideWhenUsed/>
    <w:rsid w:val="007E4DD6"/>
    <w:pPr>
      <w:ind w:left="720"/>
      <w:jc w:val="left"/>
    </w:pPr>
    <w:rPr>
      <w:szCs w:val="24"/>
    </w:rPr>
  </w:style>
  <w:style w:type="paragraph" w:styleId="ListBullet">
    <w:name w:val="List Bullet"/>
    <w:basedOn w:val="Normal"/>
    <w:autoRedefine/>
    <w:unhideWhenUsed/>
    <w:rsid w:val="007E4DD6"/>
    <w:pPr>
      <w:tabs>
        <w:tab w:val="num" w:pos="360"/>
      </w:tabs>
      <w:ind w:left="360" w:hanging="360"/>
      <w:jc w:val="left"/>
    </w:pPr>
    <w:rPr>
      <w:sz w:val="20"/>
    </w:rPr>
  </w:style>
  <w:style w:type="paragraph" w:styleId="List2">
    <w:name w:val="List 2"/>
    <w:basedOn w:val="Normal"/>
    <w:unhideWhenUsed/>
    <w:rsid w:val="007E4DD6"/>
    <w:pPr>
      <w:ind w:left="720" w:hanging="360"/>
      <w:jc w:val="left"/>
    </w:pPr>
    <w:rPr>
      <w:szCs w:val="24"/>
    </w:rPr>
  </w:style>
  <w:style w:type="paragraph" w:styleId="List3">
    <w:name w:val="List 3"/>
    <w:basedOn w:val="Normal"/>
    <w:unhideWhenUsed/>
    <w:rsid w:val="007E4DD6"/>
    <w:pPr>
      <w:ind w:left="1080" w:hanging="360"/>
      <w:jc w:val="left"/>
    </w:pPr>
    <w:rPr>
      <w:szCs w:val="24"/>
    </w:rPr>
  </w:style>
  <w:style w:type="paragraph" w:styleId="ListBullet2">
    <w:name w:val="List Bullet 2"/>
    <w:basedOn w:val="Normal"/>
    <w:autoRedefine/>
    <w:unhideWhenUsed/>
    <w:rsid w:val="007E4DD6"/>
    <w:pPr>
      <w:tabs>
        <w:tab w:val="num" w:pos="720"/>
      </w:tabs>
      <w:ind w:left="720" w:hanging="360"/>
      <w:jc w:val="left"/>
    </w:pPr>
    <w:rPr>
      <w:sz w:val="20"/>
    </w:rPr>
  </w:style>
  <w:style w:type="paragraph" w:styleId="ListBullet3">
    <w:name w:val="List Bullet 3"/>
    <w:basedOn w:val="Normal"/>
    <w:autoRedefine/>
    <w:unhideWhenUsed/>
    <w:rsid w:val="007E4DD6"/>
    <w:pPr>
      <w:tabs>
        <w:tab w:val="num" w:pos="1080"/>
      </w:tabs>
      <w:ind w:left="1080" w:hanging="360"/>
      <w:jc w:val="left"/>
    </w:pPr>
    <w:rPr>
      <w:sz w:val="20"/>
    </w:rPr>
  </w:style>
  <w:style w:type="paragraph" w:styleId="ListBullet4">
    <w:name w:val="List Bullet 4"/>
    <w:basedOn w:val="Normal"/>
    <w:autoRedefine/>
    <w:unhideWhenUsed/>
    <w:rsid w:val="007E4DD6"/>
    <w:pPr>
      <w:tabs>
        <w:tab w:val="num" w:pos="1440"/>
      </w:tabs>
      <w:ind w:left="1440" w:hanging="360"/>
      <w:jc w:val="left"/>
    </w:pPr>
    <w:rPr>
      <w:sz w:val="20"/>
    </w:rPr>
  </w:style>
  <w:style w:type="paragraph" w:styleId="ListBullet5">
    <w:name w:val="List Bullet 5"/>
    <w:basedOn w:val="Normal"/>
    <w:autoRedefine/>
    <w:unhideWhenUsed/>
    <w:rsid w:val="007E4DD6"/>
    <w:pPr>
      <w:tabs>
        <w:tab w:val="num" w:pos="1800"/>
      </w:tabs>
      <w:ind w:left="1800" w:hanging="360"/>
      <w:jc w:val="left"/>
    </w:pPr>
    <w:rPr>
      <w:sz w:val="20"/>
    </w:rPr>
  </w:style>
  <w:style w:type="paragraph" w:styleId="ListNumber2">
    <w:name w:val="List Number 2"/>
    <w:basedOn w:val="Normal"/>
    <w:unhideWhenUsed/>
    <w:rsid w:val="007E4DD6"/>
    <w:pPr>
      <w:tabs>
        <w:tab w:val="num" w:pos="720"/>
      </w:tabs>
      <w:ind w:left="720" w:hanging="360"/>
      <w:jc w:val="left"/>
    </w:pPr>
    <w:rPr>
      <w:sz w:val="20"/>
    </w:rPr>
  </w:style>
  <w:style w:type="paragraph" w:styleId="ListNumber3">
    <w:name w:val="List Number 3"/>
    <w:basedOn w:val="Normal"/>
    <w:unhideWhenUsed/>
    <w:rsid w:val="007E4DD6"/>
    <w:pPr>
      <w:tabs>
        <w:tab w:val="num" w:pos="1080"/>
      </w:tabs>
      <w:ind w:left="1080" w:hanging="360"/>
      <w:jc w:val="left"/>
    </w:pPr>
    <w:rPr>
      <w:sz w:val="20"/>
    </w:rPr>
  </w:style>
  <w:style w:type="paragraph" w:styleId="ListNumber4">
    <w:name w:val="List Number 4"/>
    <w:basedOn w:val="Normal"/>
    <w:unhideWhenUsed/>
    <w:rsid w:val="007E4DD6"/>
    <w:pPr>
      <w:tabs>
        <w:tab w:val="num" w:pos="1440"/>
      </w:tabs>
      <w:ind w:left="1440" w:hanging="360"/>
      <w:jc w:val="left"/>
    </w:pPr>
    <w:rPr>
      <w:sz w:val="20"/>
    </w:rPr>
  </w:style>
  <w:style w:type="paragraph" w:styleId="ListNumber5">
    <w:name w:val="List Number 5"/>
    <w:basedOn w:val="Normal"/>
    <w:unhideWhenUsed/>
    <w:rsid w:val="007E4DD6"/>
    <w:pPr>
      <w:tabs>
        <w:tab w:val="num" w:pos="1800"/>
      </w:tabs>
      <w:ind w:left="1800" w:hanging="360"/>
      <w:jc w:val="left"/>
    </w:pPr>
    <w:rPr>
      <w:sz w:val="20"/>
    </w:rPr>
  </w:style>
  <w:style w:type="paragraph" w:styleId="ListContinue2">
    <w:name w:val="List Continue 2"/>
    <w:basedOn w:val="Normal"/>
    <w:unhideWhenUsed/>
    <w:rsid w:val="007E4DD6"/>
    <w:pPr>
      <w:spacing w:after="120"/>
      <w:ind w:left="720"/>
      <w:jc w:val="left"/>
    </w:pPr>
    <w:rPr>
      <w:szCs w:val="24"/>
    </w:rPr>
  </w:style>
  <w:style w:type="paragraph" w:styleId="ListContinue3">
    <w:name w:val="List Continue 3"/>
    <w:basedOn w:val="Normal"/>
    <w:unhideWhenUsed/>
    <w:rsid w:val="007E4DD6"/>
    <w:pPr>
      <w:spacing w:after="120"/>
      <w:ind w:left="1080"/>
      <w:jc w:val="left"/>
    </w:pPr>
    <w:rPr>
      <w:szCs w:val="24"/>
    </w:rPr>
  </w:style>
  <w:style w:type="paragraph" w:styleId="MessageHeader">
    <w:name w:val="Message Header"/>
    <w:basedOn w:val="Normal"/>
    <w:link w:val="MessageHeaderChar"/>
    <w:unhideWhenUsed/>
    <w:rsid w:val="007E4DD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7E4DD6"/>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7E4DD6"/>
    <w:pPr>
      <w:suppressAutoHyphens/>
      <w:overflowPunct w:val="0"/>
      <w:autoSpaceDE w:val="0"/>
      <w:autoSpaceDN w:val="0"/>
      <w:adjustRightInd w:val="0"/>
    </w:pPr>
  </w:style>
  <w:style w:type="character" w:customStyle="1" w:styleId="NoteHeadingChar">
    <w:name w:val="Note Heading Char"/>
    <w:basedOn w:val="DefaultParagraphFont"/>
    <w:link w:val="NoteHeading"/>
    <w:rsid w:val="007E4DD6"/>
    <w:rPr>
      <w:rFonts w:ascii="Times New Roman" w:eastAsia="Times New Roman" w:hAnsi="Times New Roman" w:cs="Times New Roman"/>
      <w:sz w:val="24"/>
      <w:szCs w:val="20"/>
    </w:rPr>
  </w:style>
  <w:style w:type="paragraph" w:customStyle="1" w:styleId="SectionTitle">
    <w:name w:val="Section Title"/>
    <w:next w:val="Normal"/>
    <w:rsid w:val="007E4DD6"/>
    <w:pPr>
      <w:spacing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7E4DD6"/>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7E4DD6"/>
    <w:pPr>
      <w:jc w:val="left"/>
    </w:pPr>
    <w:rPr>
      <w:szCs w:val="24"/>
    </w:rPr>
  </w:style>
  <w:style w:type="paragraph" w:customStyle="1" w:styleId="ShortReturnAddress">
    <w:name w:val="Short Return Address"/>
    <w:basedOn w:val="Normal"/>
    <w:rsid w:val="007E4DD6"/>
    <w:pPr>
      <w:jc w:val="left"/>
    </w:pPr>
    <w:rPr>
      <w:szCs w:val="24"/>
    </w:rPr>
  </w:style>
  <w:style w:type="paragraph" w:customStyle="1" w:styleId="BHead">
    <w:name w:val="B Head"/>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7E4DD6"/>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7E4DD6"/>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7E4DD6"/>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7E4DD6"/>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7E4DD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7E4DD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7E4DD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7E4DD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7E4DD6"/>
    <w:pPr>
      <w:spacing w:before="240" w:after="240"/>
      <w:ind w:left="1418"/>
      <w:jc w:val="left"/>
    </w:pPr>
    <w:rPr>
      <w:szCs w:val="24"/>
    </w:rPr>
  </w:style>
  <w:style w:type="paragraph" w:customStyle="1" w:styleId="e4">
    <w:name w:val="e4"/>
    <w:aliases w:val="exh line end"/>
    <w:basedOn w:val="Normal"/>
    <w:next w:val="Normal"/>
    <w:rsid w:val="007E4DD6"/>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7E4DD6"/>
    <w:pPr>
      <w:spacing w:before="120" w:after="200"/>
    </w:pPr>
    <w:rPr>
      <w:b/>
    </w:rPr>
  </w:style>
  <w:style w:type="paragraph" w:customStyle="1" w:styleId="S1-Header1">
    <w:name w:val="S1-Header1"/>
    <w:basedOn w:val="Normal"/>
    <w:rsid w:val="007E4DD6"/>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7E4DD6"/>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7E4DD6"/>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7E4DD6"/>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7E4DD6"/>
    <w:pPr>
      <w:spacing w:before="120" w:after="240"/>
      <w:jc w:val="center"/>
    </w:pPr>
    <w:rPr>
      <w:b/>
      <w:bCs/>
      <w:sz w:val="36"/>
    </w:rPr>
  </w:style>
  <w:style w:type="paragraph" w:customStyle="1" w:styleId="S3-Header1">
    <w:name w:val="S3-Header 1"/>
    <w:basedOn w:val="Normal"/>
    <w:rsid w:val="007E4DD6"/>
    <w:pPr>
      <w:spacing w:before="120" w:after="200"/>
      <w:ind w:left="1080" w:hanging="720"/>
    </w:pPr>
    <w:rPr>
      <w:b/>
      <w:bCs/>
      <w:noProof/>
      <w:sz w:val="28"/>
    </w:rPr>
  </w:style>
  <w:style w:type="paragraph" w:customStyle="1" w:styleId="S3-Heading2">
    <w:name w:val="S3-Heading 2"/>
    <w:basedOn w:val="Normal"/>
    <w:rsid w:val="007E4DD6"/>
    <w:pPr>
      <w:spacing w:after="200"/>
      <w:ind w:left="1080" w:right="288" w:hanging="720"/>
    </w:pPr>
    <w:rPr>
      <w:b/>
      <w:bCs/>
      <w:szCs w:val="24"/>
    </w:rPr>
  </w:style>
  <w:style w:type="paragraph" w:customStyle="1" w:styleId="S4Header">
    <w:name w:val="S4 Header"/>
    <w:basedOn w:val="Normal"/>
    <w:next w:val="Normal"/>
    <w:rsid w:val="007E4DD6"/>
    <w:pPr>
      <w:spacing w:before="120" w:after="240"/>
      <w:jc w:val="center"/>
    </w:pPr>
    <w:rPr>
      <w:b/>
      <w:sz w:val="32"/>
    </w:rPr>
  </w:style>
  <w:style w:type="paragraph" w:customStyle="1" w:styleId="S4-Header10">
    <w:name w:val="S4-Header 1"/>
    <w:basedOn w:val="Normal"/>
    <w:next w:val="Normal"/>
    <w:rsid w:val="007E4DD6"/>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7E4DD6"/>
    <w:pPr>
      <w:spacing w:before="120" w:after="240"/>
      <w:ind w:left="360" w:right="288"/>
    </w:pPr>
    <w:rPr>
      <w:bCs/>
      <w:sz w:val="32"/>
    </w:rPr>
  </w:style>
  <w:style w:type="paragraph" w:customStyle="1" w:styleId="S6-Header1">
    <w:name w:val="S6-Header 1"/>
    <w:basedOn w:val="Normal"/>
    <w:next w:val="Normal"/>
    <w:rsid w:val="007E4DD6"/>
    <w:pPr>
      <w:spacing w:before="120" w:after="240"/>
      <w:jc w:val="center"/>
    </w:pPr>
    <w:rPr>
      <w:rFonts w:cs="Arial"/>
      <w:b/>
      <w:sz w:val="32"/>
      <w:szCs w:val="24"/>
    </w:rPr>
  </w:style>
  <w:style w:type="paragraph" w:customStyle="1" w:styleId="Part">
    <w:name w:val="Part"/>
    <w:basedOn w:val="Normal"/>
    <w:rsid w:val="007E4DD6"/>
    <w:pPr>
      <w:keepNext/>
      <w:spacing w:before="2280"/>
      <w:jc w:val="center"/>
    </w:pPr>
    <w:rPr>
      <w:b/>
      <w:sz w:val="52"/>
      <w:szCs w:val="24"/>
    </w:rPr>
  </w:style>
  <w:style w:type="paragraph" w:customStyle="1" w:styleId="StyleHead41Before6ptAfter6pt">
    <w:name w:val="Style Head 4.1 + Before:  6 pt After:  6 pt"/>
    <w:basedOn w:val="Head41"/>
    <w:rsid w:val="007E4DD6"/>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7E4DD6"/>
    <w:pPr>
      <w:spacing w:before="120" w:after="240"/>
      <w:jc w:val="center"/>
    </w:pPr>
    <w:rPr>
      <w:b/>
      <w:sz w:val="36"/>
      <w:szCs w:val="24"/>
    </w:rPr>
  </w:style>
  <w:style w:type="paragraph" w:customStyle="1" w:styleId="StyleS1-Header1TimesNewRoman14pt">
    <w:name w:val="Style S1-Header1 + Times New Roman 14 pt"/>
    <w:basedOn w:val="S1-Header1"/>
    <w:rsid w:val="007E4DD6"/>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7E4DD6"/>
    <w:pPr>
      <w:tabs>
        <w:tab w:val="num" w:pos="648"/>
      </w:tabs>
      <w:ind w:left="360" w:hanging="72"/>
    </w:pPr>
  </w:style>
  <w:style w:type="paragraph" w:customStyle="1" w:styleId="StyleStyleS1-Header1TimesNewRoman14pt1">
    <w:name w:val="Style Style S1-Header1 + Times New Roman 14 pt +1"/>
    <w:basedOn w:val="StyleS1-Header1TimesNewRoman14pt"/>
    <w:rsid w:val="007E4DD6"/>
    <w:pPr>
      <w:tabs>
        <w:tab w:val="num" w:pos="648"/>
      </w:tabs>
      <w:ind w:left="360" w:hanging="72"/>
    </w:pPr>
  </w:style>
  <w:style w:type="character" w:customStyle="1" w:styleId="AHead">
    <w:name w:val="A Head"/>
    <w:rsid w:val="007E4DD6"/>
    <w:rPr>
      <w:rFonts w:ascii="Times New Roman" w:hAnsi="Times New Roman" w:cs="Times New Roman" w:hint="default"/>
      <w:noProof w:val="0"/>
      <w:sz w:val="20"/>
      <w:lang w:val="en-US"/>
    </w:rPr>
  </w:style>
  <w:style w:type="character" w:customStyle="1" w:styleId="DefaultPara">
    <w:name w:val="Default Para"/>
    <w:rsid w:val="007E4DD6"/>
    <w:rPr>
      <w:rFonts w:ascii="CG Times" w:hAnsi="CG Times" w:hint="default"/>
      <w:b/>
      <w:bCs w:val="0"/>
      <w:i/>
      <w:iCs w:val="0"/>
      <w:noProof w:val="0"/>
      <w:sz w:val="24"/>
      <w:lang w:val="en-US"/>
    </w:rPr>
  </w:style>
  <w:style w:type="character" w:customStyle="1" w:styleId="BulletList">
    <w:name w:val="Bullet List"/>
    <w:basedOn w:val="DefaultParagraphFont"/>
    <w:rsid w:val="007E4DD6"/>
  </w:style>
  <w:style w:type="character" w:customStyle="1" w:styleId="StyleHeader2-SubClausesItalicChar">
    <w:name w:val="Style Header 2 - SubClauses + Italic Char"/>
    <w:rsid w:val="007E4DD6"/>
    <w:rPr>
      <w:rFonts w:ascii="Arial" w:hAnsi="Arial" w:cs="Arial" w:hint="default"/>
      <w:i/>
      <w:iCs/>
      <w:sz w:val="24"/>
      <w:szCs w:val="24"/>
      <w:lang w:val="en-US" w:eastAsia="en-US" w:bidi="ar-SA"/>
    </w:rPr>
  </w:style>
  <w:style w:type="character" w:customStyle="1" w:styleId="S1-Header1CharChar">
    <w:name w:val="S1-Header1 Char Char"/>
    <w:rsid w:val="007E4DD6"/>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7E4DD6"/>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7E4DD6"/>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7E4DD6"/>
    <w:rPr>
      <w:rFonts w:ascii="Arial" w:hAnsi="Arial" w:cs="Arial" w:hint="default"/>
      <w:b w:val="0"/>
      <w:bCs w:val="0"/>
      <w:sz w:val="28"/>
      <w:szCs w:val="24"/>
      <w:lang w:val="en-US" w:eastAsia="en-US" w:bidi="ar-SA"/>
    </w:rPr>
  </w:style>
  <w:style w:type="character" w:customStyle="1" w:styleId="hps">
    <w:name w:val="hps"/>
    <w:rsid w:val="007E4DD6"/>
  </w:style>
  <w:style w:type="character" w:customStyle="1" w:styleId="shorttext">
    <w:name w:val="short_text"/>
    <w:rsid w:val="007E4DD6"/>
  </w:style>
  <w:style w:type="character" w:customStyle="1" w:styleId="atn">
    <w:name w:val="atn"/>
    <w:rsid w:val="007E4DD6"/>
  </w:style>
  <w:style w:type="character" w:customStyle="1" w:styleId="dieuChar">
    <w:name w:val="dieu Char"/>
    <w:rsid w:val="007E4DD6"/>
    <w:rPr>
      <w:rFonts w:ascii="Times New Roman" w:eastAsia="Times New Roman" w:hAnsi="Times New Roman" w:cs="Times New Roman"/>
      <w:b/>
      <w:color w:val="0000FF"/>
      <w:sz w:val="26"/>
      <w:szCs w:val="20"/>
      <w:lang w:val="en-US"/>
    </w:rPr>
  </w:style>
  <w:style w:type="paragraph" w:customStyle="1" w:styleId="3">
    <w:name w:val="3"/>
    <w:basedOn w:val="Heading3"/>
    <w:rsid w:val="007E4DD6"/>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7E4DD6"/>
    <w:pPr>
      <w:spacing w:after="120"/>
      <w:ind w:left="0" w:right="0" w:firstLine="567"/>
      <w:jc w:val="right"/>
    </w:pPr>
    <w:rPr>
      <w:rFonts w:ascii=".VnTime" w:hAnsi=".VnTime"/>
      <w:sz w:val="28"/>
      <w:szCs w:val="28"/>
      <w:u w:val="single"/>
      <w:lang w:val="de-DE"/>
    </w:rPr>
  </w:style>
  <w:style w:type="paragraph" w:customStyle="1" w:styleId="4">
    <w:name w:val="4"/>
    <w:basedOn w:val="Normal"/>
    <w:rsid w:val="007E4DD6"/>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7E4DD6"/>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7E4DD6"/>
    <w:rPr>
      <w:rFonts w:ascii="Times New Roman" w:eastAsia="Times New Roman" w:hAnsi="Times New Roman" w:cs="Times New Roman"/>
      <w:sz w:val="24"/>
      <w:szCs w:val="20"/>
    </w:rPr>
  </w:style>
  <w:style w:type="paragraph" w:customStyle="1" w:styleId="Style1">
    <w:name w:val="Style1"/>
    <w:basedOn w:val="Normal"/>
    <w:rsid w:val="007E4DD6"/>
    <w:pPr>
      <w:widowControl w:val="0"/>
    </w:pPr>
    <w:rPr>
      <w:rFonts w:ascii=".VnTime" w:hAnsi=".VnTime"/>
      <w:sz w:val="26"/>
    </w:rPr>
  </w:style>
  <w:style w:type="character" w:styleId="Emphasis">
    <w:name w:val="Emphasis"/>
    <w:uiPriority w:val="20"/>
    <w:qFormat/>
    <w:rsid w:val="007E4DD6"/>
    <w:rPr>
      <w:i/>
      <w:iCs/>
    </w:rPr>
  </w:style>
  <w:style w:type="paragraph" w:customStyle="1" w:styleId="HAStyle1">
    <w:name w:val="HAStyle1"/>
    <w:basedOn w:val="Sec1-Clauses"/>
    <w:qFormat/>
    <w:rsid w:val="007E4DD6"/>
    <w:pPr>
      <w:widowControl w:val="0"/>
      <w:numPr>
        <w:numId w:val="7"/>
      </w:numPr>
      <w:spacing w:line="264" w:lineRule="auto"/>
    </w:pPr>
    <w:rPr>
      <w:rFonts w:eastAsiaTheme="minorHAnsi"/>
      <w:sz w:val="28"/>
      <w:szCs w:val="28"/>
    </w:rPr>
  </w:style>
  <w:style w:type="paragraph" w:styleId="Revision">
    <w:name w:val="Revision"/>
    <w:hidden/>
    <w:uiPriority w:val="99"/>
    <w:semiHidden/>
    <w:rsid w:val="007E4DD6"/>
    <w:pPr>
      <w:spacing w:after="0" w:line="240" w:lineRule="auto"/>
    </w:pPr>
    <w:rPr>
      <w:rFonts w:ascii="Times New Roman" w:eastAsia="Times New Roman" w:hAnsi="Times New Roman" w:cs="Times New Roman"/>
      <w:sz w:val="24"/>
      <w:szCs w:val="20"/>
    </w:rPr>
  </w:style>
  <w:style w:type="character" w:customStyle="1" w:styleId="Other">
    <w:name w:val="Other_"/>
    <w:link w:val="Other0"/>
    <w:uiPriority w:val="99"/>
    <w:rsid w:val="007E4DD6"/>
    <w:rPr>
      <w:rFonts w:cs="Times New Roman"/>
      <w:i/>
      <w:iCs/>
      <w:sz w:val="26"/>
      <w:szCs w:val="26"/>
      <w:shd w:val="clear" w:color="auto" w:fill="FFFFFF"/>
    </w:rPr>
  </w:style>
  <w:style w:type="paragraph" w:customStyle="1" w:styleId="Other0">
    <w:name w:val="Other"/>
    <w:basedOn w:val="Normal"/>
    <w:link w:val="Other"/>
    <w:uiPriority w:val="99"/>
    <w:rsid w:val="007E4DD6"/>
    <w:pPr>
      <w:widowControl w:val="0"/>
      <w:shd w:val="clear" w:color="auto" w:fill="FFFFFF"/>
      <w:spacing w:after="100" w:line="262" w:lineRule="auto"/>
      <w:ind w:firstLine="400"/>
      <w:jc w:val="center"/>
    </w:pPr>
    <w:rPr>
      <w:rFonts w:asciiTheme="minorHAnsi" w:eastAsiaTheme="minorHAnsi" w:hAnsiTheme="minorHAnsi"/>
      <w:i/>
      <w:iCs/>
      <w:sz w:val="26"/>
      <w:szCs w:val="26"/>
    </w:rPr>
  </w:style>
  <w:style w:type="character" w:customStyle="1" w:styleId="Khc">
    <w:name w:val="Khác_"/>
    <w:link w:val="Khc0"/>
    <w:uiPriority w:val="99"/>
    <w:rsid w:val="007E4DD6"/>
    <w:rPr>
      <w:rFonts w:cs="Times New Roman"/>
      <w:szCs w:val="28"/>
    </w:rPr>
  </w:style>
  <w:style w:type="paragraph" w:customStyle="1" w:styleId="Khc0">
    <w:name w:val="Khác"/>
    <w:basedOn w:val="Normal"/>
    <w:link w:val="Khc"/>
    <w:uiPriority w:val="99"/>
    <w:rsid w:val="007E4DD6"/>
    <w:pPr>
      <w:widowControl w:val="0"/>
      <w:spacing w:after="60" w:line="312" w:lineRule="auto"/>
      <w:ind w:firstLine="400"/>
      <w:jc w:val="left"/>
    </w:pPr>
    <w:rPr>
      <w:rFonts w:asciiTheme="minorHAnsi" w:eastAsiaTheme="minorHAnsi" w:hAnsiTheme="minorHAnsi"/>
      <w:sz w:val="22"/>
      <w:szCs w:val="28"/>
    </w:rPr>
  </w:style>
  <w:style w:type="paragraph" w:styleId="Index3">
    <w:name w:val="index 3"/>
    <w:basedOn w:val="Normal"/>
    <w:next w:val="Normal"/>
    <w:autoRedefine/>
    <w:uiPriority w:val="99"/>
    <w:semiHidden/>
    <w:unhideWhenUsed/>
    <w:rsid w:val="007E4DD6"/>
    <w:pPr>
      <w:ind w:left="720" w:hanging="240"/>
    </w:pPr>
  </w:style>
  <w:style w:type="character" w:customStyle="1" w:styleId="fontstyle01">
    <w:name w:val="fontstyle01"/>
    <w:basedOn w:val="DefaultParagraphFont"/>
    <w:rsid w:val="007E4DD6"/>
    <w:rPr>
      <w:rFonts w:ascii="TimesNewRomanPSMT" w:hAnsi="TimesNewRomanPSMT" w:hint="default"/>
      <w:color w:val="000000"/>
      <w:sz w:val="26"/>
      <w:szCs w:val="26"/>
    </w:rPr>
  </w:style>
  <w:style w:type="table" w:styleId="TableGrid">
    <w:name w:val="Table Grid"/>
    <w:basedOn w:val="TableNormal"/>
    <w:rsid w:val="007E4DD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DD6"/>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
    <w:basedOn w:val="Normal"/>
    <w:next w:val="Normal"/>
    <w:link w:val="Heading1Char"/>
    <w:qFormat/>
    <w:rsid w:val="007E4DD6"/>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7E4DD6"/>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7E4DD6"/>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7E4DD6"/>
    <w:pPr>
      <w:keepNext/>
      <w:spacing w:after="200"/>
      <w:ind w:left="1422" w:right="18" w:hanging="457"/>
      <w:outlineLvl w:val="3"/>
    </w:pPr>
    <w:rPr>
      <w:b/>
      <w:bCs/>
    </w:rPr>
  </w:style>
  <w:style w:type="paragraph" w:styleId="Heading5">
    <w:name w:val="heading 5"/>
    <w:basedOn w:val="Normal"/>
    <w:next w:val="Normal"/>
    <w:link w:val="Heading5Char"/>
    <w:qFormat/>
    <w:rsid w:val="007E4DD6"/>
    <w:pPr>
      <w:keepNext/>
      <w:jc w:val="center"/>
      <w:outlineLvl w:val="4"/>
    </w:pPr>
    <w:rPr>
      <w:rFonts w:ascii="Arial" w:hAnsi="Arial"/>
      <w:u w:val="single"/>
    </w:rPr>
  </w:style>
  <w:style w:type="paragraph" w:styleId="Heading6">
    <w:name w:val="heading 6"/>
    <w:basedOn w:val="Normal"/>
    <w:next w:val="Normal"/>
    <w:link w:val="Heading6Char"/>
    <w:qFormat/>
    <w:rsid w:val="007E4DD6"/>
    <w:pPr>
      <w:keepNext/>
      <w:keepLines/>
      <w:suppressAutoHyphens/>
      <w:ind w:right="-72"/>
      <w:jc w:val="center"/>
      <w:outlineLvl w:val="5"/>
    </w:pPr>
    <w:rPr>
      <w:b/>
      <w:sz w:val="28"/>
    </w:rPr>
  </w:style>
  <w:style w:type="paragraph" w:styleId="Heading7">
    <w:name w:val="heading 7"/>
    <w:basedOn w:val="Normal"/>
    <w:next w:val="Normal"/>
    <w:link w:val="Heading7Char"/>
    <w:qFormat/>
    <w:rsid w:val="007E4DD6"/>
    <w:pPr>
      <w:keepNext/>
      <w:jc w:val="center"/>
      <w:outlineLvl w:val="6"/>
    </w:pPr>
    <w:rPr>
      <w:b/>
      <w:sz w:val="72"/>
    </w:rPr>
  </w:style>
  <w:style w:type="paragraph" w:styleId="Heading8">
    <w:name w:val="heading 8"/>
    <w:basedOn w:val="Normal"/>
    <w:next w:val="Normal"/>
    <w:link w:val="Heading8Char"/>
    <w:qFormat/>
    <w:rsid w:val="007E4DD6"/>
    <w:pPr>
      <w:keepNext/>
      <w:jc w:val="center"/>
      <w:outlineLvl w:val="7"/>
    </w:pPr>
    <w:rPr>
      <w:b/>
      <w:sz w:val="56"/>
    </w:rPr>
  </w:style>
  <w:style w:type="paragraph" w:styleId="Heading9">
    <w:name w:val="heading 9"/>
    <w:basedOn w:val="Normal"/>
    <w:next w:val="Normal"/>
    <w:link w:val="Heading9Char"/>
    <w:qFormat/>
    <w:rsid w:val="007E4DD6"/>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E4DD6"/>
    <w:pPr>
      <w:jc w:val="center"/>
    </w:pPr>
    <w:rPr>
      <w:b/>
      <w:sz w:val="44"/>
    </w:rPr>
  </w:style>
  <w:style w:type="character" w:customStyle="1" w:styleId="SubtitleChar">
    <w:name w:val="Subtitle Char"/>
    <w:basedOn w:val="DefaultParagraphFont"/>
    <w:link w:val="Subtitle"/>
    <w:rsid w:val="007E4DD6"/>
    <w:rPr>
      <w:rFonts w:ascii="Times New Roman" w:eastAsia="Times New Roman" w:hAnsi="Times New Roman" w:cs="Times New Roman"/>
      <w:b/>
      <w:sz w:val="44"/>
      <w:szCs w:val="20"/>
    </w:rPr>
  </w:style>
  <w:style w:type="paragraph" w:customStyle="1" w:styleId="SectionVIHeader">
    <w:name w:val="Section VI. Header"/>
    <w:basedOn w:val="Normal"/>
    <w:rsid w:val="007E4DD6"/>
    <w:pPr>
      <w:spacing w:before="120" w:after="240"/>
      <w:jc w:val="center"/>
    </w:pPr>
    <w:rPr>
      <w:b/>
      <w:sz w:val="36"/>
    </w:rPr>
  </w:style>
  <w:style w:type="character" w:customStyle="1" w:styleId="Heading1Char">
    <w:name w:val="Heading 1 Char"/>
    <w:aliases w:val="Document Header1 Char,ClauseGroup_Title Char"/>
    <w:basedOn w:val="DefaultParagraphFont"/>
    <w:link w:val="Heading1"/>
    <w:rsid w:val="007E4DD6"/>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7E4DD6"/>
    <w:rPr>
      <w:rFonts w:ascii="Times New Roman Bold" w:eastAsia="Times New Roman" w:hAnsi="Times New Roman Bold" w:cs="Times New Roman"/>
      <w:b/>
      <w:sz w:val="28"/>
      <w:szCs w:val="20"/>
    </w:rPr>
  </w:style>
  <w:style w:type="character" w:customStyle="1" w:styleId="Heading3Char">
    <w:name w:val="Heading 3 Char"/>
    <w:basedOn w:val="DefaultParagraphFont"/>
    <w:uiPriority w:val="9"/>
    <w:rsid w:val="007E4DD6"/>
    <w:rPr>
      <w:rFonts w:asciiTheme="majorHAnsi" w:eastAsiaTheme="majorEastAsia" w:hAnsiTheme="majorHAnsi" w:cstheme="majorBidi"/>
      <w:b/>
      <w:bCs/>
      <w:color w:val="4F81BD" w:themeColor="accent1"/>
      <w:sz w:val="24"/>
      <w:szCs w:val="20"/>
    </w:rPr>
  </w:style>
  <w:style w:type="character" w:customStyle="1" w:styleId="Heading4Char">
    <w:name w:val="Heading 4 Char"/>
    <w:aliases w:val="Sub-Clause Sub-paragraph Char,ClauseSubSub_No&amp;Name Char, Sub-Clause Sub-paragraph Char"/>
    <w:basedOn w:val="DefaultParagraphFont"/>
    <w:link w:val="Heading4"/>
    <w:uiPriority w:val="9"/>
    <w:rsid w:val="007E4DD6"/>
    <w:rPr>
      <w:rFonts w:ascii="Times New Roman" w:eastAsia="Times New Roman" w:hAnsi="Times New Roman" w:cs="Times New Roman"/>
      <w:b/>
      <w:bCs/>
      <w:sz w:val="24"/>
      <w:szCs w:val="20"/>
    </w:rPr>
  </w:style>
  <w:style w:type="character" w:customStyle="1" w:styleId="Heading5Char">
    <w:name w:val="Heading 5 Char"/>
    <w:basedOn w:val="DefaultParagraphFont"/>
    <w:link w:val="Heading5"/>
    <w:rsid w:val="007E4DD6"/>
    <w:rPr>
      <w:rFonts w:ascii="Arial" w:eastAsia="Times New Roman" w:hAnsi="Arial" w:cs="Times New Roman"/>
      <w:sz w:val="24"/>
      <w:szCs w:val="20"/>
      <w:u w:val="single"/>
    </w:rPr>
  </w:style>
  <w:style w:type="character" w:customStyle="1" w:styleId="Heading6Char">
    <w:name w:val="Heading 6 Char"/>
    <w:basedOn w:val="DefaultParagraphFont"/>
    <w:link w:val="Heading6"/>
    <w:rsid w:val="007E4DD6"/>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7E4DD6"/>
    <w:rPr>
      <w:rFonts w:ascii="Times New Roman" w:eastAsia="Times New Roman" w:hAnsi="Times New Roman" w:cs="Times New Roman"/>
      <w:b/>
      <w:sz w:val="72"/>
      <w:szCs w:val="20"/>
    </w:rPr>
  </w:style>
  <w:style w:type="character" w:customStyle="1" w:styleId="Heading8Char">
    <w:name w:val="Heading 8 Char"/>
    <w:basedOn w:val="DefaultParagraphFont"/>
    <w:link w:val="Heading8"/>
    <w:rsid w:val="007E4DD6"/>
    <w:rPr>
      <w:rFonts w:ascii="Times New Roman" w:eastAsia="Times New Roman" w:hAnsi="Times New Roman" w:cs="Times New Roman"/>
      <w:b/>
      <w:sz w:val="56"/>
      <w:szCs w:val="20"/>
    </w:rPr>
  </w:style>
  <w:style w:type="character" w:customStyle="1" w:styleId="Heading9Char">
    <w:name w:val="Heading 9 Char"/>
    <w:basedOn w:val="DefaultParagraphFont"/>
    <w:link w:val="Heading9"/>
    <w:rsid w:val="007E4DD6"/>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7E4DD6"/>
    <w:rPr>
      <w:rFonts w:ascii="Times New Roman" w:eastAsia="Times New Roman" w:hAnsi="Times New Roman" w:cs="Times New Roman"/>
      <w:b/>
      <w:sz w:val="28"/>
      <w:szCs w:val="20"/>
    </w:rPr>
  </w:style>
  <w:style w:type="paragraph" w:styleId="TOC1">
    <w:name w:val="toc 1"/>
    <w:basedOn w:val="Normal"/>
    <w:next w:val="Normal"/>
    <w:autoRedefine/>
    <w:uiPriority w:val="39"/>
    <w:qFormat/>
    <w:rsid w:val="007E4DD6"/>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Bibliogrphy">
    <w:name w:val="Bibliogrphy"/>
    <w:basedOn w:val="DefaultParagraphFont"/>
    <w:rsid w:val="007E4DD6"/>
  </w:style>
  <w:style w:type="character" w:customStyle="1" w:styleId="DocInit">
    <w:name w:val="Doc Init"/>
    <w:basedOn w:val="DefaultParagraphFont"/>
    <w:rsid w:val="007E4DD6"/>
  </w:style>
  <w:style w:type="paragraph" w:customStyle="1" w:styleId="Document1">
    <w:name w:val="Document 1"/>
    <w:rsid w:val="007E4DD6"/>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7E4DD6"/>
    <w:rPr>
      <w:rFonts w:ascii="Times" w:hAnsi="Times"/>
      <w:noProof w:val="0"/>
      <w:sz w:val="24"/>
      <w:lang w:val="en-US"/>
    </w:rPr>
  </w:style>
  <w:style w:type="character" w:customStyle="1" w:styleId="Document3">
    <w:name w:val="Document 3"/>
    <w:rsid w:val="007E4DD6"/>
    <w:rPr>
      <w:rFonts w:ascii="Times" w:hAnsi="Times"/>
      <w:noProof w:val="0"/>
      <w:sz w:val="24"/>
      <w:lang w:val="en-US"/>
    </w:rPr>
  </w:style>
  <w:style w:type="character" w:customStyle="1" w:styleId="Document4">
    <w:name w:val="Document 4"/>
    <w:rsid w:val="007E4DD6"/>
    <w:rPr>
      <w:b/>
      <w:i/>
      <w:sz w:val="24"/>
    </w:rPr>
  </w:style>
  <w:style w:type="character" w:customStyle="1" w:styleId="Document5">
    <w:name w:val="Document 5"/>
    <w:basedOn w:val="DefaultParagraphFont"/>
    <w:rsid w:val="007E4DD6"/>
  </w:style>
  <w:style w:type="character" w:customStyle="1" w:styleId="Document6">
    <w:name w:val="Document 6"/>
    <w:basedOn w:val="DefaultParagraphFont"/>
    <w:rsid w:val="007E4DD6"/>
  </w:style>
  <w:style w:type="character" w:customStyle="1" w:styleId="Document7">
    <w:name w:val="Document 7"/>
    <w:basedOn w:val="DefaultParagraphFont"/>
    <w:rsid w:val="007E4DD6"/>
  </w:style>
  <w:style w:type="character" w:customStyle="1" w:styleId="Document8">
    <w:name w:val="Document 8"/>
    <w:basedOn w:val="DefaultParagraphFont"/>
    <w:rsid w:val="007E4DD6"/>
  </w:style>
  <w:style w:type="character" w:customStyle="1" w:styleId="TechInit">
    <w:name w:val="Tech Init"/>
    <w:rsid w:val="007E4DD6"/>
    <w:rPr>
      <w:rFonts w:ascii="Times" w:hAnsi="Times"/>
      <w:noProof w:val="0"/>
      <w:sz w:val="24"/>
      <w:lang w:val="en-US"/>
    </w:rPr>
  </w:style>
  <w:style w:type="character" w:customStyle="1" w:styleId="Technical1">
    <w:name w:val="Technical 1"/>
    <w:rsid w:val="007E4DD6"/>
    <w:rPr>
      <w:rFonts w:ascii="Times" w:hAnsi="Times"/>
      <w:noProof w:val="0"/>
      <w:sz w:val="24"/>
      <w:lang w:val="en-US"/>
    </w:rPr>
  </w:style>
  <w:style w:type="character" w:customStyle="1" w:styleId="Technical2">
    <w:name w:val="Technical 2"/>
    <w:rsid w:val="007E4DD6"/>
    <w:rPr>
      <w:rFonts w:ascii="Times" w:hAnsi="Times"/>
      <w:noProof w:val="0"/>
      <w:sz w:val="24"/>
      <w:lang w:val="en-US"/>
    </w:rPr>
  </w:style>
  <w:style w:type="character" w:customStyle="1" w:styleId="Technical3">
    <w:name w:val="Technical 3"/>
    <w:rsid w:val="007E4DD6"/>
    <w:rPr>
      <w:rFonts w:ascii="Times" w:hAnsi="Times"/>
      <w:noProof w:val="0"/>
      <w:sz w:val="24"/>
      <w:lang w:val="en-US"/>
    </w:rPr>
  </w:style>
  <w:style w:type="paragraph" w:customStyle="1" w:styleId="Technical4">
    <w:name w:val="Technical 4"/>
    <w:rsid w:val="007E4DD6"/>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7E4DD6"/>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7E4DD6"/>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7E4DD6"/>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7E4DD6"/>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7E4DD6"/>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7E4DD6"/>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7E4DD6"/>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7E4DD6"/>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7E4DD6"/>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7E4DD6"/>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2">
    <w:name w:val="toc 2"/>
    <w:basedOn w:val="Normal"/>
    <w:next w:val="Normal"/>
    <w:uiPriority w:val="39"/>
    <w:rsid w:val="007E4DD6"/>
    <w:pPr>
      <w:tabs>
        <w:tab w:val="right" w:leader="dot" w:pos="9000"/>
      </w:tabs>
      <w:suppressAutoHyphens/>
      <w:ind w:left="1440" w:hanging="720"/>
    </w:pPr>
  </w:style>
  <w:style w:type="paragraph" w:styleId="TOC3">
    <w:name w:val="toc 3"/>
    <w:basedOn w:val="Normal"/>
    <w:next w:val="Normal"/>
    <w:rsid w:val="007E4DD6"/>
    <w:pPr>
      <w:tabs>
        <w:tab w:val="right" w:leader="dot" w:pos="9000"/>
      </w:tabs>
      <w:suppressAutoHyphens/>
      <w:ind w:left="1440" w:hanging="720"/>
    </w:pPr>
    <w:rPr>
      <w:i/>
    </w:rPr>
  </w:style>
  <w:style w:type="paragraph" w:styleId="TOC4">
    <w:name w:val="toc 4"/>
    <w:basedOn w:val="Normal"/>
    <w:next w:val="Normal"/>
    <w:rsid w:val="007E4DD6"/>
    <w:pPr>
      <w:tabs>
        <w:tab w:val="left" w:leader="dot" w:pos="8640"/>
        <w:tab w:val="right" w:pos="9000"/>
      </w:tabs>
      <w:suppressAutoHyphens/>
      <w:ind w:left="2880" w:right="720" w:hanging="720"/>
    </w:pPr>
  </w:style>
  <w:style w:type="paragraph" w:styleId="TOC5">
    <w:name w:val="toc 5"/>
    <w:basedOn w:val="Normal"/>
    <w:next w:val="Normal"/>
    <w:rsid w:val="007E4DD6"/>
    <w:pPr>
      <w:tabs>
        <w:tab w:val="left" w:leader="dot" w:pos="8640"/>
        <w:tab w:val="right" w:pos="9000"/>
      </w:tabs>
      <w:suppressAutoHyphens/>
      <w:ind w:left="3600" w:right="720" w:hanging="720"/>
    </w:pPr>
  </w:style>
  <w:style w:type="paragraph" w:styleId="TOC6">
    <w:name w:val="toc 6"/>
    <w:basedOn w:val="Normal"/>
    <w:next w:val="Normal"/>
    <w:rsid w:val="007E4DD6"/>
    <w:pPr>
      <w:tabs>
        <w:tab w:val="left" w:pos="8640"/>
        <w:tab w:val="right" w:pos="9000"/>
      </w:tabs>
      <w:suppressAutoHyphens/>
      <w:ind w:left="720" w:hanging="720"/>
    </w:pPr>
  </w:style>
  <w:style w:type="paragraph" w:styleId="TOC7">
    <w:name w:val="toc 7"/>
    <w:basedOn w:val="Normal"/>
    <w:next w:val="Normal"/>
    <w:rsid w:val="007E4DD6"/>
    <w:pPr>
      <w:suppressAutoHyphens/>
      <w:ind w:left="720" w:hanging="720"/>
    </w:pPr>
  </w:style>
  <w:style w:type="paragraph" w:styleId="TOC8">
    <w:name w:val="toc 8"/>
    <w:basedOn w:val="Normal"/>
    <w:next w:val="Normal"/>
    <w:rsid w:val="007E4DD6"/>
    <w:pPr>
      <w:tabs>
        <w:tab w:val="left" w:pos="8640"/>
        <w:tab w:val="right" w:pos="9000"/>
      </w:tabs>
      <w:suppressAutoHyphens/>
      <w:ind w:left="720" w:hanging="720"/>
    </w:pPr>
  </w:style>
  <w:style w:type="paragraph" w:styleId="TOC9">
    <w:name w:val="toc 9"/>
    <w:basedOn w:val="Normal"/>
    <w:next w:val="Normal"/>
    <w:rsid w:val="007E4DD6"/>
    <w:pPr>
      <w:tabs>
        <w:tab w:val="left" w:leader="dot" w:pos="8640"/>
        <w:tab w:val="right" w:pos="9000"/>
      </w:tabs>
      <w:suppressAutoHyphens/>
      <w:ind w:left="720" w:hanging="720"/>
    </w:pPr>
  </w:style>
  <w:style w:type="paragraph" w:styleId="TOAHeading">
    <w:name w:val="toa heading"/>
    <w:basedOn w:val="Normal"/>
    <w:next w:val="Normal"/>
    <w:rsid w:val="007E4DD6"/>
    <w:pPr>
      <w:tabs>
        <w:tab w:val="left" w:pos="9000"/>
        <w:tab w:val="right" w:pos="9360"/>
      </w:tabs>
      <w:suppressAutoHyphens/>
    </w:pPr>
  </w:style>
  <w:style w:type="paragraph" w:styleId="Caption">
    <w:name w:val="caption"/>
    <w:basedOn w:val="Normal"/>
    <w:next w:val="Normal"/>
    <w:qFormat/>
    <w:rsid w:val="007E4DD6"/>
    <w:rPr>
      <w:rFonts w:ascii="Courier New" w:hAnsi="Courier New"/>
    </w:rPr>
  </w:style>
  <w:style w:type="character" w:customStyle="1" w:styleId="EquationCaption">
    <w:name w:val="_Equation Caption"/>
    <w:rsid w:val="007E4DD6"/>
  </w:style>
  <w:style w:type="character" w:customStyle="1" w:styleId="vlpgno">
    <w:name w:val="vl.pg.no."/>
    <w:rsid w:val="007E4DD6"/>
    <w:rPr>
      <w:rFonts w:ascii="Times" w:hAnsi="Times"/>
      <w:b/>
      <w:noProof w:val="0"/>
      <w:sz w:val="20"/>
      <w:lang w:val="en-US"/>
    </w:rPr>
  </w:style>
  <w:style w:type="character" w:styleId="LineNumber">
    <w:name w:val="line number"/>
    <w:basedOn w:val="DefaultParagraphFont"/>
    <w:uiPriority w:val="99"/>
    <w:rsid w:val="007E4DD6"/>
  </w:style>
  <w:style w:type="paragraph" w:styleId="Title">
    <w:name w:val="Title"/>
    <w:basedOn w:val="Normal"/>
    <w:link w:val="TitleChar"/>
    <w:qFormat/>
    <w:rsid w:val="007E4DD6"/>
    <w:pPr>
      <w:spacing w:before="240" w:after="60"/>
      <w:jc w:val="center"/>
    </w:pPr>
    <w:rPr>
      <w:rFonts w:ascii="Arial" w:hAnsi="Arial"/>
      <w:b/>
      <w:kern w:val="28"/>
      <w:sz w:val="32"/>
    </w:rPr>
  </w:style>
  <w:style w:type="character" w:customStyle="1" w:styleId="TitleChar">
    <w:name w:val="Title Char"/>
    <w:basedOn w:val="DefaultParagraphFont"/>
    <w:link w:val="Title"/>
    <w:rsid w:val="007E4DD6"/>
    <w:rPr>
      <w:rFonts w:ascii="Arial" w:eastAsia="Times New Roman" w:hAnsi="Arial" w:cs="Times New Roman"/>
      <w:b/>
      <w:kern w:val="28"/>
      <w:sz w:val="32"/>
      <w:szCs w:val="20"/>
    </w:rPr>
  </w:style>
  <w:style w:type="character" w:customStyle="1" w:styleId="footnote">
    <w:name w:val="footnote"/>
    <w:rsid w:val="007E4DD6"/>
    <w:rPr>
      <w:rFonts w:ascii="Book Antiqua" w:hAnsi="Book Antiqua"/>
      <w:noProof w:val="0"/>
      <w:sz w:val="24"/>
      <w:lang w:val="en-US"/>
    </w:rPr>
  </w:style>
  <w:style w:type="paragraph" w:styleId="Header">
    <w:name w:val="header"/>
    <w:basedOn w:val="Normal"/>
    <w:link w:val="HeaderChar"/>
    <w:rsid w:val="007E4DD6"/>
    <w:rPr>
      <w:sz w:val="20"/>
    </w:rPr>
  </w:style>
  <w:style w:type="character" w:customStyle="1" w:styleId="HeaderChar">
    <w:name w:val="Header Char"/>
    <w:basedOn w:val="DefaultParagraphFont"/>
    <w:link w:val="Header"/>
    <w:rsid w:val="007E4DD6"/>
    <w:rPr>
      <w:rFonts w:ascii="Times New Roman" w:eastAsia="Times New Roman" w:hAnsi="Times New Roman" w:cs="Times New Roman"/>
      <w:sz w:val="20"/>
      <w:szCs w:val="20"/>
    </w:rPr>
  </w:style>
  <w:style w:type="paragraph" w:styleId="Footer">
    <w:name w:val="footer"/>
    <w:basedOn w:val="Normal"/>
    <w:link w:val="FooterChar"/>
    <w:uiPriority w:val="99"/>
    <w:rsid w:val="007E4DD6"/>
    <w:rPr>
      <w:sz w:val="20"/>
    </w:rPr>
  </w:style>
  <w:style w:type="character" w:customStyle="1" w:styleId="FooterChar">
    <w:name w:val="Footer Char"/>
    <w:basedOn w:val="DefaultParagraphFont"/>
    <w:link w:val="Footer"/>
    <w:uiPriority w:val="99"/>
    <w:rsid w:val="007E4DD6"/>
    <w:rPr>
      <w:rFonts w:ascii="Times New Roman" w:eastAsia="Times New Roman" w:hAnsi="Times New Roman" w:cs="Times New Roman"/>
      <w:sz w:val="20"/>
      <w:szCs w:val="20"/>
    </w:rPr>
  </w:style>
  <w:style w:type="character" w:styleId="PageNumber">
    <w:name w:val="page number"/>
    <w:basedOn w:val="DefaultParagraphFont"/>
    <w:rsid w:val="007E4DD6"/>
  </w:style>
  <w:style w:type="paragraph" w:styleId="FootnoteText">
    <w:name w:val="footnote text"/>
    <w:basedOn w:val="Normal"/>
    <w:link w:val="FootnoteTextChar"/>
    <w:rsid w:val="007E4DD6"/>
    <w:pPr>
      <w:tabs>
        <w:tab w:val="left" w:pos="360"/>
      </w:tabs>
      <w:ind w:left="360" w:hanging="360"/>
    </w:pPr>
    <w:rPr>
      <w:sz w:val="20"/>
    </w:rPr>
  </w:style>
  <w:style w:type="character" w:customStyle="1" w:styleId="FootnoteTextChar">
    <w:name w:val="Footnote Text Char"/>
    <w:basedOn w:val="DefaultParagraphFont"/>
    <w:link w:val="FootnoteText"/>
    <w:rsid w:val="007E4DD6"/>
    <w:rPr>
      <w:rFonts w:ascii="Times New Roman" w:eastAsia="Times New Roman" w:hAnsi="Times New Roman" w:cs="Times New Roman"/>
      <w:sz w:val="20"/>
      <w:szCs w:val="20"/>
    </w:rPr>
  </w:style>
  <w:style w:type="paragraph" w:customStyle="1" w:styleId="Head21">
    <w:name w:val="Head 2.1"/>
    <w:basedOn w:val="Normal"/>
    <w:rsid w:val="007E4DD6"/>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7E4DD6"/>
    <w:pPr>
      <w:tabs>
        <w:tab w:val="left" w:pos="360"/>
      </w:tabs>
      <w:suppressAutoHyphens/>
      <w:spacing w:after="240"/>
      <w:ind w:left="360" w:hanging="360"/>
      <w:jc w:val="left"/>
    </w:pPr>
    <w:rPr>
      <w:b/>
    </w:rPr>
  </w:style>
  <w:style w:type="character" w:styleId="FootnoteReference">
    <w:name w:val="footnote reference"/>
    <w:aliases w:val="callout"/>
    <w:uiPriority w:val="99"/>
    <w:rsid w:val="007E4DD6"/>
    <w:rPr>
      <w:vertAlign w:val="superscript"/>
    </w:rPr>
  </w:style>
  <w:style w:type="character" w:customStyle="1" w:styleId="insert2">
    <w:name w:val="insert2"/>
    <w:rsid w:val="007E4DD6"/>
    <w:rPr>
      <w:rFonts w:ascii="Arial" w:hAnsi="Arial"/>
      <w:i/>
      <w:noProof w:val="0"/>
      <w:sz w:val="24"/>
      <w:lang w:val="en-US"/>
    </w:rPr>
  </w:style>
  <w:style w:type="character" w:customStyle="1" w:styleId="reference">
    <w:name w:val="reference"/>
    <w:rsid w:val="007E4DD6"/>
    <w:rPr>
      <w:rFonts w:ascii="Book Antiqua" w:hAnsi="Book Antiqua"/>
      <w:i/>
      <w:noProof w:val="0"/>
      <w:sz w:val="24"/>
      <w:lang w:val="en-US"/>
    </w:rPr>
  </w:style>
  <w:style w:type="paragraph" w:styleId="Index9">
    <w:name w:val="index 9"/>
    <w:basedOn w:val="Normal"/>
    <w:next w:val="Normal"/>
    <w:rsid w:val="007E4DD6"/>
    <w:pPr>
      <w:tabs>
        <w:tab w:val="right" w:pos="4140"/>
      </w:tabs>
      <w:ind w:left="2160" w:hanging="240"/>
      <w:jc w:val="left"/>
    </w:pPr>
    <w:rPr>
      <w:sz w:val="20"/>
    </w:rPr>
  </w:style>
  <w:style w:type="paragraph" w:styleId="Index1">
    <w:name w:val="index 1"/>
    <w:basedOn w:val="Normal"/>
    <w:next w:val="Normal"/>
    <w:autoRedefine/>
    <w:semiHidden/>
    <w:unhideWhenUsed/>
    <w:rsid w:val="007E4DD6"/>
    <w:pPr>
      <w:ind w:left="240" w:hanging="240"/>
    </w:pPr>
  </w:style>
  <w:style w:type="paragraph" w:styleId="IndexHeading">
    <w:name w:val="index heading"/>
    <w:basedOn w:val="Normal"/>
    <w:next w:val="Index1"/>
    <w:rsid w:val="007E4DD6"/>
    <w:pPr>
      <w:jc w:val="left"/>
    </w:pPr>
    <w:rPr>
      <w:sz w:val="20"/>
    </w:rPr>
  </w:style>
  <w:style w:type="paragraph" w:customStyle="1" w:styleId="Headingrb2">
    <w:name w:val="Heading rb2"/>
    <w:basedOn w:val="Normal"/>
    <w:rsid w:val="007E4DD6"/>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7E4DD6"/>
  </w:style>
  <w:style w:type="paragraph" w:customStyle="1" w:styleId="Head2">
    <w:name w:val="Head 2"/>
    <w:basedOn w:val="Normal"/>
    <w:autoRedefine/>
    <w:rsid w:val="007E4DD6"/>
    <w:pPr>
      <w:spacing w:before="120" w:after="120"/>
    </w:pPr>
    <w:rPr>
      <w:b/>
      <w:lang w:val="en-GB"/>
    </w:rPr>
  </w:style>
  <w:style w:type="paragraph" w:customStyle="1" w:styleId="explanatoryclause">
    <w:name w:val="explanatory_clause"/>
    <w:basedOn w:val="Normal"/>
    <w:rsid w:val="007E4DD6"/>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7E4DD6"/>
    <w:pPr>
      <w:suppressAutoHyphens/>
      <w:spacing w:after="240" w:line="360" w:lineRule="exact"/>
    </w:pPr>
    <w:rPr>
      <w:rFonts w:ascii="Arial" w:hAnsi="Arial"/>
    </w:rPr>
  </w:style>
  <w:style w:type="paragraph" w:customStyle="1" w:styleId="Head22b">
    <w:name w:val="Head 2.2b"/>
    <w:basedOn w:val="Normal"/>
    <w:rsid w:val="007E4DD6"/>
    <w:pPr>
      <w:suppressAutoHyphens/>
      <w:spacing w:after="240"/>
      <w:ind w:left="360" w:hanging="360"/>
      <w:jc w:val="left"/>
    </w:pPr>
    <w:rPr>
      <w:rFonts w:ascii="Tms Rmn" w:hAnsi="Tms Rmn"/>
      <w:b/>
    </w:rPr>
  </w:style>
  <w:style w:type="paragraph" w:customStyle="1" w:styleId="Head31">
    <w:name w:val="Head 3.1"/>
    <w:basedOn w:val="Head21"/>
    <w:rsid w:val="007E4DD6"/>
  </w:style>
  <w:style w:type="paragraph" w:customStyle="1" w:styleId="Head41">
    <w:name w:val="Head 4.1"/>
    <w:basedOn w:val="Head21"/>
    <w:rsid w:val="007E4DD6"/>
  </w:style>
  <w:style w:type="paragraph" w:customStyle="1" w:styleId="Head42">
    <w:name w:val="Head 4.2"/>
    <w:basedOn w:val="Normal"/>
    <w:rsid w:val="007E4DD6"/>
    <w:pPr>
      <w:suppressAutoHyphens/>
      <w:spacing w:after="240"/>
      <w:ind w:left="360" w:hanging="360"/>
      <w:jc w:val="left"/>
    </w:pPr>
    <w:rPr>
      <w:b/>
    </w:rPr>
  </w:style>
  <w:style w:type="paragraph" w:customStyle="1" w:styleId="Head51">
    <w:name w:val="Head 5.1"/>
    <w:basedOn w:val="Head21"/>
    <w:rsid w:val="007E4DD6"/>
    <w:pPr>
      <w:spacing w:after="0"/>
    </w:pPr>
  </w:style>
  <w:style w:type="paragraph" w:customStyle="1" w:styleId="Head52">
    <w:name w:val="Head 5.2"/>
    <w:basedOn w:val="Normal"/>
    <w:rsid w:val="007E4DD6"/>
    <w:pPr>
      <w:keepNext/>
      <w:suppressAutoHyphens/>
      <w:spacing w:before="480" w:after="240"/>
      <w:ind w:left="547" w:hanging="547"/>
      <w:jc w:val="center"/>
    </w:pPr>
    <w:rPr>
      <w:b/>
    </w:rPr>
  </w:style>
  <w:style w:type="paragraph" w:customStyle="1" w:styleId="Head61">
    <w:name w:val="Head 6.1"/>
    <w:basedOn w:val="Head51"/>
    <w:rsid w:val="007E4DD6"/>
    <w:pPr>
      <w:pBdr>
        <w:bottom w:val="none" w:sz="0" w:space="0" w:color="auto"/>
      </w:pBdr>
      <w:spacing w:before="0" w:after="240"/>
    </w:pPr>
    <w:rPr>
      <w:caps/>
    </w:rPr>
  </w:style>
  <w:style w:type="paragraph" w:customStyle="1" w:styleId="Head71">
    <w:name w:val="Head 7.1"/>
    <w:basedOn w:val="Head21"/>
    <w:rsid w:val="007E4DD6"/>
  </w:style>
  <w:style w:type="paragraph" w:customStyle="1" w:styleId="Head72">
    <w:name w:val="Head 7.2"/>
    <w:basedOn w:val="Normal"/>
    <w:rsid w:val="007E4DD6"/>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7E4DD6"/>
    <w:pPr>
      <w:outlineLvl w:val="9"/>
    </w:pPr>
    <w:rPr>
      <w:smallCaps w:val="0"/>
      <w:sz w:val="32"/>
    </w:rPr>
  </w:style>
  <w:style w:type="paragraph" w:customStyle="1" w:styleId="Head82">
    <w:name w:val="Head 8.2"/>
    <w:basedOn w:val="Head81"/>
    <w:rsid w:val="007E4DD6"/>
    <w:rPr>
      <w:smallCaps/>
      <w:sz w:val="28"/>
    </w:rPr>
  </w:style>
  <w:style w:type="paragraph" w:styleId="BodyText">
    <w:name w:val="Body Text"/>
    <w:basedOn w:val="Normal"/>
    <w:link w:val="BodyTextChar"/>
    <w:rsid w:val="007E4DD6"/>
    <w:pPr>
      <w:suppressAutoHyphens/>
      <w:ind w:right="-72"/>
    </w:pPr>
    <w:rPr>
      <w:spacing w:val="-4"/>
    </w:rPr>
  </w:style>
  <w:style w:type="character" w:customStyle="1" w:styleId="BodyTextChar">
    <w:name w:val="Body Text Char"/>
    <w:basedOn w:val="DefaultParagraphFont"/>
    <w:link w:val="BodyText"/>
    <w:rsid w:val="007E4DD6"/>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7E4DD6"/>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7E4DD6"/>
    <w:rPr>
      <w:rFonts w:ascii="Times New Roman" w:eastAsia="Times New Roman" w:hAnsi="Times New Roman" w:cs="Times New Roman"/>
      <w:sz w:val="24"/>
      <w:szCs w:val="20"/>
    </w:rPr>
  </w:style>
  <w:style w:type="paragraph" w:styleId="BlockText">
    <w:name w:val="Block Text"/>
    <w:basedOn w:val="Normal"/>
    <w:rsid w:val="007E4DD6"/>
    <w:pPr>
      <w:tabs>
        <w:tab w:val="left" w:pos="1080"/>
      </w:tabs>
      <w:suppressAutoHyphens/>
      <w:spacing w:after="200"/>
      <w:ind w:left="547" w:right="-72" w:hanging="547"/>
    </w:pPr>
  </w:style>
  <w:style w:type="character" w:customStyle="1" w:styleId="EndnoteTextChar">
    <w:name w:val="Endnote Text Char"/>
    <w:link w:val="EndnoteText"/>
    <w:semiHidden/>
    <w:rsid w:val="007E4DD6"/>
    <w:rPr>
      <w:rFonts w:eastAsia="Times New Roman" w:cs="Times New Roman"/>
      <w:sz w:val="20"/>
      <w:szCs w:val="20"/>
    </w:rPr>
  </w:style>
  <w:style w:type="paragraph" w:styleId="EndnoteText">
    <w:name w:val="endnote text"/>
    <w:basedOn w:val="Normal"/>
    <w:link w:val="EndnoteTextChar"/>
    <w:semiHidden/>
    <w:rsid w:val="007E4DD6"/>
    <w:pPr>
      <w:tabs>
        <w:tab w:val="left" w:pos="-720"/>
      </w:tabs>
      <w:suppressAutoHyphens/>
      <w:jc w:val="left"/>
    </w:pPr>
    <w:rPr>
      <w:rFonts w:asciiTheme="minorHAnsi" w:hAnsiTheme="minorHAnsi"/>
      <w:sz w:val="20"/>
    </w:rPr>
  </w:style>
  <w:style w:type="character" w:customStyle="1" w:styleId="EndnoteTextChar1">
    <w:name w:val="Endnote Text Char1"/>
    <w:basedOn w:val="DefaultParagraphFont"/>
    <w:uiPriority w:val="99"/>
    <w:semiHidden/>
    <w:rsid w:val="007E4DD6"/>
    <w:rPr>
      <w:rFonts w:ascii="Times New Roman" w:eastAsia="Times New Roman" w:hAnsi="Times New Roman" w:cs="Times New Roman"/>
      <w:sz w:val="20"/>
      <w:szCs w:val="20"/>
    </w:rPr>
  </w:style>
  <w:style w:type="character" w:styleId="EndnoteReference">
    <w:name w:val="endnote reference"/>
    <w:uiPriority w:val="99"/>
    <w:rsid w:val="007E4DD6"/>
    <w:rPr>
      <w:rFonts w:ascii="CG Times" w:hAnsi="CG Times"/>
      <w:noProof w:val="0"/>
      <w:sz w:val="22"/>
      <w:vertAlign w:val="superscript"/>
      <w:lang w:val="en-US"/>
    </w:rPr>
  </w:style>
  <w:style w:type="paragraph" w:styleId="NormalWeb">
    <w:name w:val="Normal (Web)"/>
    <w:basedOn w:val="Normal"/>
    <w:uiPriority w:val="99"/>
    <w:rsid w:val="007E4DD6"/>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7E4DD6"/>
    <w:pPr>
      <w:suppressAutoHyphens/>
      <w:spacing w:after="140"/>
      <w:jc w:val="left"/>
    </w:pPr>
    <w:rPr>
      <w:i/>
      <w:iCs/>
      <w:color w:val="000000"/>
      <w:szCs w:val="24"/>
    </w:rPr>
  </w:style>
  <w:style w:type="character" w:customStyle="1" w:styleId="BodyText3Char">
    <w:name w:val="Body Text 3 Char"/>
    <w:basedOn w:val="DefaultParagraphFont"/>
    <w:link w:val="BodyText3"/>
    <w:rsid w:val="007E4DD6"/>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7E4DD6"/>
    <w:pPr>
      <w:suppressAutoHyphens/>
    </w:pPr>
    <w:rPr>
      <w:i/>
    </w:rPr>
  </w:style>
  <w:style w:type="character" w:customStyle="1" w:styleId="BodyText2Char">
    <w:name w:val="Body Text 2 Char"/>
    <w:basedOn w:val="DefaultParagraphFont"/>
    <w:link w:val="BodyText2"/>
    <w:rsid w:val="007E4DD6"/>
    <w:rPr>
      <w:rFonts w:ascii="Times New Roman" w:eastAsia="Times New Roman" w:hAnsi="Times New Roman" w:cs="Times New Roman"/>
      <w:i/>
      <w:sz w:val="24"/>
      <w:szCs w:val="20"/>
    </w:rPr>
  </w:style>
  <w:style w:type="paragraph" w:styleId="BodyTextIndent2">
    <w:name w:val="Body Text Indent 2"/>
    <w:basedOn w:val="Normal"/>
    <w:link w:val="BodyTextIndent2Char"/>
    <w:rsid w:val="007E4DD6"/>
    <w:pPr>
      <w:tabs>
        <w:tab w:val="num" w:pos="720"/>
      </w:tabs>
      <w:ind w:left="720" w:hanging="720"/>
      <w:jc w:val="left"/>
    </w:pPr>
  </w:style>
  <w:style w:type="character" w:customStyle="1" w:styleId="BodyTextIndent2Char">
    <w:name w:val="Body Text Indent 2 Char"/>
    <w:basedOn w:val="DefaultParagraphFont"/>
    <w:link w:val="BodyTextIndent2"/>
    <w:rsid w:val="007E4DD6"/>
    <w:rPr>
      <w:rFonts w:ascii="Times New Roman" w:eastAsia="Times New Roman" w:hAnsi="Times New Roman" w:cs="Times New Roman"/>
      <w:sz w:val="24"/>
      <w:szCs w:val="20"/>
    </w:rPr>
  </w:style>
  <w:style w:type="paragraph" w:styleId="List">
    <w:name w:val="List"/>
    <w:aliases w:val="1. List"/>
    <w:basedOn w:val="Normal"/>
    <w:rsid w:val="007E4DD6"/>
    <w:pPr>
      <w:spacing w:before="120" w:after="120"/>
      <w:ind w:left="1440"/>
    </w:pPr>
  </w:style>
  <w:style w:type="paragraph" w:customStyle="1" w:styleId="TOCNumber1">
    <w:name w:val="TOC Number1"/>
    <w:basedOn w:val="Heading4"/>
    <w:autoRedefine/>
    <w:rsid w:val="007E4DD6"/>
    <w:pPr>
      <w:keepNext w:val="0"/>
      <w:suppressAutoHyphens/>
      <w:spacing w:after="120"/>
      <w:ind w:left="0" w:firstLine="0"/>
      <w:outlineLvl w:val="9"/>
    </w:pPr>
    <w:rPr>
      <w:sz w:val="28"/>
      <w:szCs w:val="28"/>
    </w:rPr>
  </w:style>
  <w:style w:type="paragraph" w:customStyle="1" w:styleId="Subtitle2">
    <w:name w:val="Subtitle 2"/>
    <w:basedOn w:val="Footer"/>
    <w:autoRedefine/>
    <w:rsid w:val="007E4DD6"/>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7E4DD6"/>
    <w:pPr>
      <w:suppressAutoHyphens/>
    </w:pPr>
    <w:rPr>
      <w:rFonts w:ascii="Tms Rmn" w:hAnsi="Tms Rmn"/>
    </w:rPr>
  </w:style>
  <w:style w:type="character" w:customStyle="1" w:styleId="iChar">
    <w:name w:val="(i) Char"/>
    <w:link w:val="i"/>
    <w:locked/>
    <w:rsid w:val="007E4DD6"/>
    <w:rPr>
      <w:rFonts w:ascii="Tms Rmn" w:eastAsia="Times New Roman" w:hAnsi="Tms Rmn" w:cs="Times New Roman"/>
      <w:sz w:val="24"/>
      <w:szCs w:val="20"/>
    </w:rPr>
  </w:style>
  <w:style w:type="character" w:styleId="Hyperlink">
    <w:name w:val="Hyperlink"/>
    <w:uiPriority w:val="99"/>
    <w:rsid w:val="007E4DD6"/>
    <w:rPr>
      <w:color w:val="0000FF"/>
      <w:u w:val="single"/>
    </w:rPr>
  </w:style>
  <w:style w:type="paragraph" w:customStyle="1" w:styleId="2AutoList1">
    <w:name w:val="2AutoList1"/>
    <w:basedOn w:val="Normal"/>
    <w:rsid w:val="007E4DD6"/>
    <w:pPr>
      <w:tabs>
        <w:tab w:val="num" w:pos="504"/>
      </w:tabs>
      <w:ind w:left="504" w:hanging="504"/>
    </w:pPr>
    <w:rPr>
      <w:lang w:val="es-ES_tradnl"/>
    </w:rPr>
  </w:style>
  <w:style w:type="paragraph" w:customStyle="1" w:styleId="Header1-Clauses">
    <w:name w:val="Header 1 - Clauses"/>
    <w:basedOn w:val="Normal"/>
    <w:rsid w:val="007E4DD6"/>
    <w:pPr>
      <w:spacing w:after="200"/>
      <w:jc w:val="left"/>
    </w:pPr>
    <w:rPr>
      <w:b/>
      <w:lang w:val="es-ES_tradnl"/>
    </w:rPr>
  </w:style>
  <w:style w:type="paragraph" w:customStyle="1" w:styleId="Header2-SubClauses">
    <w:name w:val="Header 2 - SubClauses"/>
    <w:basedOn w:val="Normal"/>
    <w:link w:val="Header2-SubClausesCharChar"/>
    <w:autoRedefine/>
    <w:rsid w:val="007E4DD6"/>
    <w:pPr>
      <w:spacing w:after="200"/>
      <w:ind w:left="567" w:hanging="567"/>
    </w:pPr>
    <w:rPr>
      <w:lang w:val="es-ES_tradnl"/>
    </w:rPr>
  </w:style>
  <w:style w:type="character" w:customStyle="1" w:styleId="Header2-SubClausesCharChar">
    <w:name w:val="Header 2 - SubClauses Char Char"/>
    <w:link w:val="Header2-SubClauses"/>
    <w:rsid w:val="007E4DD6"/>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7E4DD6"/>
    <w:pPr>
      <w:tabs>
        <w:tab w:val="num" w:pos="864"/>
        <w:tab w:val="left" w:pos="972"/>
      </w:tabs>
      <w:ind w:left="432" w:firstLine="144"/>
      <w:jc w:val="both"/>
    </w:pPr>
    <w:rPr>
      <w:b w:val="0"/>
    </w:rPr>
  </w:style>
  <w:style w:type="paragraph" w:customStyle="1" w:styleId="Outline3">
    <w:name w:val="Outline3"/>
    <w:basedOn w:val="Normal"/>
    <w:rsid w:val="007E4DD6"/>
    <w:pPr>
      <w:tabs>
        <w:tab w:val="num" w:pos="1728"/>
      </w:tabs>
      <w:spacing w:before="240"/>
      <w:ind w:left="1728" w:hanging="432"/>
      <w:jc w:val="left"/>
    </w:pPr>
    <w:rPr>
      <w:kern w:val="28"/>
    </w:rPr>
  </w:style>
  <w:style w:type="paragraph" w:customStyle="1" w:styleId="Outline4">
    <w:name w:val="Outline4"/>
    <w:basedOn w:val="Normal"/>
    <w:autoRedefine/>
    <w:rsid w:val="007E4DD6"/>
    <w:pPr>
      <w:tabs>
        <w:tab w:val="left" w:pos="2160"/>
      </w:tabs>
      <w:ind w:firstLine="567"/>
    </w:pPr>
    <w:rPr>
      <w:kern w:val="28"/>
    </w:rPr>
  </w:style>
  <w:style w:type="paragraph" w:customStyle="1" w:styleId="Outlinei">
    <w:name w:val="Outline i)"/>
    <w:basedOn w:val="Normal"/>
    <w:rsid w:val="007E4DD6"/>
    <w:pPr>
      <w:tabs>
        <w:tab w:val="num" w:pos="1782"/>
      </w:tabs>
      <w:spacing w:before="120"/>
      <w:ind w:left="1782" w:hanging="792"/>
      <w:jc w:val="left"/>
    </w:pPr>
  </w:style>
  <w:style w:type="paragraph" w:customStyle="1" w:styleId="Outline">
    <w:name w:val="Outline"/>
    <w:basedOn w:val="Normal"/>
    <w:rsid w:val="007E4DD6"/>
    <w:pPr>
      <w:spacing w:before="240"/>
      <w:jc w:val="left"/>
    </w:pPr>
    <w:rPr>
      <w:kern w:val="28"/>
    </w:rPr>
  </w:style>
  <w:style w:type="paragraph" w:customStyle="1" w:styleId="BankNormal">
    <w:name w:val="BankNormal"/>
    <w:basedOn w:val="Normal"/>
    <w:rsid w:val="007E4DD6"/>
    <w:pPr>
      <w:spacing w:after="240"/>
      <w:jc w:val="left"/>
    </w:pPr>
  </w:style>
  <w:style w:type="paragraph" w:customStyle="1" w:styleId="SectionVHeader">
    <w:name w:val="Section V. Header"/>
    <w:basedOn w:val="Normal"/>
    <w:uiPriority w:val="99"/>
    <w:rsid w:val="007E4DD6"/>
    <w:pPr>
      <w:jc w:val="center"/>
    </w:pPr>
    <w:rPr>
      <w:b/>
      <w:sz w:val="36"/>
      <w:lang w:val="es-ES_tradnl"/>
    </w:rPr>
  </w:style>
  <w:style w:type="character" w:customStyle="1" w:styleId="Table">
    <w:name w:val="Table"/>
    <w:rsid w:val="007E4DD6"/>
    <w:rPr>
      <w:rFonts w:ascii="Arial" w:hAnsi="Arial"/>
      <w:sz w:val="20"/>
    </w:rPr>
  </w:style>
  <w:style w:type="paragraph" w:customStyle="1" w:styleId="SectionVIIHeader2">
    <w:name w:val="Section VII Header2"/>
    <w:basedOn w:val="Heading1"/>
    <w:autoRedefine/>
    <w:rsid w:val="007E4DD6"/>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7E4DD6"/>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7E4DD6"/>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7E4DD6"/>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7E4DD6"/>
    <w:pPr>
      <w:ind w:left="2835"/>
    </w:pPr>
  </w:style>
  <w:style w:type="paragraph" w:styleId="BalloonText">
    <w:name w:val="Balloon Text"/>
    <w:basedOn w:val="Normal"/>
    <w:link w:val="BalloonTextChar"/>
    <w:uiPriority w:val="99"/>
    <w:rsid w:val="007E4DD6"/>
    <w:rPr>
      <w:rFonts w:ascii="Tahoma" w:hAnsi="Tahoma"/>
      <w:sz w:val="16"/>
      <w:szCs w:val="16"/>
      <w:lang w:val="es-ES_tradnl"/>
    </w:rPr>
  </w:style>
  <w:style w:type="character" w:customStyle="1" w:styleId="BalloonTextChar">
    <w:name w:val="Balloon Text Char"/>
    <w:basedOn w:val="DefaultParagraphFont"/>
    <w:link w:val="BalloonText"/>
    <w:uiPriority w:val="99"/>
    <w:rsid w:val="007E4DD6"/>
    <w:rPr>
      <w:rFonts w:ascii="Tahoma" w:eastAsia="Times New Roman" w:hAnsi="Tahoma" w:cs="Times New Roman"/>
      <w:sz w:val="16"/>
      <w:szCs w:val="16"/>
      <w:lang w:val="es-ES_tradnl"/>
    </w:rPr>
  </w:style>
  <w:style w:type="paragraph" w:customStyle="1" w:styleId="SectionXHeader3">
    <w:name w:val="Section X Header 3"/>
    <w:basedOn w:val="Heading1"/>
    <w:autoRedefine/>
    <w:rsid w:val="007E4DD6"/>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7E4DD6"/>
    <w:rPr>
      <w:sz w:val="16"/>
    </w:rPr>
  </w:style>
  <w:style w:type="paragraph" w:customStyle="1" w:styleId="Part1">
    <w:name w:val="Part 1"/>
    <w:aliases w:val="2,3 Header 4"/>
    <w:basedOn w:val="Normal"/>
    <w:autoRedefine/>
    <w:rsid w:val="007E4DD6"/>
    <w:pPr>
      <w:spacing w:before="240" w:after="240"/>
      <w:jc w:val="center"/>
    </w:pPr>
    <w:rPr>
      <w:b/>
      <w:sz w:val="48"/>
    </w:rPr>
  </w:style>
  <w:style w:type="paragraph" w:styleId="CommentText">
    <w:name w:val="annotation text"/>
    <w:aliases w:val="Char1"/>
    <w:basedOn w:val="Normal"/>
    <w:link w:val="CommentTextChar"/>
    <w:uiPriority w:val="99"/>
    <w:rsid w:val="007E4DD6"/>
    <w:pPr>
      <w:jc w:val="left"/>
    </w:pPr>
    <w:rPr>
      <w:sz w:val="20"/>
    </w:rPr>
  </w:style>
  <w:style w:type="character" w:customStyle="1" w:styleId="CommentTextChar">
    <w:name w:val="Comment Text Char"/>
    <w:aliases w:val="Char1 Char"/>
    <w:basedOn w:val="DefaultParagraphFont"/>
    <w:link w:val="CommentText"/>
    <w:uiPriority w:val="99"/>
    <w:rsid w:val="007E4DD6"/>
    <w:rPr>
      <w:rFonts w:ascii="Times New Roman" w:eastAsia="Times New Roman" w:hAnsi="Times New Roman" w:cs="Times New Roman"/>
      <w:sz w:val="20"/>
      <w:szCs w:val="20"/>
    </w:rPr>
  </w:style>
  <w:style w:type="paragraph" w:styleId="BodyTextIndent3">
    <w:name w:val="Body Text Indent 3"/>
    <w:basedOn w:val="Normal"/>
    <w:link w:val="BodyTextIndent3Char"/>
    <w:rsid w:val="007E4DD6"/>
    <w:pPr>
      <w:spacing w:before="120"/>
      <w:ind w:left="1440" w:hanging="1440"/>
    </w:pPr>
    <w:rPr>
      <w:b/>
    </w:rPr>
  </w:style>
  <w:style w:type="character" w:customStyle="1" w:styleId="BodyTextIndent3Char">
    <w:name w:val="Body Text Indent 3 Char"/>
    <w:basedOn w:val="DefaultParagraphFont"/>
    <w:link w:val="BodyTextIndent3"/>
    <w:rsid w:val="007E4DD6"/>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7E4DD6"/>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7E4DD6"/>
    <w:pPr>
      <w:spacing w:before="100" w:after="300"/>
    </w:pPr>
    <w:rPr>
      <w:sz w:val="30"/>
      <w:szCs w:val="30"/>
    </w:rPr>
  </w:style>
  <w:style w:type="paragraph" w:customStyle="1" w:styleId="FIDICClauseSubName">
    <w:name w:val="FIDIC_ClauseSubName"/>
    <w:basedOn w:val="FIDICCoverTitle"/>
    <w:rsid w:val="007E4DD6"/>
    <w:pPr>
      <w:spacing w:before="240" w:line="240" w:lineRule="exact"/>
    </w:pPr>
    <w:rPr>
      <w:sz w:val="24"/>
      <w:szCs w:val="24"/>
    </w:rPr>
  </w:style>
  <w:style w:type="paragraph" w:customStyle="1" w:styleId="FIDICCoverTitle">
    <w:name w:val="FIDIC__CoverTitle"/>
    <w:basedOn w:val="Normal"/>
    <w:rsid w:val="007E4DD6"/>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7E4DD6"/>
    <w:rPr>
      <w:sz w:val="28"/>
      <w:szCs w:val="28"/>
    </w:rPr>
  </w:style>
  <w:style w:type="paragraph" w:customStyle="1" w:styleId="FIDICClauseSubSubPara">
    <w:name w:val="FIDIC_ClauseSubSubPara"/>
    <w:basedOn w:val="FIDICClauseSubName"/>
    <w:rsid w:val="007E4DD6"/>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7E4DD6"/>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7E4DD6"/>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7E4DD6"/>
    <w:pPr>
      <w:tabs>
        <w:tab w:val="left" w:pos="573"/>
      </w:tabs>
      <w:spacing w:after="0"/>
      <w:ind w:left="576" w:hanging="576"/>
    </w:pPr>
    <w:rPr>
      <w:bCs/>
      <w:szCs w:val="24"/>
      <w:lang w:val="en-US"/>
    </w:rPr>
  </w:style>
  <w:style w:type="paragraph" w:customStyle="1" w:styleId="Sec7-Clauses">
    <w:name w:val="Sec7-Clauses"/>
    <w:basedOn w:val="Header1-Clauses"/>
    <w:rsid w:val="007E4DD6"/>
    <w:pPr>
      <w:spacing w:after="0"/>
    </w:pPr>
    <w:rPr>
      <w:bCs/>
      <w:szCs w:val="24"/>
    </w:rPr>
  </w:style>
  <w:style w:type="paragraph" w:customStyle="1" w:styleId="sec7-header1">
    <w:name w:val="sec7-header1"/>
    <w:basedOn w:val="FIDICClauseSubName"/>
    <w:rsid w:val="007E4DD6"/>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7E4DD6"/>
    <w:rPr>
      <w:lang w:val="en-US"/>
    </w:rPr>
  </w:style>
  <w:style w:type="paragraph" w:customStyle="1" w:styleId="SectionIXHeader">
    <w:name w:val="Section IX Header"/>
    <w:basedOn w:val="SectionVHeader"/>
    <w:rsid w:val="007E4DD6"/>
    <w:rPr>
      <w:lang w:val="en-US"/>
    </w:rPr>
  </w:style>
  <w:style w:type="paragraph" w:customStyle="1" w:styleId="Parts">
    <w:name w:val="Parts"/>
    <w:basedOn w:val="Heading1"/>
    <w:rsid w:val="007E4DD6"/>
    <w:rPr>
      <w:sz w:val="56"/>
    </w:rPr>
  </w:style>
  <w:style w:type="paragraph" w:customStyle="1" w:styleId="StyleHeader1-ClausesLeft0Hanging03After0pt">
    <w:name w:val="Style Header 1 - Clauses + Left:  0&quot; Hanging:  0.3&quot; After:  0 pt"/>
    <w:basedOn w:val="Header1-Clauses"/>
    <w:rsid w:val="007E4DD6"/>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7E4DD6"/>
    <w:rPr>
      <w:b/>
      <w:bCs/>
    </w:rPr>
  </w:style>
  <w:style w:type="character" w:customStyle="1" w:styleId="StyleHeader2-SubClausesBoldChar">
    <w:name w:val="Style Header 2 - SubClauses + Bold Char"/>
    <w:link w:val="StyleHeader2-SubClausesBold"/>
    <w:rsid w:val="007E4DD6"/>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7E4DD6"/>
    <w:pPr>
      <w:jc w:val="both"/>
    </w:pPr>
    <w:rPr>
      <w:b w:val="0"/>
      <w:bCs/>
    </w:rPr>
  </w:style>
  <w:style w:type="paragraph" w:customStyle="1" w:styleId="StyleStyleHeader1-ClausesAfter0ptLeft0Hanging">
    <w:name w:val="Style Style Header 1 - Clauses + After:  0 pt + Left:  0&quot; Hanging:..."/>
    <w:basedOn w:val="StyleHeader1-ClausesAfter0pt"/>
    <w:rsid w:val="007E4DD6"/>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7E4DD6"/>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7E4DD6"/>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7E4DD6"/>
    <w:pPr>
      <w:tabs>
        <w:tab w:val="left" w:pos="1512"/>
      </w:tabs>
      <w:spacing w:after="180"/>
      <w:ind w:left="1512" w:hanging="540"/>
    </w:pPr>
  </w:style>
  <w:style w:type="paragraph" w:customStyle="1" w:styleId="Section7heading3">
    <w:name w:val="Section 7 heading 3"/>
    <w:basedOn w:val="Heading3"/>
    <w:rsid w:val="007E4DD6"/>
  </w:style>
  <w:style w:type="paragraph" w:customStyle="1" w:styleId="Section7heading4">
    <w:name w:val="Section 7 heading 4"/>
    <w:basedOn w:val="Heading3"/>
    <w:link w:val="Section7heading4Char"/>
    <w:rsid w:val="007E4DD6"/>
    <w:pPr>
      <w:tabs>
        <w:tab w:val="left" w:pos="576"/>
      </w:tabs>
      <w:ind w:left="576" w:hanging="576"/>
      <w:jc w:val="left"/>
    </w:pPr>
    <w:rPr>
      <w:sz w:val="24"/>
    </w:rPr>
  </w:style>
  <w:style w:type="character" w:customStyle="1" w:styleId="Section7heading4Char">
    <w:name w:val="Section 7 heading 4 Char"/>
    <w:link w:val="Section7heading4"/>
    <w:rsid w:val="007E4DD6"/>
    <w:rPr>
      <w:rFonts w:ascii="Times New Roman" w:eastAsia="Times New Roman" w:hAnsi="Times New Roman" w:cs="Times New Roman"/>
      <w:b/>
      <w:sz w:val="24"/>
      <w:szCs w:val="20"/>
    </w:rPr>
  </w:style>
  <w:style w:type="paragraph" w:customStyle="1" w:styleId="Section7heading5">
    <w:name w:val="Section 7 heading 5"/>
    <w:basedOn w:val="Heading3"/>
    <w:rsid w:val="007E4DD6"/>
    <w:pPr>
      <w:jc w:val="both"/>
    </w:pPr>
    <w:rPr>
      <w:sz w:val="24"/>
    </w:rPr>
  </w:style>
  <w:style w:type="paragraph" w:customStyle="1" w:styleId="StyleSection7heading3After10pt">
    <w:name w:val="Style Section 7 heading 3 + After:  10 pt"/>
    <w:basedOn w:val="Section7heading3"/>
    <w:rsid w:val="007E4DD6"/>
    <w:pPr>
      <w:spacing w:after="200"/>
    </w:pPr>
    <w:rPr>
      <w:rFonts w:ascii="Times New Roman Bold" w:hAnsi="Times New Roman Bold"/>
      <w:bCs/>
      <w:szCs w:val="28"/>
    </w:rPr>
  </w:style>
  <w:style w:type="paragraph" w:customStyle="1" w:styleId="StyleTOC1Before8pt">
    <w:name w:val="Style TOC 1 + Before:  8 pt"/>
    <w:basedOn w:val="TOC1"/>
    <w:rsid w:val="007E4DD6"/>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7E4DD6"/>
    <w:pPr>
      <w:spacing w:after="200"/>
      <w:jc w:val="both"/>
    </w:pPr>
    <w:rPr>
      <w:sz w:val="24"/>
      <w:szCs w:val="24"/>
    </w:rPr>
  </w:style>
  <w:style w:type="character" w:styleId="FollowedHyperlink">
    <w:name w:val="FollowedHyperlink"/>
    <w:uiPriority w:val="99"/>
    <w:rsid w:val="007E4DD6"/>
    <w:rPr>
      <w:color w:val="606420"/>
      <w:u w:val="single"/>
    </w:rPr>
  </w:style>
  <w:style w:type="paragraph" w:customStyle="1" w:styleId="UG-Sec3-Heading2">
    <w:name w:val="UG - Sec 3 - Heading 2"/>
    <w:basedOn w:val="UG-Heading2"/>
    <w:rsid w:val="007E4DD6"/>
  </w:style>
  <w:style w:type="paragraph" w:customStyle="1" w:styleId="UG-Heading2">
    <w:name w:val="UG - Heading 2"/>
    <w:basedOn w:val="Heading2"/>
    <w:next w:val="Normal"/>
    <w:rsid w:val="007E4DD6"/>
    <w:pPr>
      <w:pBdr>
        <w:bottom w:val="none" w:sz="0" w:space="0" w:color="auto"/>
      </w:pBdr>
    </w:pPr>
    <w:rPr>
      <w:sz w:val="32"/>
      <w:szCs w:val="28"/>
    </w:rPr>
  </w:style>
  <w:style w:type="paragraph" w:customStyle="1" w:styleId="titulo">
    <w:name w:val="titulo"/>
    <w:basedOn w:val="Heading5"/>
    <w:rsid w:val="007E4DD6"/>
    <w:pPr>
      <w:keepNext w:val="0"/>
      <w:spacing w:after="240"/>
    </w:pPr>
    <w:rPr>
      <w:rFonts w:ascii="Times New Roman Bold" w:hAnsi="Times New Roman Bold"/>
      <w:b/>
      <w:u w:val="none"/>
    </w:rPr>
  </w:style>
  <w:style w:type="paragraph" w:styleId="ListNumber">
    <w:name w:val="List Number"/>
    <w:basedOn w:val="Normal"/>
    <w:rsid w:val="007E4DD6"/>
    <w:pPr>
      <w:tabs>
        <w:tab w:val="num" w:pos="360"/>
      </w:tabs>
      <w:ind w:left="360" w:hanging="360"/>
    </w:pPr>
  </w:style>
  <w:style w:type="paragraph" w:customStyle="1" w:styleId="DefaultParagraphFont1">
    <w:name w:val="Default Paragraph Font1"/>
    <w:next w:val="Normal"/>
    <w:rsid w:val="007E4DD6"/>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7E4DD6"/>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7E4DD6"/>
    <w:pPr>
      <w:jc w:val="both"/>
    </w:pPr>
    <w:rPr>
      <w:b/>
      <w:bCs/>
    </w:rPr>
  </w:style>
  <w:style w:type="character" w:customStyle="1" w:styleId="CommentSubjectChar">
    <w:name w:val="Comment Subject Char"/>
    <w:basedOn w:val="CommentTextChar"/>
    <w:link w:val="CommentSubject"/>
    <w:uiPriority w:val="99"/>
    <w:rsid w:val="007E4DD6"/>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7E4DD6"/>
    <w:pPr>
      <w:ind w:left="706" w:hanging="706"/>
      <w:jc w:val="left"/>
    </w:pPr>
    <w:rPr>
      <w:bCs/>
    </w:rPr>
  </w:style>
  <w:style w:type="paragraph" w:customStyle="1" w:styleId="BlockQuotation">
    <w:name w:val="Block Quotation"/>
    <w:basedOn w:val="Normal"/>
    <w:rsid w:val="007E4DD6"/>
    <w:pPr>
      <w:ind w:left="855" w:right="-72" w:hanging="315"/>
    </w:pPr>
    <w:rPr>
      <w:lang w:val="en-GB" w:eastAsia="fr-FR"/>
    </w:rPr>
  </w:style>
  <w:style w:type="paragraph" w:customStyle="1" w:styleId="Header3-Paragraph">
    <w:name w:val="Header 3 - Paragraph"/>
    <w:basedOn w:val="Normal"/>
    <w:rsid w:val="007E4DD6"/>
    <w:pPr>
      <w:tabs>
        <w:tab w:val="num" w:pos="864"/>
        <w:tab w:val="num" w:pos="1152"/>
      </w:tabs>
      <w:spacing w:after="200"/>
      <w:ind w:left="1238" w:hanging="619"/>
    </w:pPr>
    <w:rPr>
      <w:lang w:eastAsia="fr-FR"/>
    </w:rPr>
  </w:style>
  <w:style w:type="paragraph" w:customStyle="1" w:styleId="outlinebullet">
    <w:name w:val="outlinebullet"/>
    <w:basedOn w:val="Normal"/>
    <w:rsid w:val="007E4DD6"/>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7E4DD6"/>
    <w:pPr>
      <w:keepNext/>
      <w:tabs>
        <w:tab w:val="num" w:pos="360"/>
        <w:tab w:val="num" w:pos="420"/>
      </w:tabs>
      <w:ind w:left="360" w:hanging="360"/>
    </w:pPr>
    <w:rPr>
      <w:lang w:eastAsia="fr-FR"/>
    </w:rPr>
  </w:style>
  <w:style w:type="paragraph" w:customStyle="1" w:styleId="Outline2">
    <w:name w:val="Outline2"/>
    <w:basedOn w:val="Normal"/>
    <w:rsid w:val="007E4DD6"/>
    <w:pPr>
      <w:tabs>
        <w:tab w:val="num" w:pos="360"/>
        <w:tab w:val="num" w:pos="420"/>
        <w:tab w:val="num" w:pos="864"/>
      </w:tabs>
      <w:spacing w:before="240"/>
      <w:ind w:left="864" w:hanging="504"/>
      <w:jc w:val="left"/>
    </w:pPr>
    <w:rPr>
      <w:kern w:val="28"/>
      <w:lang w:eastAsia="fr-FR"/>
    </w:rPr>
  </w:style>
  <w:style w:type="paragraph" w:customStyle="1" w:styleId="a11">
    <w:name w:val="a1 1"/>
    <w:rsid w:val="007E4DD6"/>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7E4DD6"/>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7E4DD6"/>
    <w:rPr>
      <w:sz w:val="24"/>
      <w:lang w:val="en-US" w:eastAsia="fr-FR" w:bidi="ar-SA"/>
    </w:rPr>
  </w:style>
  <w:style w:type="paragraph" w:customStyle="1" w:styleId="UGHeader1">
    <w:name w:val="UG Header 1"/>
    <w:basedOn w:val="Heading1"/>
    <w:next w:val="Normal"/>
    <w:rsid w:val="007E4DD6"/>
    <w:pPr>
      <w:spacing w:before="240"/>
    </w:pPr>
    <w:rPr>
      <w:smallCaps w:val="0"/>
    </w:rPr>
  </w:style>
  <w:style w:type="paragraph" w:customStyle="1" w:styleId="UG-Sec3-Heading3">
    <w:name w:val="UG - Sec 3 - Heading 3"/>
    <w:basedOn w:val="Normal"/>
    <w:rsid w:val="007E4DD6"/>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7E4DD6"/>
  </w:style>
  <w:style w:type="paragraph" w:customStyle="1" w:styleId="UG-Sec3b-Heading3">
    <w:name w:val="UG - Sec 3b - Heading 3"/>
    <w:basedOn w:val="UG-Sec3-Heading3"/>
    <w:rsid w:val="007E4DD6"/>
  </w:style>
  <w:style w:type="paragraph" w:customStyle="1" w:styleId="UG-Sec3b-Heading4">
    <w:name w:val="UG - Sec 3b - Heading 4"/>
    <w:basedOn w:val="Normal"/>
    <w:rsid w:val="007E4DD6"/>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7E4DD6"/>
    <w:pPr>
      <w:spacing w:before="120" w:after="240"/>
      <w:jc w:val="center"/>
    </w:pPr>
    <w:rPr>
      <w:b/>
      <w:sz w:val="36"/>
    </w:rPr>
  </w:style>
  <w:style w:type="paragraph" w:customStyle="1" w:styleId="SectionVHeading2">
    <w:name w:val="Section V. Heading 2"/>
    <w:basedOn w:val="SectionVHeader"/>
    <w:rsid w:val="007E4DD6"/>
    <w:pPr>
      <w:spacing w:before="120" w:after="200"/>
    </w:pPr>
    <w:rPr>
      <w:sz w:val="28"/>
    </w:rPr>
  </w:style>
  <w:style w:type="paragraph" w:customStyle="1" w:styleId="UG-Sec4-heading3">
    <w:name w:val="UG-Sec 4 - heading 3"/>
    <w:basedOn w:val="Normal"/>
    <w:rsid w:val="007E4DD6"/>
    <w:pPr>
      <w:spacing w:before="120" w:after="200"/>
      <w:jc w:val="center"/>
    </w:pPr>
    <w:rPr>
      <w:b/>
      <w:sz w:val="28"/>
      <w:szCs w:val="28"/>
    </w:rPr>
  </w:style>
  <w:style w:type="paragraph" w:customStyle="1" w:styleId="Section1Header2">
    <w:name w:val="Section 1 Header 2"/>
    <w:basedOn w:val="StyleHeader1-ClausesLeft0Hanging03After0pt"/>
    <w:rsid w:val="007E4DD6"/>
    <w:rPr>
      <w:lang w:val="en-US"/>
    </w:rPr>
  </w:style>
  <w:style w:type="paragraph" w:customStyle="1" w:styleId="Section1Header1">
    <w:name w:val="Section 1 Header 1"/>
    <w:basedOn w:val="BodyText2"/>
    <w:rsid w:val="007E4DD6"/>
    <w:pPr>
      <w:spacing w:before="120" w:after="200"/>
      <w:jc w:val="center"/>
    </w:pPr>
    <w:rPr>
      <w:b/>
      <w:bCs/>
      <w:i w:val="0"/>
      <w:iCs/>
      <w:sz w:val="28"/>
    </w:rPr>
  </w:style>
  <w:style w:type="paragraph" w:customStyle="1" w:styleId="Section4heading">
    <w:name w:val="Section 4 heading"/>
    <w:basedOn w:val="Normal"/>
    <w:next w:val="Normal"/>
    <w:rsid w:val="007E4DD6"/>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7E4DD6"/>
    <w:pPr>
      <w:widowControl w:val="0"/>
      <w:autoSpaceDE w:val="0"/>
      <w:autoSpaceDN w:val="0"/>
      <w:spacing w:line="384" w:lineRule="atLeast"/>
      <w:jc w:val="left"/>
    </w:pPr>
    <w:rPr>
      <w:szCs w:val="24"/>
    </w:rPr>
  </w:style>
  <w:style w:type="paragraph" w:customStyle="1" w:styleId="Sec3header">
    <w:name w:val="Sec3 header"/>
    <w:basedOn w:val="Style11"/>
    <w:rsid w:val="007E4DD6"/>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7E4DD6"/>
    <w:pPr>
      <w:widowControl w:val="0"/>
      <w:autoSpaceDE w:val="0"/>
      <w:autoSpaceDN w:val="0"/>
      <w:adjustRightInd w:val="0"/>
      <w:jc w:val="left"/>
    </w:pPr>
    <w:rPr>
      <w:szCs w:val="24"/>
    </w:rPr>
  </w:style>
  <w:style w:type="paragraph" w:customStyle="1" w:styleId="Style17">
    <w:name w:val="Style 17"/>
    <w:basedOn w:val="Normal"/>
    <w:rsid w:val="007E4DD6"/>
    <w:pPr>
      <w:widowControl w:val="0"/>
      <w:autoSpaceDE w:val="0"/>
      <w:autoSpaceDN w:val="0"/>
      <w:spacing w:line="264" w:lineRule="exact"/>
      <w:ind w:left="576" w:hanging="360"/>
      <w:jc w:val="left"/>
    </w:pPr>
    <w:rPr>
      <w:szCs w:val="24"/>
    </w:rPr>
  </w:style>
  <w:style w:type="paragraph" w:customStyle="1" w:styleId="Style20">
    <w:name w:val="Style 20"/>
    <w:basedOn w:val="Normal"/>
    <w:rsid w:val="007E4DD6"/>
    <w:pPr>
      <w:widowControl w:val="0"/>
      <w:autoSpaceDE w:val="0"/>
      <w:autoSpaceDN w:val="0"/>
      <w:spacing w:before="144" w:after="360" w:line="264" w:lineRule="exact"/>
      <w:jc w:val="left"/>
    </w:pPr>
    <w:rPr>
      <w:szCs w:val="24"/>
    </w:rPr>
  </w:style>
  <w:style w:type="paragraph" w:customStyle="1" w:styleId="Header1">
    <w:name w:val="Header1"/>
    <w:basedOn w:val="Normal"/>
    <w:rsid w:val="007E4DD6"/>
    <w:pPr>
      <w:widowControl w:val="0"/>
      <w:autoSpaceDE w:val="0"/>
      <w:autoSpaceDN w:val="0"/>
      <w:spacing w:before="240" w:after="480"/>
      <w:jc w:val="center"/>
    </w:pPr>
    <w:rPr>
      <w:b/>
      <w:bCs/>
      <w:spacing w:val="4"/>
      <w:sz w:val="44"/>
      <w:szCs w:val="46"/>
    </w:rPr>
  </w:style>
  <w:style w:type="paragraph" w:customStyle="1" w:styleId="Default">
    <w:name w:val="Default"/>
    <w:rsid w:val="007E4D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7E4DD6"/>
    <w:pPr>
      <w:suppressAutoHyphens/>
      <w:spacing w:after="100"/>
      <w:jc w:val="center"/>
    </w:pPr>
    <w:rPr>
      <w:rFonts w:ascii="Times New Roman Bold" w:hAnsi="Times New Roman Bold"/>
      <w:b/>
    </w:rPr>
  </w:style>
  <w:style w:type="paragraph" w:customStyle="1" w:styleId="Style12">
    <w:name w:val="Style 12"/>
    <w:basedOn w:val="Normal"/>
    <w:rsid w:val="007E4DD6"/>
    <w:pPr>
      <w:widowControl w:val="0"/>
      <w:autoSpaceDE w:val="0"/>
      <w:autoSpaceDN w:val="0"/>
      <w:spacing w:line="264" w:lineRule="exact"/>
      <w:ind w:hanging="576"/>
    </w:pPr>
    <w:rPr>
      <w:szCs w:val="24"/>
    </w:rPr>
  </w:style>
  <w:style w:type="paragraph" w:customStyle="1" w:styleId="TextBox">
    <w:name w:val="Text Box"/>
    <w:rsid w:val="007E4DD6"/>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7E4DD6"/>
    <w:pPr>
      <w:spacing w:before="120" w:after="120"/>
    </w:pPr>
    <w:rPr>
      <w:spacing w:val="-4"/>
    </w:rPr>
  </w:style>
  <w:style w:type="paragraph" w:customStyle="1" w:styleId="Heading1-Clausename">
    <w:name w:val="Heading 1- Clause name"/>
    <w:basedOn w:val="Normal"/>
    <w:rsid w:val="007E4DD6"/>
    <w:pPr>
      <w:tabs>
        <w:tab w:val="num" w:pos="360"/>
      </w:tabs>
      <w:spacing w:before="120" w:after="120"/>
      <w:ind w:left="360" w:hanging="360"/>
      <w:jc w:val="left"/>
    </w:pPr>
    <w:rPr>
      <w:b/>
    </w:rPr>
  </w:style>
  <w:style w:type="paragraph" w:customStyle="1" w:styleId="sec7-clauses0">
    <w:name w:val="sec7-clauses"/>
    <w:basedOn w:val="Heading1-Clausename"/>
    <w:rsid w:val="007E4DD6"/>
  </w:style>
  <w:style w:type="paragraph" w:customStyle="1" w:styleId="Sec1-Clauses">
    <w:name w:val="Sec1-Clauses"/>
    <w:basedOn w:val="Heading1-Clausename"/>
    <w:rsid w:val="007E4DD6"/>
  </w:style>
  <w:style w:type="paragraph" w:styleId="DocumentMap">
    <w:name w:val="Document Map"/>
    <w:basedOn w:val="Normal"/>
    <w:link w:val="DocumentMapChar"/>
    <w:rsid w:val="007E4DD6"/>
    <w:pPr>
      <w:shd w:val="clear" w:color="auto" w:fill="000080"/>
      <w:jc w:val="left"/>
    </w:pPr>
    <w:rPr>
      <w:rFonts w:ascii="Tahoma" w:hAnsi="Tahoma"/>
    </w:rPr>
  </w:style>
  <w:style w:type="character" w:customStyle="1" w:styleId="DocumentMapChar">
    <w:name w:val="Document Map Char"/>
    <w:basedOn w:val="DefaultParagraphFont"/>
    <w:link w:val="DocumentMap"/>
    <w:rsid w:val="007E4DD6"/>
    <w:rPr>
      <w:rFonts w:ascii="Tahoma" w:eastAsia="Times New Roman" w:hAnsi="Tahoma" w:cs="Times New Roman"/>
      <w:sz w:val="24"/>
      <w:szCs w:val="20"/>
      <w:shd w:val="clear" w:color="auto" w:fill="000080"/>
    </w:rPr>
  </w:style>
  <w:style w:type="paragraph" w:customStyle="1" w:styleId="Head12">
    <w:name w:val="Head 1.2"/>
    <w:basedOn w:val="Normal"/>
    <w:rsid w:val="007E4DD6"/>
    <w:pPr>
      <w:tabs>
        <w:tab w:val="num" w:pos="360"/>
      </w:tabs>
      <w:ind w:left="360" w:hanging="360"/>
    </w:pPr>
    <w:rPr>
      <w:rFonts w:ascii="Arial" w:hAnsi="Arial"/>
      <w:sz w:val="20"/>
    </w:rPr>
  </w:style>
  <w:style w:type="paragraph" w:customStyle="1" w:styleId="ChapterNumber">
    <w:name w:val="ChapterNumber"/>
    <w:rsid w:val="007E4DD6"/>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7E4DD6"/>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7E4DD6"/>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7E4DD6"/>
    <w:rPr>
      <w:rFonts w:ascii="Cambria" w:eastAsia="Times New Roman" w:hAnsi="Cambria" w:cs="Times New Roman"/>
      <w:b/>
      <w:bCs/>
      <w:color w:val="365F91"/>
      <w:sz w:val="28"/>
      <w:szCs w:val="28"/>
    </w:rPr>
  </w:style>
  <w:style w:type="character" w:customStyle="1" w:styleId="st">
    <w:name w:val="st"/>
    <w:basedOn w:val="DefaultParagraphFont"/>
    <w:rsid w:val="007E4DD6"/>
  </w:style>
  <w:style w:type="paragraph" w:customStyle="1" w:styleId="plane">
    <w:name w:val="plane"/>
    <w:basedOn w:val="Normal"/>
    <w:rsid w:val="007E4DD6"/>
    <w:pPr>
      <w:suppressAutoHyphens/>
    </w:pPr>
    <w:rPr>
      <w:rFonts w:ascii="Tms Rmn" w:hAnsi="Tms Rmn"/>
    </w:rPr>
  </w:style>
  <w:style w:type="paragraph" w:customStyle="1" w:styleId="S1-Header2">
    <w:name w:val="S1-Header2"/>
    <w:basedOn w:val="Normal"/>
    <w:rsid w:val="007E4DD6"/>
    <w:pPr>
      <w:tabs>
        <w:tab w:val="num" w:pos="360"/>
      </w:tabs>
      <w:spacing w:after="200"/>
      <w:jc w:val="left"/>
    </w:pPr>
    <w:rPr>
      <w:b/>
      <w:szCs w:val="24"/>
    </w:rPr>
  </w:style>
  <w:style w:type="paragraph" w:customStyle="1" w:styleId="S4-Header2">
    <w:name w:val="S4-Header 2"/>
    <w:basedOn w:val="Normal"/>
    <w:rsid w:val="007E4DD6"/>
    <w:pPr>
      <w:spacing w:before="120" w:after="240"/>
      <w:jc w:val="center"/>
    </w:pPr>
    <w:rPr>
      <w:b/>
      <w:sz w:val="32"/>
      <w:szCs w:val="24"/>
    </w:rPr>
  </w:style>
  <w:style w:type="paragraph" w:styleId="NormalIndent">
    <w:name w:val="Normal Indent"/>
    <w:basedOn w:val="Normal"/>
    <w:unhideWhenUsed/>
    <w:rsid w:val="007E4DD6"/>
    <w:pPr>
      <w:ind w:left="720"/>
      <w:jc w:val="left"/>
    </w:pPr>
    <w:rPr>
      <w:szCs w:val="24"/>
    </w:rPr>
  </w:style>
  <w:style w:type="paragraph" w:styleId="ListBullet">
    <w:name w:val="List Bullet"/>
    <w:basedOn w:val="Normal"/>
    <w:autoRedefine/>
    <w:unhideWhenUsed/>
    <w:rsid w:val="007E4DD6"/>
    <w:pPr>
      <w:tabs>
        <w:tab w:val="num" w:pos="360"/>
      </w:tabs>
      <w:ind w:left="360" w:hanging="360"/>
      <w:jc w:val="left"/>
    </w:pPr>
    <w:rPr>
      <w:sz w:val="20"/>
    </w:rPr>
  </w:style>
  <w:style w:type="paragraph" w:styleId="List2">
    <w:name w:val="List 2"/>
    <w:basedOn w:val="Normal"/>
    <w:unhideWhenUsed/>
    <w:rsid w:val="007E4DD6"/>
    <w:pPr>
      <w:ind w:left="720" w:hanging="360"/>
      <w:jc w:val="left"/>
    </w:pPr>
    <w:rPr>
      <w:szCs w:val="24"/>
    </w:rPr>
  </w:style>
  <w:style w:type="paragraph" w:styleId="List3">
    <w:name w:val="List 3"/>
    <w:basedOn w:val="Normal"/>
    <w:unhideWhenUsed/>
    <w:rsid w:val="007E4DD6"/>
    <w:pPr>
      <w:ind w:left="1080" w:hanging="360"/>
      <w:jc w:val="left"/>
    </w:pPr>
    <w:rPr>
      <w:szCs w:val="24"/>
    </w:rPr>
  </w:style>
  <w:style w:type="paragraph" w:styleId="ListBullet2">
    <w:name w:val="List Bullet 2"/>
    <w:basedOn w:val="Normal"/>
    <w:autoRedefine/>
    <w:unhideWhenUsed/>
    <w:rsid w:val="007E4DD6"/>
    <w:pPr>
      <w:tabs>
        <w:tab w:val="num" w:pos="720"/>
      </w:tabs>
      <w:ind w:left="720" w:hanging="360"/>
      <w:jc w:val="left"/>
    </w:pPr>
    <w:rPr>
      <w:sz w:val="20"/>
    </w:rPr>
  </w:style>
  <w:style w:type="paragraph" w:styleId="ListBullet3">
    <w:name w:val="List Bullet 3"/>
    <w:basedOn w:val="Normal"/>
    <w:autoRedefine/>
    <w:unhideWhenUsed/>
    <w:rsid w:val="007E4DD6"/>
    <w:pPr>
      <w:tabs>
        <w:tab w:val="num" w:pos="1080"/>
      </w:tabs>
      <w:ind w:left="1080" w:hanging="360"/>
      <w:jc w:val="left"/>
    </w:pPr>
    <w:rPr>
      <w:sz w:val="20"/>
    </w:rPr>
  </w:style>
  <w:style w:type="paragraph" w:styleId="ListBullet4">
    <w:name w:val="List Bullet 4"/>
    <w:basedOn w:val="Normal"/>
    <w:autoRedefine/>
    <w:unhideWhenUsed/>
    <w:rsid w:val="007E4DD6"/>
    <w:pPr>
      <w:tabs>
        <w:tab w:val="num" w:pos="1440"/>
      </w:tabs>
      <w:ind w:left="1440" w:hanging="360"/>
      <w:jc w:val="left"/>
    </w:pPr>
    <w:rPr>
      <w:sz w:val="20"/>
    </w:rPr>
  </w:style>
  <w:style w:type="paragraph" w:styleId="ListBullet5">
    <w:name w:val="List Bullet 5"/>
    <w:basedOn w:val="Normal"/>
    <w:autoRedefine/>
    <w:unhideWhenUsed/>
    <w:rsid w:val="007E4DD6"/>
    <w:pPr>
      <w:tabs>
        <w:tab w:val="num" w:pos="1800"/>
      </w:tabs>
      <w:ind w:left="1800" w:hanging="360"/>
      <w:jc w:val="left"/>
    </w:pPr>
    <w:rPr>
      <w:sz w:val="20"/>
    </w:rPr>
  </w:style>
  <w:style w:type="paragraph" w:styleId="ListNumber2">
    <w:name w:val="List Number 2"/>
    <w:basedOn w:val="Normal"/>
    <w:unhideWhenUsed/>
    <w:rsid w:val="007E4DD6"/>
    <w:pPr>
      <w:tabs>
        <w:tab w:val="num" w:pos="720"/>
      </w:tabs>
      <w:ind w:left="720" w:hanging="360"/>
      <w:jc w:val="left"/>
    </w:pPr>
    <w:rPr>
      <w:sz w:val="20"/>
    </w:rPr>
  </w:style>
  <w:style w:type="paragraph" w:styleId="ListNumber3">
    <w:name w:val="List Number 3"/>
    <w:basedOn w:val="Normal"/>
    <w:unhideWhenUsed/>
    <w:rsid w:val="007E4DD6"/>
    <w:pPr>
      <w:tabs>
        <w:tab w:val="num" w:pos="1080"/>
      </w:tabs>
      <w:ind w:left="1080" w:hanging="360"/>
      <w:jc w:val="left"/>
    </w:pPr>
    <w:rPr>
      <w:sz w:val="20"/>
    </w:rPr>
  </w:style>
  <w:style w:type="paragraph" w:styleId="ListNumber4">
    <w:name w:val="List Number 4"/>
    <w:basedOn w:val="Normal"/>
    <w:unhideWhenUsed/>
    <w:rsid w:val="007E4DD6"/>
    <w:pPr>
      <w:tabs>
        <w:tab w:val="num" w:pos="1440"/>
      </w:tabs>
      <w:ind w:left="1440" w:hanging="360"/>
      <w:jc w:val="left"/>
    </w:pPr>
    <w:rPr>
      <w:sz w:val="20"/>
    </w:rPr>
  </w:style>
  <w:style w:type="paragraph" w:styleId="ListNumber5">
    <w:name w:val="List Number 5"/>
    <w:basedOn w:val="Normal"/>
    <w:unhideWhenUsed/>
    <w:rsid w:val="007E4DD6"/>
    <w:pPr>
      <w:tabs>
        <w:tab w:val="num" w:pos="1800"/>
      </w:tabs>
      <w:ind w:left="1800" w:hanging="360"/>
      <w:jc w:val="left"/>
    </w:pPr>
    <w:rPr>
      <w:sz w:val="20"/>
    </w:rPr>
  </w:style>
  <w:style w:type="paragraph" w:styleId="ListContinue2">
    <w:name w:val="List Continue 2"/>
    <w:basedOn w:val="Normal"/>
    <w:unhideWhenUsed/>
    <w:rsid w:val="007E4DD6"/>
    <w:pPr>
      <w:spacing w:after="120"/>
      <w:ind w:left="720"/>
      <w:jc w:val="left"/>
    </w:pPr>
    <w:rPr>
      <w:szCs w:val="24"/>
    </w:rPr>
  </w:style>
  <w:style w:type="paragraph" w:styleId="ListContinue3">
    <w:name w:val="List Continue 3"/>
    <w:basedOn w:val="Normal"/>
    <w:unhideWhenUsed/>
    <w:rsid w:val="007E4DD6"/>
    <w:pPr>
      <w:spacing w:after="120"/>
      <w:ind w:left="1080"/>
      <w:jc w:val="left"/>
    </w:pPr>
    <w:rPr>
      <w:szCs w:val="24"/>
    </w:rPr>
  </w:style>
  <w:style w:type="paragraph" w:styleId="MessageHeader">
    <w:name w:val="Message Header"/>
    <w:basedOn w:val="Normal"/>
    <w:link w:val="MessageHeaderChar"/>
    <w:unhideWhenUsed/>
    <w:rsid w:val="007E4DD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7E4DD6"/>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7E4DD6"/>
    <w:pPr>
      <w:suppressAutoHyphens/>
      <w:overflowPunct w:val="0"/>
      <w:autoSpaceDE w:val="0"/>
      <w:autoSpaceDN w:val="0"/>
      <w:adjustRightInd w:val="0"/>
    </w:pPr>
  </w:style>
  <w:style w:type="character" w:customStyle="1" w:styleId="NoteHeadingChar">
    <w:name w:val="Note Heading Char"/>
    <w:basedOn w:val="DefaultParagraphFont"/>
    <w:link w:val="NoteHeading"/>
    <w:rsid w:val="007E4DD6"/>
    <w:rPr>
      <w:rFonts w:ascii="Times New Roman" w:eastAsia="Times New Roman" w:hAnsi="Times New Roman" w:cs="Times New Roman"/>
      <w:sz w:val="24"/>
      <w:szCs w:val="20"/>
    </w:rPr>
  </w:style>
  <w:style w:type="paragraph" w:customStyle="1" w:styleId="SectionTitle">
    <w:name w:val="Section Title"/>
    <w:next w:val="Normal"/>
    <w:rsid w:val="007E4DD6"/>
    <w:pPr>
      <w:spacing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7E4DD6"/>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7E4DD6"/>
    <w:pPr>
      <w:jc w:val="left"/>
    </w:pPr>
    <w:rPr>
      <w:szCs w:val="24"/>
    </w:rPr>
  </w:style>
  <w:style w:type="paragraph" w:customStyle="1" w:styleId="ShortReturnAddress">
    <w:name w:val="Short Return Address"/>
    <w:basedOn w:val="Normal"/>
    <w:rsid w:val="007E4DD6"/>
    <w:pPr>
      <w:jc w:val="left"/>
    </w:pPr>
    <w:rPr>
      <w:szCs w:val="24"/>
    </w:rPr>
  </w:style>
  <w:style w:type="paragraph" w:customStyle="1" w:styleId="BHead">
    <w:name w:val="B Head"/>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7E4DD6"/>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7E4DD6"/>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7E4DD6"/>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7E4DD6"/>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7E4DD6"/>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7E4DD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7E4DD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7E4DD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7E4DD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7E4DD6"/>
    <w:pPr>
      <w:spacing w:before="240" w:after="240"/>
      <w:ind w:left="1418"/>
      <w:jc w:val="left"/>
    </w:pPr>
    <w:rPr>
      <w:szCs w:val="24"/>
    </w:rPr>
  </w:style>
  <w:style w:type="paragraph" w:customStyle="1" w:styleId="e4">
    <w:name w:val="e4"/>
    <w:aliases w:val="exh line end"/>
    <w:basedOn w:val="Normal"/>
    <w:next w:val="Normal"/>
    <w:rsid w:val="007E4DD6"/>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7E4DD6"/>
    <w:pPr>
      <w:spacing w:before="120" w:after="200"/>
    </w:pPr>
    <w:rPr>
      <w:b/>
    </w:rPr>
  </w:style>
  <w:style w:type="paragraph" w:customStyle="1" w:styleId="S1-Header1">
    <w:name w:val="S1-Header1"/>
    <w:basedOn w:val="Normal"/>
    <w:rsid w:val="007E4DD6"/>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7E4DD6"/>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7E4DD6"/>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7E4DD6"/>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7E4DD6"/>
    <w:pPr>
      <w:spacing w:before="120" w:after="240"/>
      <w:jc w:val="center"/>
    </w:pPr>
    <w:rPr>
      <w:b/>
      <w:bCs/>
      <w:sz w:val="36"/>
    </w:rPr>
  </w:style>
  <w:style w:type="paragraph" w:customStyle="1" w:styleId="S3-Header1">
    <w:name w:val="S3-Header 1"/>
    <w:basedOn w:val="Normal"/>
    <w:rsid w:val="007E4DD6"/>
    <w:pPr>
      <w:spacing w:before="120" w:after="200"/>
      <w:ind w:left="1080" w:hanging="720"/>
    </w:pPr>
    <w:rPr>
      <w:b/>
      <w:bCs/>
      <w:noProof/>
      <w:sz w:val="28"/>
    </w:rPr>
  </w:style>
  <w:style w:type="paragraph" w:customStyle="1" w:styleId="S3-Heading2">
    <w:name w:val="S3-Heading 2"/>
    <w:basedOn w:val="Normal"/>
    <w:rsid w:val="007E4DD6"/>
    <w:pPr>
      <w:spacing w:after="200"/>
      <w:ind w:left="1080" w:right="288" w:hanging="720"/>
    </w:pPr>
    <w:rPr>
      <w:b/>
      <w:bCs/>
      <w:szCs w:val="24"/>
    </w:rPr>
  </w:style>
  <w:style w:type="paragraph" w:customStyle="1" w:styleId="S4Header">
    <w:name w:val="S4 Header"/>
    <w:basedOn w:val="Normal"/>
    <w:next w:val="Normal"/>
    <w:rsid w:val="007E4DD6"/>
    <w:pPr>
      <w:spacing w:before="120" w:after="240"/>
      <w:jc w:val="center"/>
    </w:pPr>
    <w:rPr>
      <w:b/>
      <w:sz w:val="32"/>
    </w:rPr>
  </w:style>
  <w:style w:type="paragraph" w:customStyle="1" w:styleId="S4-Header10">
    <w:name w:val="S4-Header 1"/>
    <w:basedOn w:val="Normal"/>
    <w:next w:val="Normal"/>
    <w:rsid w:val="007E4DD6"/>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7E4DD6"/>
    <w:pPr>
      <w:spacing w:before="120" w:after="240"/>
      <w:ind w:left="360" w:right="288"/>
    </w:pPr>
    <w:rPr>
      <w:bCs/>
      <w:sz w:val="32"/>
    </w:rPr>
  </w:style>
  <w:style w:type="paragraph" w:customStyle="1" w:styleId="S6-Header1">
    <w:name w:val="S6-Header 1"/>
    <w:basedOn w:val="Normal"/>
    <w:next w:val="Normal"/>
    <w:rsid w:val="007E4DD6"/>
    <w:pPr>
      <w:spacing w:before="120" w:after="240"/>
      <w:jc w:val="center"/>
    </w:pPr>
    <w:rPr>
      <w:rFonts w:cs="Arial"/>
      <w:b/>
      <w:sz w:val="32"/>
      <w:szCs w:val="24"/>
    </w:rPr>
  </w:style>
  <w:style w:type="paragraph" w:customStyle="1" w:styleId="Part">
    <w:name w:val="Part"/>
    <w:basedOn w:val="Normal"/>
    <w:rsid w:val="007E4DD6"/>
    <w:pPr>
      <w:keepNext/>
      <w:spacing w:before="2280"/>
      <w:jc w:val="center"/>
    </w:pPr>
    <w:rPr>
      <w:b/>
      <w:sz w:val="52"/>
      <w:szCs w:val="24"/>
    </w:rPr>
  </w:style>
  <w:style w:type="paragraph" w:customStyle="1" w:styleId="StyleHead41Before6ptAfter6pt">
    <w:name w:val="Style Head 4.1 + Before:  6 pt After:  6 pt"/>
    <w:basedOn w:val="Head41"/>
    <w:rsid w:val="007E4DD6"/>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7E4DD6"/>
    <w:pPr>
      <w:spacing w:before="120" w:after="240"/>
      <w:jc w:val="center"/>
    </w:pPr>
    <w:rPr>
      <w:b/>
      <w:sz w:val="36"/>
      <w:szCs w:val="24"/>
    </w:rPr>
  </w:style>
  <w:style w:type="paragraph" w:customStyle="1" w:styleId="StyleS1-Header1TimesNewRoman14pt">
    <w:name w:val="Style S1-Header1 + Times New Roman 14 pt"/>
    <w:basedOn w:val="S1-Header1"/>
    <w:rsid w:val="007E4DD6"/>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7E4DD6"/>
    <w:pPr>
      <w:tabs>
        <w:tab w:val="num" w:pos="648"/>
      </w:tabs>
      <w:ind w:left="360" w:hanging="72"/>
    </w:pPr>
  </w:style>
  <w:style w:type="paragraph" w:customStyle="1" w:styleId="StyleStyleS1-Header1TimesNewRoman14pt1">
    <w:name w:val="Style Style S1-Header1 + Times New Roman 14 pt +1"/>
    <w:basedOn w:val="StyleS1-Header1TimesNewRoman14pt"/>
    <w:rsid w:val="007E4DD6"/>
    <w:pPr>
      <w:tabs>
        <w:tab w:val="num" w:pos="648"/>
      </w:tabs>
      <w:ind w:left="360" w:hanging="72"/>
    </w:pPr>
  </w:style>
  <w:style w:type="character" w:customStyle="1" w:styleId="AHead">
    <w:name w:val="A Head"/>
    <w:rsid w:val="007E4DD6"/>
    <w:rPr>
      <w:rFonts w:ascii="Times New Roman" w:hAnsi="Times New Roman" w:cs="Times New Roman" w:hint="default"/>
      <w:noProof w:val="0"/>
      <w:sz w:val="20"/>
      <w:lang w:val="en-US"/>
    </w:rPr>
  </w:style>
  <w:style w:type="character" w:customStyle="1" w:styleId="DefaultPara">
    <w:name w:val="Default Para"/>
    <w:rsid w:val="007E4DD6"/>
    <w:rPr>
      <w:rFonts w:ascii="CG Times" w:hAnsi="CG Times" w:hint="default"/>
      <w:b/>
      <w:bCs w:val="0"/>
      <w:i/>
      <w:iCs w:val="0"/>
      <w:noProof w:val="0"/>
      <w:sz w:val="24"/>
      <w:lang w:val="en-US"/>
    </w:rPr>
  </w:style>
  <w:style w:type="character" w:customStyle="1" w:styleId="BulletList">
    <w:name w:val="Bullet List"/>
    <w:basedOn w:val="DefaultParagraphFont"/>
    <w:rsid w:val="007E4DD6"/>
  </w:style>
  <w:style w:type="character" w:customStyle="1" w:styleId="StyleHeader2-SubClausesItalicChar">
    <w:name w:val="Style Header 2 - SubClauses + Italic Char"/>
    <w:rsid w:val="007E4DD6"/>
    <w:rPr>
      <w:rFonts w:ascii="Arial" w:hAnsi="Arial" w:cs="Arial" w:hint="default"/>
      <w:i/>
      <w:iCs/>
      <w:sz w:val="24"/>
      <w:szCs w:val="24"/>
      <w:lang w:val="en-US" w:eastAsia="en-US" w:bidi="ar-SA"/>
    </w:rPr>
  </w:style>
  <w:style w:type="character" w:customStyle="1" w:styleId="S1-Header1CharChar">
    <w:name w:val="S1-Header1 Char Char"/>
    <w:rsid w:val="007E4DD6"/>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7E4DD6"/>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7E4DD6"/>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7E4DD6"/>
    <w:rPr>
      <w:rFonts w:ascii="Arial" w:hAnsi="Arial" w:cs="Arial" w:hint="default"/>
      <w:b w:val="0"/>
      <w:bCs w:val="0"/>
      <w:sz w:val="28"/>
      <w:szCs w:val="24"/>
      <w:lang w:val="en-US" w:eastAsia="en-US" w:bidi="ar-SA"/>
    </w:rPr>
  </w:style>
  <w:style w:type="character" w:customStyle="1" w:styleId="hps">
    <w:name w:val="hps"/>
    <w:rsid w:val="007E4DD6"/>
  </w:style>
  <w:style w:type="character" w:customStyle="1" w:styleId="shorttext">
    <w:name w:val="short_text"/>
    <w:rsid w:val="007E4DD6"/>
  </w:style>
  <w:style w:type="character" w:customStyle="1" w:styleId="atn">
    <w:name w:val="atn"/>
    <w:rsid w:val="007E4DD6"/>
  </w:style>
  <w:style w:type="character" w:customStyle="1" w:styleId="dieuChar">
    <w:name w:val="dieu Char"/>
    <w:rsid w:val="007E4DD6"/>
    <w:rPr>
      <w:rFonts w:ascii="Times New Roman" w:eastAsia="Times New Roman" w:hAnsi="Times New Roman" w:cs="Times New Roman"/>
      <w:b/>
      <w:color w:val="0000FF"/>
      <w:sz w:val="26"/>
      <w:szCs w:val="20"/>
      <w:lang w:val="en-US"/>
    </w:rPr>
  </w:style>
  <w:style w:type="paragraph" w:customStyle="1" w:styleId="3">
    <w:name w:val="3"/>
    <w:basedOn w:val="Heading3"/>
    <w:rsid w:val="007E4DD6"/>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7E4DD6"/>
    <w:pPr>
      <w:spacing w:after="120"/>
      <w:ind w:left="0" w:right="0" w:firstLine="567"/>
      <w:jc w:val="right"/>
    </w:pPr>
    <w:rPr>
      <w:rFonts w:ascii=".VnTime" w:hAnsi=".VnTime"/>
      <w:sz w:val="28"/>
      <w:szCs w:val="28"/>
      <w:u w:val="single"/>
      <w:lang w:val="de-DE"/>
    </w:rPr>
  </w:style>
  <w:style w:type="paragraph" w:customStyle="1" w:styleId="4">
    <w:name w:val="4"/>
    <w:basedOn w:val="Normal"/>
    <w:rsid w:val="007E4DD6"/>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7E4DD6"/>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7E4DD6"/>
    <w:rPr>
      <w:rFonts w:ascii="Times New Roman" w:eastAsia="Times New Roman" w:hAnsi="Times New Roman" w:cs="Times New Roman"/>
      <w:sz w:val="24"/>
      <w:szCs w:val="20"/>
    </w:rPr>
  </w:style>
  <w:style w:type="paragraph" w:customStyle="1" w:styleId="Style1">
    <w:name w:val="Style1"/>
    <w:basedOn w:val="Normal"/>
    <w:rsid w:val="007E4DD6"/>
    <w:pPr>
      <w:widowControl w:val="0"/>
    </w:pPr>
    <w:rPr>
      <w:rFonts w:ascii=".VnTime" w:hAnsi=".VnTime"/>
      <w:sz w:val="26"/>
    </w:rPr>
  </w:style>
  <w:style w:type="character" w:styleId="Emphasis">
    <w:name w:val="Emphasis"/>
    <w:uiPriority w:val="20"/>
    <w:qFormat/>
    <w:rsid w:val="007E4DD6"/>
    <w:rPr>
      <w:i/>
      <w:iCs/>
    </w:rPr>
  </w:style>
  <w:style w:type="paragraph" w:customStyle="1" w:styleId="HAStyle1">
    <w:name w:val="HAStyle1"/>
    <w:basedOn w:val="Sec1-Clauses"/>
    <w:qFormat/>
    <w:rsid w:val="007E4DD6"/>
    <w:pPr>
      <w:widowControl w:val="0"/>
      <w:numPr>
        <w:numId w:val="7"/>
      </w:numPr>
      <w:spacing w:line="264" w:lineRule="auto"/>
    </w:pPr>
    <w:rPr>
      <w:rFonts w:eastAsiaTheme="minorHAnsi"/>
      <w:sz w:val="28"/>
      <w:szCs w:val="28"/>
    </w:rPr>
  </w:style>
  <w:style w:type="paragraph" w:styleId="Revision">
    <w:name w:val="Revision"/>
    <w:hidden/>
    <w:uiPriority w:val="99"/>
    <w:semiHidden/>
    <w:rsid w:val="007E4DD6"/>
    <w:pPr>
      <w:spacing w:after="0" w:line="240" w:lineRule="auto"/>
    </w:pPr>
    <w:rPr>
      <w:rFonts w:ascii="Times New Roman" w:eastAsia="Times New Roman" w:hAnsi="Times New Roman" w:cs="Times New Roman"/>
      <w:sz w:val="24"/>
      <w:szCs w:val="20"/>
    </w:rPr>
  </w:style>
  <w:style w:type="character" w:customStyle="1" w:styleId="Other">
    <w:name w:val="Other_"/>
    <w:link w:val="Other0"/>
    <w:uiPriority w:val="99"/>
    <w:rsid w:val="007E4DD6"/>
    <w:rPr>
      <w:rFonts w:cs="Times New Roman"/>
      <w:i/>
      <w:iCs/>
      <w:sz w:val="26"/>
      <w:szCs w:val="26"/>
      <w:shd w:val="clear" w:color="auto" w:fill="FFFFFF"/>
    </w:rPr>
  </w:style>
  <w:style w:type="paragraph" w:customStyle="1" w:styleId="Other0">
    <w:name w:val="Other"/>
    <w:basedOn w:val="Normal"/>
    <w:link w:val="Other"/>
    <w:uiPriority w:val="99"/>
    <w:rsid w:val="007E4DD6"/>
    <w:pPr>
      <w:widowControl w:val="0"/>
      <w:shd w:val="clear" w:color="auto" w:fill="FFFFFF"/>
      <w:spacing w:after="100" w:line="262" w:lineRule="auto"/>
      <w:ind w:firstLine="400"/>
      <w:jc w:val="center"/>
    </w:pPr>
    <w:rPr>
      <w:rFonts w:asciiTheme="minorHAnsi" w:eastAsiaTheme="minorHAnsi" w:hAnsiTheme="minorHAnsi"/>
      <w:i/>
      <w:iCs/>
      <w:sz w:val="26"/>
      <w:szCs w:val="26"/>
    </w:rPr>
  </w:style>
  <w:style w:type="character" w:customStyle="1" w:styleId="Khc">
    <w:name w:val="Khác_"/>
    <w:link w:val="Khc0"/>
    <w:uiPriority w:val="99"/>
    <w:rsid w:val="007E4DD6"/>
    <w:rPr>
      <w:rFonts w:cs="Times New Roman"/>
      <w:szCs w:val="28"/>
    </w:rPr>
  </w:style>
  <w:style w:type="paragraph" w:customStyle="1" w:styleId="Khc0">
    <w:name w:val="Khác"/>
    <w:basedOn w:val="Normal"/>
    <w:link w:val="Khc"/>
    <w:uiPriority w:val="99"/>
    <w:rsid w:val="007E4DD6"/>
    <w:pPr>
      <w:widowControl w:val="0"/>
      <w:spacing w:after="60" w:line="312" w:lineRule="auto"/>
      <w:ind w:firstLine="400"/>
      <w:jc w:val="left"/>
    </w:pPr>
    <w:rPr>
      <w:rFonts w:asciiTheme="minorHAnsi" w:eastAsiaTheme="minorHAnsi" w:hAnsiTheme="minorHAnsi"/>
      <w:sz w:val="22"/>
      <w:szCs w:val="28"/>
    </w:rPr>
  </w:style>
  <w:style w:type="paragraph" w:styleId="Index3">
    <w:name w:val="index 3"/>
    <w:basedOn w:val="Normal"/>
    <w:next w:val="Normal"/>
    <w:autoRedefine/>
    <w:uiPriority w:val="99"/>
    <w:semiHidden/>
    <w:unhideWhenUsed/>
    <w:rsid w:val="007E4DD6"/>
    <w:pPr>
      <w:ind w:left="720" w:hanging="240"/>
    </w:pPr>
  </w:style>
  <w:style w:type="character" w:customStyle="1" w:styleId="fontstyle01">
    <w:name w:val="fontstyle01"/>
    <w:basedOn w:val="DefaultParagraphFont"/>
    <w:rsid w:val="007E4DD6"/>
    <w:rPr>
      <w:rFonts w:ascii="TimesNewRomanPSMT" w:hAnsi="TimesNewRomanPSMT" w:hint="default"/>
      <w:color w:val="000000"/>
      <w:sz w:val="26"/>
      <w:szCs w:val="26"/>
    </w:rPr>
  </w:style>
  <w:style w:type="table" w:styleId="TableGrid">
    <w:name w:val="Table Grid"/>
    <w:basedOn w:val="TableNormal"/>
    <w:rsid w:val="007E4DD6"/>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52</Pages>
  <Words>17801</Words>
  <Characters>101468</Characters>
  <Application>Microsoft Office Word</Application>
  <DocSecurity>0</DocSecurity>
  <Lines>845</Lines>
  <Paragraphs>238</Paragraphs>
  <ScaleCrop>false</ScaleCrop>
  <Company/>
  <LinksUpToDate>false</LinksUpToDate>
  <CharactersWithSpaces>119031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2025-10-16T04:14:00Z</dcterms:created>
  <dcterms:modified xsi:type="dcterms:W3CDTF">2025-10-16T11:32:00Z</dcterms:modified>
</cp:coreProperties>
</file>