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B9E2E" w14:textId="77777777" w:rsidR="00EB65E8" w:rsidRPr="00EB65E8" w:rsidRDefault="00EB65E8" w:rsidP="00EB65E8">
      <w:pPr>
        <w:widowControl w:val="0"/>
        <w:spacing w:after="0" w:line="240" w:lineRule="auto"/>
        <w:jc w:val="center"/>
        <w:outlineLvl w:val="1"/>
        <w:rPr>
          <w:rFonts w:ascii="Times New Roman" w:eastAsia="Times New Roman" w:hAnsi="Times New Roman" w:cs="Times New Roman"/>
          <w:sz w:val="28"/>
          <w:szCs w:val="28"/>
          <w:lang w:val="nl-NL"/>
        </w:rPr>
      </w:pPr>
      <w:r w:rsidRPr="00EB65E8">
        <w:rPr>
          <w:rFonts w:ascii="Times New Roman" w:eastAsia="Times New Roman" w:hAnsi="Times New Roman" w:cs="Times New Roman"/>
          <w:b/>
          <w:sz w:val="28"/>
          <w:szCs w:val="28"/>
          <w:lang w:val="nl-NL"/>
        </w:rPr>
        <w:t>Chương V. YÊU CẦU VỀ KỸ THUẬT</w:t>
      </w:r>
    </w:p>
    <w:p w14:paraId="54100275" w14:textId="77777777" w:rsidR="00EB65E8" w:rsidRPr="00EB65E8" w:rsidRDefault="00EB65E8" w:rsidP="00EB65E8">
      <w:pPr>
        <w:spacing w:after="0" w:line="240" w:lineRule="auto"/>
        <w:jc w:val="center"/>
        <w:rPr>
          <w:rFonts w:ascii="Times New Roman" w:eastAsia="Times New Roman" w:hAnsi="Times New Roman" w:cs="Times New Roman"/>
          <w:b/>
          <w:sz w:val="20"/>
          <w:szCs w:val="32"/>
          <w:lang w:val="nl-NL"/>
        </w:rPr>
      </w:pPr>
    </w:p>
    <w:p w14:paraId="053B21BE"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b/>
          <w:sz w:val="26"/>
          <w:szCs w:val="26"/>
          <w:lang w:val="nl-NL"/>
        </w:rPr>
      </w:pPr>
      <w:r w:rsidRPr="00EB65E8">
        <w:rPr>
          <w:rFonts w:ascii="Times New Roman" w:eastAsia="Times New Roman" w:hAnsi="Times New Roman" w:cs="Times New Roman"/>
          <w:b/>
          <w:sz w:val="26"/>
          <w:szCs w:val="26"/>
          <w:lang w:val="nl-NL"/>
        </w:rPr>
        <w:t>Mục 1. Yêu cầu về kỹ thuật</w:t>
      </w:r>
    </w:p>
    <w:p w14:paraId="488A2454"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b/>
          <w:i/>
          <w:sz w:val="26"/>
          <w:szCs w:val="26"/>
          <w:lang w:val="nl-NL"/>
        </w:rPr>
      </w:pPr>
      <w:r w:rsidRPr="00EB65E8">
        <w:rPr>
          <w:rFonts w:ascii="Times New Roman" w:eastAsia="Times New Roman" w:hAnsi="Times New Roman" w:cs="Times New Roman"/>
          <w:b/>
          <w:i/>
          <w:sz w:val="26"/>
          <w:szCs w:val="26"/>
          <w:lang w:val="nl-NL"/>
        </w:rPr>
        <w:t xml:space="preserve">1.1. Giới thiệu chung về </w:t>
      </w:r>
      <w:r w:rsidRPr="00EB65E8">
        <w:rPr>
          <w:rFonts w:ascii="Times New Roman" w:eastAsia="Times New Roman" w:hAnsi="Times New Roman" w:cs="Times New Roman"/>
          <w:b/>
          <w:i/>
          <w:sz w:val="26"/>
          <w:szCs w:val="26"/>
        </w:rPr>
        <w:t>dự toán mua sắm</w:t>
      </w:r>
      <w:r w:rsidRPr="00EB65E8">
        <w:rPr>
          <w:rFonts w:ascii="Times New Roman" w:eastAsia="Times New Roman" w:hAnsi="Times New Roman" w:cs="Times New Roman"/>
          <w:b/>
          <w:i/>
          <w:sz w:val="26"/>
          <w:szCs w:val="26"/>
          <w:lang w:val="nl-NL"/>
        </w:rPr>
        <w:t>, gói thầu</w:t>
      </w:r>
    </w:p>
    <w:p w14:paraId="76A08E18" w14:textId="77777777" w:rsidR="00EB65E8" w:rsidRPr="00EB65E8" w:rsidRDefault="00EB65E8" w:rsidP="00EB65E8">
      <w:pPr>
        <w:widowControl w:val="0"/>
        <w:tabs>
          <w:tab w:val="right" w:pos="7272"/>
        </w:tabs>
        <w:spacing w:after="0" w:line="240" w:lineRule="auto"/>
        <w:ind w:firstLine="709"/>
        <w:jc w:val="both"/>
        <w:rPr>
          <w:rFonts w:ascii="Times New Roman" w:eastAsia="Times New Roman" w:hAnsi="Times New Roman" w:cs="Times New Roman"/>
          <w:sz w:val="26"/>
          <w:szCs w:val="26"/>
          <w:lang w:val="nl-NL"/>
        </w:rPr>
      </w:pPr>
      <w:bookmarkStart w:id="0" w:name="_Hlk154743134"/>
      <w:r w:rsidRPr="00EB65E8">
        <w:rPr>
          <w:rFonts w:ascii="Times New Roman" w:eastAsia="Times New Roman" w:hAnsi="Times New Roman" w:cs="Times New Roman"/>
          <w:sz w:val="26"/>
          <w:szCs w:val="26"/>
          <w:lang w:val="nl-NL"/>
        </w:rPr>
        <w:t>- Tên dự toán</w:t>
      </w:r>
      <w:r w:rsidRPr="00EB65E8">
        <w:rPr>
          <w:rFonts w:ascii="Times New Roman" w:eastAsia="Times New Roman" w:hAnsi="Times New Roman" w:cs="Times New Roman"/>
          <w:sz w:val="26"/>
          <w:szCs w:val="26"/>
        </w:rPr>
        <w:t>: Cung ứng Hóa chất - Vật tư y tế tiêu hao khác phục vụ công tác chuyên môn năm 2025-2026 cho Bệnh viện Đa khoa Hải Dương</w:t>
      </w:r>
      <w:r w:rsidRPr="00EB65E8">
        <w:rPr>
          <w:rFonts w:ascii="Times New Roman" w:eastAsia="Times New Roman" w:hAnsi="Times New Roman" w:cs="Times New Roman"/>
          <w:sz w:val="26"/>
          <w:szCs w:val="26"/>
          <w:lang w:val="nl-NL"/>
        </w:rPr>
        <w:t xml:space="preserve">. </w:t>
      </w:r>
    </w:p>
    <w:p w14:paraId="087817EC"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xml:space="preserve">- Nguồn vốn: </w:t>
      </w:r>
      <w:r w:rsidRPr="00EB65E8">
        <w:rPr>
          <w:rFonts w:ascii="Times New Roman" w:eastAsia="Times New Roman" w:hAnsi="Times New Roman" w:cs="Times New Roman"/>
          <w:sz w:val="26"/>
          <w:szCs w:val="26"/>
        </w:rPr>
        <w:t>Nguồn thu viện phí và bảo hiểm y tế</w:t>
      </w:r>
    </w:p>
    <w:p w14:paraId="023A6D1D"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xml:space="preserve">- Chủ đầu tư: </w:t>
      </w:r>
      <w:r w:rsidRPr="00EB65E8">
        <w:rPr>
          <w:rFonts w:ascii="Times New Roman" w:eastAsia="Times New Roman" w:hAnsi="Times New Roman" w:cs="Times New Roman"/>
          <w:sz w:val="26"/>
          <w:szCs w:val="26"/>
        </w:rPr>
        <w:t>Bệnh viện Đa khoa Hải Dương</w:t>
      </w:r>
      <w:r w:rsidRPr="00EB65E8">
        <w:rPr>
          <w:rFonts w:ascii="Times New Roman" w:eastAsia="Times New Roman" w:hAnsi="Times New Roman" w:cs="Times New Roman"/>
          <w:sz w:val="26"/>
          <w:szCs w:val="26"/>
          <w:lang w:val="nl-NL"/>
        </w:rPr>
        <w:t>.</w:t>
      </w:r>
    </w:p>
    <w:p w14:paraId="1678A3BD"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xml:space="preserve">- Tên gói thầu: </w:t>
      </w:r>
      <w:r w:rsidRPr="00EB65E8">
        <w:rPr>
          <w:rFonts w:ascii="Times New Roman" w:eastAsia="Times New Roman" w:hAnsi="Times New Roman" w:cs="Times New Roman"/>
          <w:sz w:val="26"/>
          <w:szCs w:val="26"/>
        </w:rPr>
        <w:t>Cung ứng Hóa chất - Vật tư y tế tiêu hao khác phục vụ công tác chuyên môn năm 2025-2026 cho Bệnh viện Đa khoa Hải Dương</w:t>
      </w:r>
    </w:p>
    <w:p w14:paraId="2D2E57F7"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Giá gói thầu: 4.447.850.500 đồng</w:t>
      </w:r>
    </w:p>
    <w:p w14:paraId="65F16217"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Hình thức lựa chọn nhà thầu: Đấu thầu rộng rãi, trong nước, qua mạng</w:t>
      </w:r>
    </w:p>
    <w:p w14:paraId="784CF181"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Phương thức lựa chọn nhà thầu: Một giai đoạn một túi hồ sơ.</w:t>
      </w:r>
    </w:p>
    <w:p w14:paraId="3AD9EA4F"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Thời gian tổ chức lựa chọn nhà thầu: 90 ngày</w:t>
      </w:r>
    </w:p>
    <w:p w14:paraId="54FEA9B2"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Thời gian bắt đầu tổ chức lựa chọn nhà thầu: Quý IV năm 2025</w:t>
      </w:r>
    </w:p>
    <w:p w14:paraId="48C0F911"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z w:val="26"/>
          <w:szCs w:val="26"/>
          <w:lang w:val="nl-NL"/>
        </w:rPr>
      </w:pPr>
      <w:r w:rsidRPr="00EB65E8">
        <w:rPr>
          <w:rFonts w:ascii="Times New Roman" w:eastAsia="Times New Roman" w:hAnsi="Times New Roman" w:cs="Times New Roman"/>
          <w:sz w:val="26"/>
          <w:szCs w:val="26"/>
          <w:lang w:val="nl-NL"/>
        </w:rPr>
        <w:t>- Loại hợp đồng: Theo đơn giá cố định.</w:t>
      </w:r>
    </w:p>
    <w:p w14:paraId="2E1FCE21"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i/>
          <w:sz w:val="26"/>
          <w:szCs w:val="26"/>
          <w:lang w:val="nl-NL"/>
        </w:rPr>
      </w:pPr>
      <w:r w:rsidRPr="00EB65E8">
        <w:rPr>
          <w:rFonts w:ascii="Times New Roman" w:eastAsia="Times New Roman" w:hAnsi="Times New Roman" w:cs="Times New Roman"/>
          <w:sz w:val="26"/>
          <w:szCs w:val="26"/>
          <w:lang w:val="nl-NL"/>
        </w:rPr>
        <w:t>- Thời gian thực hiện gói thầu: 12 tháng kể từ ngày hợp đồng có hiệu lực</w:t>
      </w:r>
      <w:r w:rsidRPr="00EB65E8">
        <w:rPr>
          <w:rFonts w:ascii="Times New Roman" w:eastAsia="Times New Roman" w:hAnsi="Times New Roman" w:cs="Times New Roman"/>
          <w:i/>
          <w:sz w:val="26"/>
          <w:szCs w:val="26"/>
          <w:lang w:val="nl-NL"/>
        </w:rPr>
        <w:t>.</w:t>
      </w:r>
    </w:p>
    <w:p w14:paraId="1533905F"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spacing w:val="2"/>
          <w:sz w:val="26"/>
          <w:szCs w:val="26"/>
          <w:lang w:val="nl-NL"/>
        </w:rPr>
      </w:pPr>
      <w:r w:rsidRPr="00EB65E8">
        <w:rPr>
          <w:rFonts w:ascii="Times New Roman" w:eastAsia="Times New Roman" w:hAnsi="Times New Roman" w:cs="Times New Roman"/>
          <w:sz w:val="26"/>
          <w:szCs w:val="26"/>
          <w:lang w:val="nl-NL"/>
        </w:rPr>
        <w:t>- Tùy chọn mua thêm: 1.334.355.150 đồng</w:t>
      </w:r>
    </w:p>
    <w:bookmarkEnd w:id="0"/>
    <w:p w14:paraId="763651D1" w14:textId="77777777" w:rsidR="00EB65E8" w:rsidRPr="00EB65E8" w:rsidRDefault="00EB65E8" w:rsidP="00EB65E8">
      <w:pPr>
        <w:widowControl w:val="0"/>
        <w:spacing w:after="0" w:line="240" w:lineRule="auto"/>
        <w:ind w:firstLine="709"/>
        <w:jc w:val="both"/>
        <w:rPr>
          <w:rFonts w:ascii="Times New Roman" w:eastAsia="Times New Roman" w:hAnsi="Times New Roman" w:cs="Times New Roman"/>
          <w:b/>
          <w:i/>
          <w:sz w:val="26"/>
          <w:szCs w:val="26"/>
          <w:lang w:val="nl-NL"/>
        </w:rPr>
      </w:pPr>
      <w:r w:rsidRPr="00EB65E8">
        <w:rPr>
          <w:rFonts w:ascii="Times New Roman" w:eastAsia="Times New Roman" w:hAnsi="Times New Roman" w:cs="Times New Roman"/>
          <w:b/>
          <w:i/>
          <w:sz w:val="26"/>
          <w:szCs w:val="26"/>
          <w:lang w:val="nl-NL"/>
        </w:rPr>
        <w:t>1.2. Yêu cầu về kỹ thuật</w:t>
      </w:r>
    </w:p>
    <w:p w14:paraId="1CEDBFCE" w14:textId="77777777" w:rsidR="00EB65E8" w:rsidRPr="00EB65E8" w:rsidRDefault="00EB65E8" w:rsidP="00EB65E8">
      <w:pPr>
        <w:spacing w:after="0" w:line="240" w:lineRule="auto"/>
        <w:ind w:right="43" w:firstLine="709"/>
        <w:jc w:val="both"/>
        <w:rPr>
          <w:rFonts w:ascii="Times New Roman" w:eastAsia="Times New Roman" w:hAnsi="Times New Roman" w:cs="Times New Roman"/>
          <w:b/>
          <w:i/>
          <w:sz w:val="26"/>
          <w:szCs w:val="26"/>
        </w:rPr>
      </w:pPr>
      <w:r w:rsidRPr="00EB65E8">
        <w:rPr>
          <w:rFonts w:ascii="Times New Roman" w:eastAsia="Times New Roman" w:hAnsi="Times New Roman" w:cs="Times New Roman"/>
          <w:b/>
          <w:i/>
          <w:sz w:val="26"/>
          <w:szCs w:val="26"/>
        </w:rPr>
        <w:t>1.2.1. Yêu cầu chung</w:t>
      </w:r>
    </w:p>
    <w:p w14:paraId="67E4057E"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Nhà thầu tham gia dự thầu phải chào đúng và đủ chủng loại, khối lượng hàng hoá theo phần lô tham dự nêu tại bảng Phạm vi cung cấp thuộc Mẫu số 01 Chương IV.</w:t>
      </w:r>
    </w:p>
    <w:p w14:paraId="31B3B3CD" w14:textId="77777777" w:rsidR="00EB65E8" w:rsidRPr="00EB65E8" w:rsidRDefault="00EB65E8" w:rsidP="00EB65E8">
      <w:pPr>
        <w:spacing w:after="0" w:line="240" w:lineRule="auto"/>
        <w:ind w:firstLine="709"/>
        <w:jc w:val="both"/>
        <w:rPr>
          <w:rFonts w:ascii="Times New Roman" w:eastAsia="Times New Roman" w:hAnsi="Times New Roman" w:cs="Times New Roman"/>
          <w:bCs/>
          <w:iCs/>
          <w:sz w:val="26"/>
          <w:szCs w:val="26"/>
        </w:rPr>
      </w:pPr>
      <w:r w:rsidRPr="00EB65E8">
        <w:rPr>
          <w:rFonts w:ascii="Times New Roman" w:eastAsia="Times New Roman" w:hAnsi="Times New Roman" w:cs="Times New Roman"/>
          <w:bCs/>
          <w:iCs/>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56059112"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Hàng hóa mới 100%, chưa sử dụng, các kiện hàng nguyên trước khi giao nhận đều phải còn nguyên đai, nguyên kiện</w:t>
      </w:r>
    </w:p>
    <w:p w14:paraId="2E9B31F6" w14:textId="77777777" w:rsidR="00EB65E8" w:rsidRPr="00EB65E8" w:rsidRDefault="00EB65E8" w:rsidP="00EB65E8">
      <w:pPr>
        <w:spacing w:after="0" w:line="240" w:lineRule="auto"/>
        <w:ind w:firstLine="709"/>
        <w:jc w:val="both"/>
        <w:rPr>
          <w:rFonts w:ascii="Times New Roman" w:eastAsia="Times New Roman" w:hAnsi="Times New Roman" w:cs="Times New Roman"/>
          <w:b/>
          <w:i/>
          <w:sz w:val="26"/>
          <w:szCs w:val="26"/>
          <w:lang w:val="nl-NL"/>
        </w:rPr>
      </w:pPr>
      <w:r w:rsidRPr="00EB65E8">
        <w:rPr>
          <w:rFonts w:ascii="Times New Roman" w:eastAsia="Times New Roman" w:hAnsi="Times New Roman" w:cs="Times New Roman"/>
          <w:b/>
          <w:i/>
          <w:sz w:val="26"/>
          <w:szCs w:val="26"/>
          <w:lang w:val="nl-NL"/>
        </w:rPr>
        <w:t xml:space="preserve">1.2.2 Yêu cầu kỹ thuật cụ thể </w:t>
      </w:r>
    </w:p>
    <w:p w14:paraId="12D87CB7"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163543DC"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sectPr w:rsidR="00EB65E8" w:rsidRPr="00EB65E8" w:rsidSect="00286281">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r w:rsidRPr="00EB65E8">
        <w:rPr>
          <w:rFonts w:ascii="Times New Roman" w:eastAsia="Times New Roman" w:hAnsi="Times New Roman" w:cs="Times New Roman"/>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14791E6C" w14:textId="77777777" w:rsidR="00EB65E8" w:rsidRPr="00EB65E8" w:rsidRDefault="00EB65E8" w:rsidP="00EB65E8">
      <w:pPr>
        <w:spacing w:after="0" w:line="240" w:lineRule="auto"/>
        <w:ind w:firstLine="709"/>
        <w:jc w:val="both"/>
        <w:rPr>
          <w:rFonts w:ascii="Times New Roman" w:eastAsia="Times New Roman" w:hAnsi="Times New Roman" w:cs="Times New Roman"/>
          <w:b/>
          <w:i/>
          <w:sz w:val="26"/>
          <w:szCs w:val="26"/>
          <w:lang w:val="nl-NL"/>
        </w:rPr>
      </w:pPr>
    </w:p>
    <w:tbl>
      <w:tblPr>
        <w:tblW w:w="146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597"/>
        <w:gridCol w:w="5748"/>
        <w:gridCol w:w="1754"/>
        <w:gridCol w:w="1128"/>
        <w:gridCol w:w="1472"/>
        <w:gridCol w:w="2285"/>
      </w:tblGrid>
      <w:tr w:rsidR="001A4F78" w:rsidRPr="00EB65E8" w14:paraId="2F5BEED5" w14:textId="77777777" w:rsidTr="00173035">
        <w:trPr>
          <w:trHeight w:val="507"/>
          <w:tblHeader/>
        </w:trPr>
        <w:tc>
          <w:tcPr>
            <w:tcW w:w="632" w:type="dxa"/>
            <w:vMerge w:val="restart"/>
            <w:shd w:val="clear" w:color="auto" w:fill="auto"/>
            <w:vAlign w:val="center"/>
            <w:hideMark/>
          </w:tcPr>
          <w:p w14:paraId="0590E45D"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STT</w:t>
            </w:r>
          </w:p>
        </w:tc>
        <w:tc>
          <w:tcPr>
            <w:tcW w:w="1597" w:type="dxa"/>
            <w:vMerge w:val="restart"/>
            <w:shd w:val="clear" w:color="auto" w:fill="auto"/>
            <w:vAlign w:val="center"/>
            <w:hideMark/>
          </w:tcPr>
          <w:p w14:paraId="22957012"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Tên hàng hóa</w:t>
            </w:r>
          </w:p>
        </w:tc>
        <w:tc>
          <w:tcPr>
            <w:tcW w:w="5748" w:type="dxa"/>
            <w:vMerge w:val="restart"/>
            <w:shd w:val="clear" w:color="auto" w:fill="auto"/>
            <w:vAlign w:val="center"/>
            <w:hideMark/>
          </w:tcPr>
          <w:p w14:paraId="59F9236D"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Thông số kỹ thuật cơ bản</w:t>
            </w:r>
          </w:p>
        </w:tc>
        <w:tc>
          <w:tcPr>
            <w:tcW w:w="1754" w:type="dxa"/>
            <w:vMerge w:val="restart"/>
            <w:shd w:val="clear" w:color="auto" w:fill="auto"/>
            <w:vAlign w:val="center"/>
            <w:hideMark/>
          </w:tcPr>
          <w:p w14:paraId="45D0F1FA"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TCCL</w:t>
            </w:r>
          </w:p>
        </w:tc>
        <w:tc>
          <w:tcPr>
            <w:tcW w:w="1128" w:type="dxa"/>
            <w:vMerge w:val="restart"/>
            <w:shd w:val="clear" w:color="auto" w:fill="auto"/>
            <w:vAlign w:val="center"/>
            <w:hideMark/>
          </w:tcPr>
          <w:p w14:paraId="7BDFD471"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Phân loại</w:t>
            </w:r>
          </w:p>
        </w:tc>
        <w:tc>
          <w:tcPr>
            <w:tcW w:w="1472" w:type="dxa"/>
            <w:vMerge w:val="restart"/>
            <w:shd w:val="clear" w:color="auto" w:fill="auto"/>
            <w:vAlign w:val="center"/>
            <w:hideMark/>
          </w:tcPr>
          <w:p w14:paraId="54E5DDF9"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Nhóm nước/Vùng lãnh thổ</w:t>
            </w:r>
          </w:p>
        </w:tc>
        <w:tc>
          <w:tcPr>
            <w:tcW w:w="2285" w:type="dxa"/>
            <w:vMerge w:val="restart"/>
            <w:shd w:val="clear" w:color="auto" w:fill="auto"/>
            <w:vAlign w:val="center"/>
            <w:hideMark/>
          </w:tcPr>
          <w:p w14:paraId="11817B17" w14:textId="77777777" w:rsidR="00EB65E8" w:rsidRPr="00EB65E8" w:rsidRDefault="00EB65E8" w:rsidP="00EB65E8">
            <w:pPr>
              <w:spacing w:after="0" w:line="240" w:lineRule="auto"/>
              <w:jc w:val="center"/>
              <w:rPr>
                <w:rFonts w:ascii="Times New Roman" w:eastAsia="Times New Roman" w:hAnsi="Times New Roman" w:cs="Times New Roman"/>
                <w:b/>
                <w:bCs/>
                <w:lang w:val="vi-VN" w:eastAsia="vi-VN"/>
              </w:rPr>
            </w:pPr>
            <w:r w:rsidRPr="00EB65E8">
              <w:rPr>
                <w:rFonts w:ascii="Times New Roman" w:eastAsia="Times New Roman" w:hAnsi="Times New Roman" w:cs="Times New Roman"/>
                <w:b/>
                <w:bCs/>
                <w:sz w:val="20"/>
                <w:szCs w:val="20"/>
              </w:rPr>
              <w:t>Hạn sử dụng</w:t>
            </w:r>
          </w:p>
        </w:tc>
      </w:tr>
      <w:tr w:rsidR="001A4F78" w:rsidRPr="00EB65E8" w14:paraId="0157D23B" w14:textId="77777777" w:rsidTr="00173035">
        <w:trPr>
          <w:trHeight w:val="253"/>
          <w:tblHeader/>
        </w:trPr>
        <w:tc>
          <w:tcPr>
            <w:tcW w:w="632" w:type="dxa"/>
            <w:vMerge/>
            <w:vAlign w:val="center"/>
            <w:hideMark/>
          </w:tcPr>
          <w:p w14:paraId="74E6342C" w14:textId="77777777" w:rsidR="00EB65E8" w:rsidRPr="00EB65E8" w:rsidRDefault="00EB65E8" w:rsidP="00EB65E8">
            <w:pPr>
              <w:spacing w:after="0" w:line="240" w:lineRule="auto"/>
              <w:jc w:val="both"/>
              <w:rPr>
                <w:rFonts w:ascii="Times New Roman" w:eastAsia="Times New Roman" w:hAnsi="Times New Roman" w:cs="Times New Roman"/>
                <w:b/>
                <w:bCs/>
                <w:lang w:val="vi-VN" w:eastAsia="vi-VN"/>
              </w:rPr>
            </w:pPr>
          </w:p>
        </w:tc>
        <w:tc>
          <w:tcPr>
            <w:tcW w:w="1597" w:type="dxa"/>
            <w:vMerge/>
            <w:vAlign w:val="center"/>
            <w:hideMark/>
          </w:tcPr>
          <w:p w14:paraId="3E6C712C" w14:textId="77777777" w:rsidR="00EB65E8" w:rsidRPr="00EB65E8" w:rsidRDefault="00EB65E8" w:rsidP="00EB65E8">
            <w:pPr>
              <w:spacing w:after="0" w:line="240" w:lineRule="auto"/>
              <w:jc w:val="both"/>
              <w:rPr>
                <w:rFonts w:ascii="Times New Roman" w:eastAsia="Times New Roman" w:hAnsi="Times New Roman" w:cs="Times New Roman"/>
                <w:b/>
                <w:bCs/>
                <w:lang w:val="vi-VN" w:eastAsia="vi-VN"/>
              </w:rPr>
            </w:pPr>
          </w:p>
        </w:tc>
        <w:tc>
          <w:tcPr>
            <w:tcW w:w="5748" w:type="dxa"/>
            <w:vMerge/>
            <w:vAlign w:val="center"/>
            <w:hideMark/>
          </w:tcPr>
          <w:p w14:paraId="613E821E" w14:textId="77777777" w:rsidR="00EB65E8" w:rsidRPr="00EB65E8" w:rsidRDefault="00EB65E8" w:rsidP="00EB65E8">
            <w:pPr>
              <w:spacing w:after="0" w:line="240" w:lineRule="auto"/>
              <w:rPr>
                <w:rFonts w:ascii="Times New Roman" w:eastAsia="Times New Roman" w:hAnsi="Times New Roman" w:cs="Times New Roman"/>
                <w:b/>
                <w:bCs/>
                <w:lang w:val="vi-VN" w:eastAsia="vi-VN"/>
              </w:rPr>
            </w:pPr>
          </w:p>
        </w:tc>
        <w:tc>
          <w:tcPr>
            <w:tcW w:w="1754" w:type="dxa"/>
            <w:vMerge/>
            <w:vAlign w:val="center"/>
            <w:hideMark/>
          </w:tcPr>
          <w:p w14:paraId="3612B0A3" w14:textId="77777777" w:rsidR="00EB65E8" w:rsidRPr="00EB65E8" w:rsidRDefault="00EB65E8" w:rsidP="00EB65E8">
            <w:pPr>
              <w:spacing w:after="0" w:line="240" w:lineRule="auto"/>
              <w:jc w:val="both"/>
              <w:rPr>
                <w:rFonts w:ascii="Times New Roman" w:eastAsia="Times New Roman" w:hAnsi="Times New Roman" w:cs="Times New Roman"/>
                <w:b/>
                <w:bCs/>
                <w:lang w:val="vi-VN" w:eastAsia="vi-VN"/>
              </w:rPr>
            </w:pPr>
          </w:p>
        </w:tc>
        <w:tc>
          <w:tcPr>
            <w:tcW w:w="1128" w:type="dxa"/>
            <w:vMerge/>
            <w:vAlign w:val="center"/>
            <w:hideMark/>
          </w:tcPr>
          <w:p w14:paraId="060F1ABC" w14:textId="77777777" w:rsidR="00EB65E8" w:rsidRPr="00EB65E8" w:rsidRDefault="00EB65E8" w:rsidP="00EB65E8">
            <w:pPr>
              <w:spacing w:after="0" w:line="240" w:lineRule="auto"/>
              <w:jc w:val="both"/>
              <w:rPr>
                <w:rFonts w:ascii="Times New Roman" w:eastAsia="Times New Roman" w:hAnsi="Times New Roman" w:cs="Times New Roman"/>
                <w:b/>
                <w:bCs/>
                <w:lang w:val="vi-VN" w:eastAsia="vi-VN"/>
              </w:rPr>
            </w:pPr>
          </w:p>
        </w:tc>
        <w:tc>
          <w:tcPr>
            <w:tcW w:w="1472" w:type="dxa"/>
            <w:vMerge/>
            <w:vAlign w:val="center"/>
            <w:hideMark/>
          </w:tcPr>
          <w:p w14:paraId="0C8156A5" w14:textId="77777777" w:rsidR="00EB65E8" w:rsidRPr="00EB65E8" w:rsidRDefault="00EB65E8" w:rsidP="00EB65E8">
            <w:pPr>
              <w:spacing w:after="0" w:line="240" w:lineRule="auto"/>
              <w:jc w:val="both"/>
              <w:rPr>
                <w:rFonts w:ascii="Times New Roman" w:eastAsia="Times New Roman" w:hAnsi="Times New Roman" w:cs="Times New Roman"/>
                <w:b/>
                <w:bCs/>
                <w:lang w:val="vi-VN" w:eastAsia="vi-VN"/>
              </w:rPr>
            </w:pPr>
          </w:p>
        </w:tc>
        <w:tc>
          <w:tcPr>
            <w:tcW w:w="2285" w:type="dxa"/>
            <w:vMerge/>
            <w:vAlign w:val="center"/>
            <w:hideMark/>
          </w:tcPr>
          <w:p w14:paraId="58E5C232" w14:textId="77777777" w:rsidR="00EB65E8" w:rsidRPr="00EB65E8" w:rsidRDefault="00EB65E8" w:rsidP="00EB65E8">
            <w:pPr>
              <w:spacing w:after="0" w:line="240" w:lineRule="auto"/>
              <w:jc w:val="both"/>
              <w:rPr>
                <w:rFonts w:ascii="Times New Roman" w:eastAsia="Times New Roman" w:hAnsi="Times New Roman" w:cs="Times New Roman"/>
                <w:b/>
                <w:bCs/>
                <w:lang w:val="vi-VN" w:eastAsia="vi-VN"/>
              </w:rPr>
            </w:pPr>
          </w:p>
        </w:tc>
      </w:tr>
      <w:tr w:rsidR="001A4F78" w:rsidRPr="00EB65E8" w14:paraId="24CE542A" w14:textId="77777777" w:rsidTr="00173035">
        <w:trPr>
          <w:trHeight w:val="20"/>
        </w:trPr>
        <w:tc>
          <w:tcPr>
            <w:tcW w:w="632" w:type="dxa"/>
            <w:shd w:val="clear" w:color="auto" w:fill="auto"/>
            <w:noWrap/>
            <w:vAlign w:val="center"/>
            <w:hideMark/>
          </w:tcPr>
          <w:p w14:paraId="2128E1A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w:t>
            </w:r>
          </w:p>
        </w:tc>
        <w:tc>
          <w:tcPr>
            <w:tcW w:w="1597" w:type="dxa"/>
            <w:shd w:val="clear" w:color="auto" w:fill="auto"/>
            <w:vAlign w:val="center"/>
            <w:hideMark/>
          </w:tcPr>
          <w:p w14:paraId="38656A55"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Túi máu 3</w:t>
            </w:r>
          </w:p>
        </w:tc>
        <w:tc>
          <w:tcPr>
            <w:tcW w:w="5748" w:type="dxa"/>
            <w:shd w:val="clear" w:color="auto" w:fill="auto"/>
            <w:vAlign w:val="center"/>
            <w:hideMark/>
          </w:tcPr>
          <w:p w14:paraId="25AD19BB"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xml:space="preserve">Đóng gói có túi nhôm bao ngoài hoặc tương đương </w:t>
            </w:r>
            <w:r w:rsidRPr="00EB65E8">
              <w:rPr>
                <w:rFonts w:ascii="Times New Roman" w:eastAsia="Times New Roman" w:hAnsi="Times New Roman" w:cs="Times New Roman"/>
                <w:sz w:val="20"/>
                <w:szCs w:val="20"/>
              </w:rPr>
              <w:br/>
              <w:t>- Có thể lưu trữ đến 15 ngày sau khi bóc.</w:t>
            </w:r>
            <w:r w:rsidRPr="00EB65E8">
              <w:rPr>
                <w:rFonts w:ascii="Times New Roman" w:eastAsia="Times New Roman" w:hAnsi="Times New Roman" w:cs="Times New Roman"/>
                <w:sz w:val="20"/>
                <w:szCs w:val="20"/>
              </w:rPr>
              <w:br/>
              <w:t>- Chiều dài dây lấy máu 950 mm ± 20 mm, có ≥ 12 đoạn mã số/mã ký hiệu.</w:t>
            </w:r>
            <w:r w:rsidRPr="00EB65E8">
              <w:rPr>
                <w:rFonts w:ascii="Times New Roman" w:eastAsia="Times New Roman" w:hAnsi="Times New Roman" w:cs="Times New Roman"/>
                <w:sz w:val="20"/>
                <w:szCs w:val="20"/>
              </w:rPr>
              <w:br/>
              <w:t>- Ống dây đường kính trong  3,0 ± 0,1 mm và ngoài  4.4 ± 0.1 mm.</w:t>
            </w:r>
            <w:r w:rsidRPr="00EB65E8">
              <w:rPr>
                <w:rFonts w:ascii="Times New Roman" w:eastAsia="Times New Roman" w:hAnsi="Times New Roman" w:cs="Times New Roman"/>
                <w:sz w:val="20"/>
                <w:szCs w:val="20"/>
              </w:rPr>
              <w:br/>
              <w:t>- Gồm 3 túi, mỗi túi dung tích 250ml</w:t>
            </w:r>
            <w:r w:rsidRPr="00EB65E8">
              <w:rPr>
                <w:rFonts w:ascii="Times New Roman" w:eastAsia="Times New Roman" w:hAnsi="Times New Roman" w:cs="Times New Roman"/>
                <w:sz w:val="20"/>
                <w:szCs w:val="20"/>
              </w:rPr>
              <w:br/>
              <w:t>- Trên đường ống có ≥ 4 đoạn mã số/mã ký hiệu.</w:t>
            </w:r>
            <w:r w:rsidRPr="00EB65E8">
              <w:rPr>
                <w:rFonts w:ascii="Times New Roman" w:eastAsia="Times New Roman" w:hAnsi="Times New Roman" w:cs="Times New Roman"/>
                <w:sz w:val="20"/>
                <w:szCs w:val="20"/>
              </w:rPr>
              <w:br/>
              <w:t>- Có chứa sẵn dung dịch chống đông theo quy định.</w:t>
            </w:r>
          </w:p>
        </w:tc>
        <w:tc>
          <w:tcPr>
            <w:tcW w:w="1754" w:type="dxa"/>
            <w:shd w:val="clear" w:color="auto" w:fill="auto"/>
            <w:noWrap/>
            <w:vAlign w:val="center"/>
            <w:hideMark/>
          </w:tcPr>
          <w:p w14:paraId="7CC0EAC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CE hoặc tương đương</w:t>
            </w:r>
          </w:p>
        </w:tc>
        <w:tc>
          <w:tcPr>
            <w:tcW w:w="1128" w:type="dxa"/>
            <w:shd w:val="clear" w:color="auto" w:fill="auto"/>
            <w:vAlign w:val="center"/>
            <w:hideMark/>
          </w:tcPr>
          <w:p w14:paraId="0FFCD2C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 hoặc D</w:t>
            </w:r>
          </w:p>
        </w:tc>
        <w:tc>
          <w:tcPr>
            <w:tcW w:w="1472" w:type="dxa"/>
            <w:shd w:val="clear" w:color="auto" w:fill="auto"/>
            <w:vAlign w:val="center"/>
            <w:hideMark/>
          </w:tcPr>
          <w:p w14:paraId="712FE6F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55BBE85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75600D85" w14:textId="77777777" w:rsidTr="00173035">
        <w:trPr>
          <w:trHeight w:val="20"/>
        </w:trPr>
        <w:tc>
          <w:tcPr>
            <w:tcW w:w="632" w:type="dxa"/>
            <w:shd w:val="clear" w:color="auto" w:fill="auto"/>
            <w:noWrap/>
            <w:vAlign w:val="center"/>
            <w:hideMark/>
          </w:tcPr>
          <w:p w14:paraId="1A7F85F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w:t>
            </w:r>
          </w:p>
        </w:tc>
        <w:tc>
          <w:tcPr>
            <w:tcW w:w="1597" w:type="dxa"/>
            <w:shd w:val="clear" w:color="auto" w:fill="auto"/>
            <w:vAlign w:val="center"/>
            <w:hideMark/>
          </w:tcPr>
          <w:p w14:paraId="2942D269"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Túi máu đơn</w:t>
            </w:r>
          </w:p>
        </w:tc>
        <w:tc>
          <w:tcPr>
            <w:tcW w:w="5748" w:type="dxa"/>
            <w:shd w:val="clear" w:color="auto" w:fill="auto"/>
            <w:vAlign w:val="center"/>
            <w:hideMark/>
          </w:tcPr>
          <w:p w14:paraId="038EC7C9"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xml:space="preserve">Túi máu đơn dung tích lưu trữ 250ml. </w:t>
            </w:r>
            <w:r w:rsidRPr="00EB65E8">
              <w:rPr>
                <w:rFonts w:ascii="Times New Roman" w:eastAsia="Times New Roman" w:hAnsi="Times New Roman" w:cs="Times New Roman"/>
                <w:sz w:val="20"/>
                <w:szCs w:val="20"/>
              </w:rPr>
              <w:br/>
              <w:t>- Kim lấy máu cỡ ≥ 16G, có nắp đậy.</w:t>
            </w:r>
            <w:r w:rsidRPr="00EB65E8">
              <w:rPr>
                <w:rFonts w:ascii="Times New Roman" w:eastAsia="Times New Roman" w:hAnsi="Times New Roman" w:cs="Times New Roman"/>
                <w:sz w:val="20"/>
                <w:szCs w:val="20"/>
              </w:rPr>
              <w:br/>
              <w:t>- Chiều dài dây lấy máu ≥  950mm</w:t>
            </w:r>
            <w:r w:rsidRPr="00EB65E8">
              <w:rPr>
                <w:rFonts w:ascii="Times New Roman" w:eastAsia="Times New Roman" w:hAnsi="Times New Roman" w:cs="Times New Roman"/>
                <w:sz w:val="20"/>
                <w:szCs w:val="20"/>
              </w:rPr>
              <w:br/>
              <w:t xml:space="preserve">Ống dây có đường kính ngoài 4,4 ± 0,1 mm, đường kính trong 3.0 ± 0,1 mm; </w:t>
            </w:r>
            <w:r w:rsidRPr="00EB65E8">
              <w:rPr>
                <w:rFonts w:ascii="Times New Roman" w:eastAsia="Times New Roman" w:hAnsi="Times New Roman" w:cs="Times New Roman"/>
                <w:sz w:val="20"/>
                <w:szCs w:val="20"/>
              </w:rPr>
              <w:br/>
              <w:t>- Có chứa sẵn dung dịch chống đông theo quy định.</w:t>
            </w:r>
          </w:p>
        </w:tc>
        <w:tc>
          <w:tcPr>
            <w:tcW w:w="1754" w:type="dxa"/>
            <w:shd w:val="clear" w:color="auto" w:fill="auto"/>
            <w:noWrap/>
            <w:vAlign w:val="center"/>
            <w:hideMark/>
          </w:tcPr>
          <w:p w14:paraId="179321F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CE hoặc tương đương</w:t>
            </w:r>
          </w:p>
        </w:tc>
        <w:tc>
          <w:tcPr>
            <w:tcW w:w="1128" w:type="dxa"/>
            <w:shd w:val="clear" w:color="auto" w:fill="auto"/>
            <w:vAlign w:val="center"/>
            <w:hideMark/>
          </w:tcPr>
          <w:p w14:paraId="028BDB0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 hoặc D</w:t>
            </w:r>
          </w:p>
        </w:tc>
        <w:tc>
          <w:tcPr>
            <w:tcW w:w="1472" w:type="dxa"/>
            <w:shd w:val="clear" w:color="auto" w:fill="auto"/>
            <w:vAlign w:val="center"/>
            <w:hideMark/>
          </w:tcPr>
          <w:p w14:paraId="4A5F4A0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44A7D34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47D0ACAA" w14:textId="77777777" w:rsidTr="00173035">
        <w:trPr>
          <w:trHeight w:val="20"/>
        </w:trPr>
        <w:tc>
          <w:tcPr>
            <w:tcW w:w="632" w:type="dxa"/>
            <w:shd w:val="clear" w:color="auto" w:fill="auto"/>
            <w:noWrap/>
            <w:vAlign w:val="center"/>
            <w:hideMark/>
          </w:tcPr>
          <w:p w14:paraId="00F3AE4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3</w:t>
            </w:r>
          </w:p>
        </w:tc>
        <w:tc>
          <w:tcPr>
            <w:tcW w:w="1597" w:type="dxa"/>
            <w:shd w:val="clear" w:color="auto" w:fill="auto"/>
            <w:vAlign w:val="center"/>
            <w:hideMark/>
          </w:tcPr>
          <w:p w14:paraId="1F711F6D"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Túi nước tiểu</w:t>
            </w:r>
          </w:p>
        </w:tc>
        <w:tc>
          <w:tcPr>
            <w:tcW w:w="5748" w:type="dxa"/>
            <w:shd w:val="clear" w:color="auto" w:fill="auto"/>
            <w:vAlign w:val="center"/>
            <w:hideMark/>
          </w:tcPr>
          <w:p w14:paraId="51CF5F55"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PVC, dung tích ≥ 2000ml</w:t>
            </w:r>
            <w:r w:rsidRPr="00EB65E8">
              <w:rPr>
                <w:rFonts w:ascii="Times New Roman" w:eastAsia="Times New Roman" w:hAnsi="Times New Roman" w:cs="Times New Roman"/>
                <w:sz w:val="20"/>
                <w:szCs w:val="20"/>
              </w:rPr>
              <w:br/>
              <w:t>- Có van xả đáy, có quai treo</w:t>
            </w:r>
            <w:r w:rsidRPr="00EB65E8">
              <w:rPr>
                <w:rFonts w:ascii="Times New Roman" w:eastAsia="Times New Roman" w:hAnsi="Times New Roman" w:cs="Times New Roman"/>
                <w:sz w:val="20"/>
                <w:szCs w:val="20"/>
              </w:rPr>
              <w:br/>
              <w:t>- Có vạch kẻ chia dung tích</w:t>
            </w:r>
            <w:r w:rsidRPr="00EB65E8">
              <w:rPr>
                <w:rFonts w:ascii="Times New Roman" w:eastAsia="Times New Roman" w:hAnsi="Times New Roman" w:cs="Times New Roman"/>
                <w:sz w:val="20"/>
                <w:szCs w:val="20"/>
              </w:rPr>
              <w:br/>
              <w:t>- Tiệt trùng</w:t>
            </w:r>
          </w:p>
        </w:tc>
        <w:tc>
          <w:tcPr>
            <w:tcW w:w="1754" w:type="dxa"/>
            <w:shd w:val="clear" w:color="auto" w:fill="auto"/>
            <w:noWrap/>
            <w:vAlign w:val="center"/>
            <w:hideMark/>
          </w:tcPr>
          <w:p w14:paraId="1B8910D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w:t>
            </w:r>
          </w:p>
        </w:tc>
        <w:tc>
          <w:tcPr>
            <w:tcW w:w="1128" w:type="dxa"/>
            <w:shd w:val="clear" w:color="auto" w:fill="auto"/>
            <w:vAlign w:val="center"/>
            <w:hideMark/>
          </w:tcPr>
          <w:p w14:paraId="7457D8E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hideMark/>
          </w:tcPr>
          <w:p w14:paraId="6928023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3EEA913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23DB45EF" w14:textId="77777777" w:rsidTr="00173035">
        <w:trPr>
          <w:trHeight w:val="20"/>
        </w:trPr>
        <w:tc>
          <w:tcPr>
            <w:tcW w:w="632" w:type="dxa"/>
            <w:shd w:val="clear" w:color="auto" w:fill="auto"/>
            <w:noWrap/>
            <w:vAlign w:val="center"/>
            <w:hideMark/>
          </w:tcPr>
          <w:p w14:paraId="2B7CC18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4</w:t>
            </w:r>
          </w:p>
        </w:tc>
        <w:tc>
          <w:tcPr>
            <w:tcW w:w="1597" w:type="dxa"/>
            <w:shd w:val="clear" w:color="auto" w:fill="auto"/>
            <w:vAlign w:val="center"/>
            <w:hideMark/>
          </w:tcPr>
          <w:p w14:paraId="6C188A91"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Lam kính trơn</w:t>
            </w:r>
          </w:p>
        </w:tc>
        <w:tc>
          <w:tcPr>
            <w:tcW w:w="5748" w:type="dxa"/>
            <w:shd w:val="clear" w:color="auto" w:fill="auto"/>
            <w:vAlign w:val="center"/>
            <w:hideMark/>
          </w:tcPr>
          <w:p w14:paraId="0488BD90"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Kính loại trơn</w:t>
            </w:r>
            <w:r w:rsidRPr="00EB65E8">
              <w:rPr>
                <w:rFonts w:ascii="Times New Roman" w:eastAsia="Times New Roman" w:hAnsi="Times New Roman" w:cs="Times New Roman"/>
                <w:sz w:val="20"/>
                <w:szCs w:val="20"/>
              </w:rPr>
              <w:br/>
              <w:t>- Độ dày: 1.0mm - 1.2mm</w:t>
            </w:r>
            <w:r w:rsidRPr="00EB65E8">
              <w:rPr>
                <w:rFonts w:ascii="Times New Roman" w:eastAsia="Times New Roman" w:hAnsi="Times New Roman" w:cs="Times New Roman"/>
                <w:sz w:val="20"/>
                <w:szCs w:val="20"/>
              </w:rPr>
              <w:br/>
              <w:t>- Kích thước: ≥25.4mm x ≥76.2mm</w:t>
            </w:r>
          </w:p>
        </w:tc>
        <w:tc>
          <w:tcPr>
            <w:tcW w:w="1754" w:type="dxa"/>
            <w:shd w:val="clear" w:color="auto" w:fill="auto"/>
            <w:noWrap/>
            <w:vAlign w:val="center"/>
            <w:hideMark/>
          </w:tcPr>
          <w:p w14:paraId="0CDCEB8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128" w:type="dxa"/>
            <w:shd w:val="clear" w:color="auto" w:fill="auto"/>
            <w:vAlign w:val="center"/>
            <w:hideMark/>
          </w:tcPr>
          <w:p w14:paraId="1245101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hideMark/>
          </w:tcPr>
          <w:p w14:paraId="7E87C92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3A3BD15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1B517649" w14:textId="77777777" w:rsidTr="00173035">
        <w:trPr>
          <w:trHeight w:val="20"/>
        </w:trPr>
        <w:tc>
          <w:tcPr>
            <w:tcW w:w="632" w:type="dxa"/>
            <w:shd w:val="clear" w:color="auto" w:fill="auto"/>
            <w:noWrap/>
            <w:vAlign w:val="center"/>
            <w:hideMark/>
          </w:tcPr>
          <w:p w14:paraId="2E16AC4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5</w:t>
            </w:r>
          </w:p>
        </w:tc>
        <w:tc>
          <w:tcPr>
            <w:tcW w:w="1597" w:type="dxa"/>
            <w:shd w:val="clear" w:color="auto" w:fill="auto"/>
            <w:vAlign w:val="center"/>
            <w:hideMark/>
          </w:tcPr>
          <w:p w14:paraId="36DCF4F1"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Lam kính mài</w:t>
            </w:r>
          </w:p>
        </w:tc>
        <w:tc>
          <w:tcPr>
            <w:tcW w:w="5748" w:type="dxa"/>
            <w:shd w:val="clear" w:color="auto" w:fill="auto"/>
            <w:vAlign w:val="center"/>
            <w:hideMark/>
          </w:tcPr>
          <w:p w14:paraId="55AD9BC3"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Lam kính mài mờ một đầu</w:t>
            </w:r>
            <w:r w:rsidRPr="00EB65E8">
              <w:rPr>
                <w:rFonts w:ascii="Times New Roman" w:eastAsia="Times New Roman" w:hAnsi="Times New Roman" w:cs="Times New Roman"/>
                <w:sz w:val="20"/>
                <w:szCs w:val="20"/>
              </w:rPr>
              <w:br/>
              <w:t>- Kích thước: ≥25.4mm x ≥76.2mm.</w:t>
            </w:r>
            <w:r w:rsidRPr="00EB65E8">
              <w:rPr>
                <w:rFonts w:ascii="Times New Roman" w:eastAsia="Times New Roman" w:hAnsi="Times New Roman" w:cs="Times New Roman"/>
                <w:sz w:val="20"/>
                <w:szCs w:val="20"/>
              </w:rPr>
              <w:br/>
              <w:t>- Dày 1.0mm - 1.2mm</w:t>
            </w:r>
          </w:p>
        </w:tc>
        <w:tc>
          <w:tcPr>
            <w:tcW w:w="1754" w:type="dxa"/>
            <w:shd w:val="clear" w:color="auto" w:fill="auto"/>
            <w:noWrap/>
            <w:vAlign w:val="center"/>
            <w:hideMark/>
          </w:tcPr>
          <w:p w14:paraId="003D7C5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128" w:type="dxa"/>
            <w:shd w:val="clear" w:color="auto" w:fill="auto"/>
            <w:vAlign w:val="center"/>
            <w:hideMark/>
          </w:tcPr>
          <w:p w14:paraId="51D873D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hideMark/>
          </w:tcPr>
          <w:p w14:paraId="77E0F59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0C39AA9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26F227B9" w14:textId="77777777" w:rsidTr="00173035">
        <w:trPr>
          <w:trHeight w:val="20"/>
        </w:trPr>
        <w:tc>
          <w:tcPr>
            <w:tcW w:w="632" w:type="dxa"/>
            <w:shd w:val="clear" w:color="auto" w:fill="auto"/>
            <w:noWrap/>
            <w:vAlign w:val="center"/>
            <w:hideMark/>
          </w:tcPr>
          <w:p w14:paraId="1F33A0C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6</w:t>
            </w:r>
          </w:p>
        </w:tc>
        <w:tc>
          <w:tcPr>
            <w:tcW w:w="1597" w:type="dxa"/>
            <w:shd w:val="clear" w:color="auto" w:fill="auto"/>
            <w:vAlign w:val="center"/>
            <w:hideMark/>
          </w:tcPr>
          <w:p w14:paraId="1AAC5029"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Gel bôi trơn</w:t>
            </w:r>
          </w:p>
        </w:tc>
        <w:tc>
          <w:tcPr>
            <w:tcW w:w="5748" w:type="dxa"/>
            <w:shd w:val="clear" w:color="auto" w:fill="auto"/>
            <w:vAlign w:val="center"/>
            <w:hideMark/>
          </w:tcPr>
          <w:p w14:paraId="5F8BE226"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Gel bôi trơn tan trong nước, đã được tiệt trùng</w:t>
            </w:r>
            <w:r w:rsidRPr="00EB65E8">
              <w:rPr>
                <w:rFonts w:ascii="Times New Roman" w:eastAsia="Times New Roman" w:hAnsi="Times New Roman" w:cs="Times New Roman"/>
                <w:sz w:val="20"/>
                <w:szCs w:val="20"/>
              </w:rPr>
              <w:br/>
              <w:t>- Không mùi hôi, không gây độc hại</w:t>
            </w:r>
            <w:r w:rsidRPr="00EB65E8">
              <w:rPr>
                <w:rFonts w:ascii="Times New Roman" w:eastAsia="Times New Roman" w:hAnsi="Times New Roman" w:cs="Times New Roman"/>
                <w:sz w:val="20"/>
                <w:szCs w:val="20"/>
              </w:rPr>
              <w:br/>
              <w:t>- Dùng cho: nội soi, sản phụ khoa, bôi trơn dụng cụ y tế.</w:t>
            </w:r>
            <w:r w:rsidRPr="00EB65E8">
              <w:rPr>
                <w:rFonts w:ascii="Times New Roman" w:eastAsia="Times New Roman" w:hAnsi="Times New Roman" w:cs="Times New Roman"/>
                <w:sz w:val="20"/>
                <w:szCs w:val="20"/>
              </w:rPr>
              <w:br/>
              <w:t>- Trọng lượng: ≥82g/ tuýp</w:t>
            </w:r>
          </w:p>
        </w:tc>
        <w:tc>
          <w:tcPr>
            <w:tcW w:w="1754" w:type="dxa"/>
            <w:shd w:val="clear" w:color="auto" w:fill="auto"/>
            <w:noWrap/>
            <w:vAlign w:val="center"/>
            <w:hideMark/>
          </w:tcPr>
          <w:p w14:paraId="146FC0E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w:t>
            </w:r>
          </w:p>
        </w:tc>
        <w:tc>
          <w:tcPr>
            <w:tcW w:w="1128" w:type="dxa"/>
            <w:shd w:val="clear" w:color="auto" w:fill="auto"/>
            <w:vAlign w:val="center"/>
            <w:hideMark/>
          </w:tcPr>
          <w:p w14:paraId="1E48CD8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hideMark/>
          </w:tcPr>
          <w:p w14:paraId="6A01FCA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694569A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72E431CF" w14:textId="77777777" w:rsidTr="00173035">
        <w:trPr>
          <w:trHeight w:val="20"/>
        </w:trPr>
        <w:tc>
          <w:tcPr>
            <w:tcW w:w="632" w:type="dxa"/>
            <w:shd w:val="clear" w:color="auto" w:fill="auto"/>
            <w:noWrap/>
            <w:vAlign w:val="center"/>
            <w:hideMark/>
          </w:tcPr>
          <w:p w14:paraId="32EA9CB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7</w:t>
            </w:r>
          </w:p>
        </w:tc>
        <w:tc>
          <w:tcPr>
            <w:tcW w:w="1597" w:type="dxa"/>
            <w:shd w:val="clear" w:color="auto" w:fill="auto"/>
            <w:vAlign w:val="center"/>
            <w:hideMark/>
          </w:tcPr>
          <w:p w14:paraId="6D8A7D94"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Dây dẫn đường (guidewire) các loại, các cỡ</w:t>
            </w:r>
          </w:p>
        </w:tc>
        <w:tc>
          <w:tcPr>
            <w:tcW w:w="5748" w:type="dxa"/>
            <w:shd w:val="clear" w:color="auto" w:fill="auto"/>
            <w:vAlign w:val="center"/>
            <w:hideMark/>
          </w:tcPr>
          <w:p w14:paraId="75008EF3"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Dây dẫn có lõi thép đặc biệt không gỉ hoặc tương đương.</w:t>
            </w:r>
            <w:r w:rsidRPr="00EB65E8">
              <w:rPr>
                <w:rFonts w:ascii="Times New Roman" w:eastAsia="Times New Roman" w:hAnsi="Times New Roman" w:cs="Times New Roman"/>
                <w:sz w:val="20"/>
                <w:szCs w:val="20"/>
              </w:rPr>
              <w:br/>
              <w:t>Dùng để hỗ trợ dẫn đường trong phẫu thuật nội soi.</w:t>
            </w:r>
            <w:r w:rsidRPr="00EB65E8">
              <w:rPr>
                <w:rFonts w:ascii="Times New Roman" w:eastAsia="Times New Roman" w:hAnsi="Times New Roman" w:cs="Times New Roman"/>
                <w:sz w:val="20"/>
                <w:szCs w:val="20"/>
              </w:rPr>
              <w:br/>
              <w:t>Cỡ ≥ 0,032 inch, dài ≥ 150 cm.</w:t>
            </w:r>
            <w:r w:rsidRPr="00EB65E8">
              <w:rPr>
                <w:rFonts w:ascii="Times New Roman" w:eastAsia="Times New Roman" w:hAnsi="Times New Roman" w:cs="Times New Roman"/>
                <w:sz w:val="20"/>
                <w:szCs w:val="20"/>
              </w:rPr>
              <w:br/>
              <w:t>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hideMark/>
          </w:tcPr>
          <w:p w14:paraId="3178E79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hideMark/>
          </w:tcPr>
          <w:p w14:paraId="0659EB5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hideMark/>
          </w:tcPr>
          <w:p w14:paraId="42A7489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hideMark/>
          </w:tcPr>
          <w:p w14:paraId="2699BC9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3B7D0A3D" w14:textId="77777777" w:rsidTr="00173035">
        <w:trPr>
          <w:trHeight w:val="20"/>
        </w:trPr>
        <w:tc>
          <w:tcPr>
            <w:tcW w:w="632" w:type="dxa"/>
            <w:shd w:val="clear" w:color="auto" w:fill="auto"/>
            <w:noWrap/>
            <w:vAlign w:val="center"/>
          </w:tcPr>
          <w:p w14:paraId="3757CD4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8</w:t>
            </w:r>
          </w:p>
        </w:tc>
        <w:tc>
          <w:tcPr>
            <w:tcW w:w="1597" w:type="dxa"/>
            <w:shd w:val="clear" w:color="auto" w:fill="auto"/>
            <w:vAlign w:val="center"/>
          </w:tcPr>
          <w:p w14:paraId="3E6C13F6"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Lamen (22x40)</w:t>
            </w:r>
          </w:p>
        </w:tc>
        <w:tc>
          <w:tcPr>
            <w:tcW w:w="5748" w:type="dxa"/>
            <w:shd w:val="clear" w:color="auto" w:fill="auto"/>
            <w:vAlign w:val="center"/>
          </w:tcPr>
          <w:p w14:paraId="53468A0D"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Thủy tinh bao borosilicate.</w:t>
            </w:r>
            <w:r w:rsidRPr="00EB65E8">
              <w:rPr>
                <w:rFonts w:ascii="Times New Roman" w:eastAsia="Times New Roman" w:hAnsi="Times New Roman" w:cs="Times New Roman"/>
                <w:sz w:val="20"/>
                <w:szCs w:val="20"/>
              </w:rPr>
              <w:br/>
              <w:t xml:space="preserve">Kích thước: ≥ 22 mm x ≥ 40 mm. </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542AEBB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0DA1A0E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0CA6741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68C07CB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14BB307D" w14:textId="77777777" w:rsidTr="00173035">
        <w:trPr>
          <w:trHeight w:val="20"/>
        </w:trPr>
        <w:tc>
          <w:tcPr>
            <w:tcW w:w="632" w:type="dxa"/>
            <w:shd w:val="clear" w:color="auto" w:fill="auto"/>
            <w:noWrap/>
            <w:vAlign w:val="center"/>
          </w:tcPr>
          <w:p w14:paraId="46FEA1D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lastRenderedPageBreak/>
              <w:t>9</w:t>
            </w:r>
          </w:p>
        </w:tc>
        <w:tc>
          <w:tcPr>
            <w:tcW w:w="1597" w:type="dxa"/>
            <w:shd w:val="clear" w:color="auto" w:fill="auto"/>
            <w:vAlign w:val="center"/>
          </w:tcPr>
          <w:p w14:paraId="3194CE71"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Lamen (22x22)</w:t>
            </w:r>
          </w:p>
        </w:tc>
        <w:tc>
          <w:tcPr>
            <w:tcW w:w="5748" w:type="dxa"/>
            <w:shd w:val="clear" w:color="auto" w:fill="auto"/>
            <w:vAlign w:val="center"/>
          </w:tcPr>
          <w:p w14:paraId="34C08424"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Thủy tinh bao borosilicate.</w:t>
            </w:r>
            <w:r w:rsidRPr="00EB65E8">
              <w:rPr>
                <w:rFonts w:ascii="Times New Roman" w:eastAsia="Times New Roman" w:hAnsi="Times New Roman" w:cs="Times New Roman"/>
                <w:sz w:val="20"/>
                <w:szCs w:val="20"/>
              </w:rPr>
              <w:br/>
              <w:t>Kích thước: ≥ 22 mm x ≥ 22 mm.</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589A30A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2E49F6ED"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66929DA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21B76C1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684EEAD9" w14:textId="77777777" w:rsidTr="00173035">
        <w:trPr>
          <w:trHeight w:val="20"/>
        </w:trPr>
        <w:tc>
          <w:tcPr>
            <w:tcW w:w="632" w:type="dxa"/>
            <w:shd w:val="clear" w:color="auto" w:fill="auto"/>
            <w:noWrap/>
            <w:vAlign w:val="center"/>
          </w:tcPr>
          <w:p w14:paraId="6C3FD55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10</w:t>
            </w:r>
          </w:p>
        </w:tc>
        <w:tc>
          <w:tcPr>
            <w:tcW w:w="1597" w:type="dxa"/>
            <w:shd w:val="clear" w:color="auto" w:fill="auto"/>
            <w:vAlign w:val="center"/>
          </w:tcPr>
          <w:p w14:paraId="67E96C8F"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Lọ lấy mẫu vô trùng</w:t>
            </w:r>
          </w:p>
        </w:tc>
        <w:tc>
          <w:tcPr>
            <w:tcW w:w="5748" w:type="dxa"/>
            <w:shd w:val="clear" w:color="auto" w:fill="auto"/>
            <w:vAlign w:val="center"/>
          </w:tcPr>
          <w:p w14:paraId="00F69C12"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nhựa trắng trong, có nhãn, có nắp. Dung tích: ≥ 50ml.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0FCE042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6D822D0D"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36072BB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4C25FC5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06546685" w14:textId="77777777" w:rsidTr="00173035">
        <w:trPr>
          <w:trHeight w:val="20"/>
        </w:trPr>
        <w:tc>
          <w:tcPr>
            <w:tcW w:w="632" w:type="dxa"/>
            <w:shd w:val="clear" w:color="auto" w:fill="auto"/>
            <w:noWrap/>
            <w:vAlign w:val="center"/>
          </w:tcPr>
          <w:p w14:paraId="3694851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11</w:t>
            </w:r>
          </w:p>
        </w:tc>
        <w:tc>
          <w:tcPr>
            <w:tcW w:w="1597" w:type="dxa"/>
            <w:shd w:val="clear" w:color="auto" w:fill="auto"/>
            <w:vAlign w:val="center"/>
          </w:tcPr>
          <w:p w14:paraId="7AC2794D"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Acid Citric</w:t>
            </w:r>
          </w:p>
        </w:tc>
        <w:tc>
          <w:tcPr>
            <w:tcW w:w="5748" w:type="dxa"/>
            <w:shd w:val="clear" w:color="auto" w:fill="auto"/>
            <w:vAlign w:val="center"/>
          </w:tcPr>
          <w:p w14:paraId="11B476C9"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Acid citric. Dạng bột, màu trắng</w:t>
            </w:r>
            <w:r w:rsidRPr="00EB65E8">
              <w:rPr>
                <w:rFonts w:ascii="Times New Roman" w:eastAsia="Times New Roman" w:hAnsi="Times New Roman" w:cs="Times New Roman"/>
                <w:sz w:val="20"/>
                <w:szCs w:val="20"/>
              </w:rPr>
              <w:br/>
              <w:t xml:space="preserve">Đóng chai 500g. Tương thích khử trùng cho máy chạy thận nhân tạo hoặc tương đương. </w:t>
            </w:r>
          </w:p>
        </w:tc>
        <w:tc>
          <w:tcPr>
            <w:tcW w:w="1754" w:type="dxa"/>
            <w:shd w:val="clear" w:color="auto" w:fill="auto"/>
            <w:noWrap/>
            <w:vAlign w:val="center"/>
          </w:tcPr>
          <w:p w14:paraId="533DC19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xml:space="preserve"> ISO: 9001 hoặc tương đương</w:t>
            </w:r>
          </w:p>
        </w:tc>
        <w:tc>
          <w:tcPr>
            <w:tcW w:w="1128" w:type="dxa"/>
            <w:shd w:val="clear" w:color="auto" w:fill="auto"/>
            <w:vAlign w:val="center"/>
          </w:tcPr>
          <w:p w14:paraId="03382C5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1D0932A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04E9545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6958FA5D" w14:textId="77777777" w:rsidTr="00173035">
        <w:trPr>
          <w:trHeight w:val="20"/>
        </w:trPr>
        <w:tc>
          <w:tcPr>
            <w:tcW w:w="632" w:type="dxa"/>
            <w:shd w:val="clear" w:color="auto" w:fill="auto"/>
            <w:noWrap/>
            <w:vAlign w:val="center"/>
          </w:tcPr>
          <w:p w14:paraId="6EEDAD8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12</w:t>
            </w:r>
          </w:p>
        </w:tc>
        <w:tc>
          <w:tcPr>
            <w:tcW w:w="1597" w:type="dxa"/>
            <w:shd w:val="clear" w:color="auto" w:fill="auto"/>
            <w:vAlign w:val="center"/>
          </w:tcPr>
          <w:p w14:paraId="2F27944D"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Bộ hút đờm kín các cỡ</w:t>
            </w:r>
          </w:p>
        </w:tc>
        <w:tc>
          <w:tcPr>
            <w:tcW w:w="5748" w:type="dxa"/>
            <w:shd w:val="clear" w:color="auto" w:fill="auto"/>
            <w:vAlign w:val="center"/>
          </w:tcPr>
          <w:p w14:paraId="1C71098B"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PVC y tê hoặc tương đương, Chiều dài ống hút 30-54cm, Các cỡ 5Fr-12Fr.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3787DC7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7222435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277EF0B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4BE69E7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2194619D" w14:textId="77777777" w:rsidTr="00173035">
        <w:trPr>
          <w:trHeight w:val="20"/>
        </w:trPr>
        <w:tc>
          <w:tcPr>
            <w:tcW w:w="632" w:type="dxa"/>
            <w:shd w:val="clear" w:color="auto" w:fill="auto"/>
            <w:noWrap/>
            <w:vAlign w:val="center"/>
          </w:tcPr>
          <w:p w14:paraId="1589AD29"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13</w:t>
            </w:r>
          </w:p>
        </w:tc>
        <w:tc>
          <w:tcPr>
            <w:tcW w:w="1597" w:type="dxa"/>
            <w:shd w:val="clear" w:color="auto" w:fill="auto"/>
            <w:vAlign w:val="center"/>
          </w:tcPr>
          <w:p w14:paraId="5DC4BC88"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Mask oxy các số</w:t>
            </w:r>
          </w:p>
        </w:tc>
        <w:tc>
          <w:tcPr>
            <w:tcW w:w="5748" w:type="dxa"/>
            <w:shd w:val="clear" w:color="auto" w:fill="auto"/>
            <w:vAlign w:val="center"/>
          </w:tcPr>
          <w:p w14:paraId="5F81A7EA"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Nhựa PVC y tế hoặc vinyl sạch.</w:t>
            </w:r>
            <w:r w:rsidRPr="00EB65E8">
              <w:rPr>
                <w:rFonts w:ascii="Times New Roman" w:eastAsia="Times New Roman" w:hAnsi="Times New Roman" w:cs="Times New Roman"/>
                <w:sz w:val="20"/>
                <w:szCs w:val="20"/>
              </w:rPr>
              <w:br/>
              <w:t>Có kẹp ở mũi điều chỉnh được, có dây đeo đàn hồi.</w:t>
            </w:r>
            <w:r w:rsidRPr="00EB65E8">
              <w:rPr>
                <w:rFonts w:ascii="Times New Roman" w:eastAsia="Times New Roman" w:hAnsi="Times New Roman" w:cs="Times New Roman"/>
                <w:sz w:val="20"/>
                <w:szCs w:val="20"/>
              </w:rPr>
              <w:br/>
              <w:t>Dây thở dài ≥ 2m.</w:t>
            </w:r>
            <w:r w:rsidRPr="00EB65E8">
              <w:rPr>
                <w:rFonts w:ascii="Times New Roman" w:eastAsia="Times New Roman" w:hAnsi="Times New Roman" w:cs="Times New Roman"/>
                <w:sz w:val="20"/>
                <w:szCs w:val="20"/>
              </w:rPr>
              <w:br/>
              <w:t>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0C13952D"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664E98A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7043B03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6FCCDF0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0C335E51" w14:textId="77777777" w:rsidTr="00173035">
        <w:trPr>
          <w:trHeight w:val="20"/>
        </w:trPr>
        <w:tc>
          <w:tcPr>
            <w:tcW w:w="632" w:type="dxa"/>
            <w:shd w:val="clear" w:color="auto" w:fill="auto"/>
            <w:noWrap/>
            <w:vAlign w:val="center"/>
          </w:tcPr>
          <w:p w14:paraId="547190B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14</w:t>
            </w:r>
          </w:p>
        </w:tc>
        <w:tc>
          <w:tcPr>
            <w:tcW w:w="1597" w:type="dxa"/>
            <w:shd w:val="clear" w:color="auto" w:fill="auto"/>
            <w:vAlign w:val="center"/>
          </w:tcPr>
          <w:p w14:paraId="23C882CF"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Nước cất 2 lần</w:t>
            </w:r>
          </w:p>
        </w:tc>
        <w:tc>
          <w:tcPr>
            <w:tcW w:w="5748" w:type="dxa"/>
            <w:shd w:val="clear" w:color="auto" w:fill="auto"/>
            <w:vAlign w:val="center"/>
          </w:tcPr>
          <w:p w14:paraId="5E4F14FE"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xml:space="preserve">Nước cất 2 lần. </w:t>
            </w:r>
            <w:r w:rsidRPr="00EB65E8">
              <w:rPr>
                <w:rFonts w:ascii="Times New Roman" w:eastAsia="Times New Roman" w:hAnsi="Times New Roman" w:cs="Times New Roman"/>
                <w:sz w:val="20"/>
                <w:szCs w:val="20"/>
              </w:rPr>
              <w:br/>
              <w:t xml:space="preserve">- Không màu, không mùi, không vị, không có tủa. </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1AE52D4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TCCS</w:t>
            </w:r>
          </w:p>
        </w:tc>
        <w:tc>
          <w:tcPr>
            <w:tcW w:w="1128" w:type="dxa"/>
            <w:shd w:val="clear" w:color="auto" w:fill="auto"/>
            <w:vAlign w:val="center"/>
          </w:tcPr>
          <w:p w14:paraId="650741A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626D9DD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224D57F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7A8E57D2" w14:textId="77777777" w:rsidTr="00173035">
        <w:trPr>
          <w:trHeight w:val="20"/>
        </w:trPr>
        <w:tc>
          <w:tcPr>
            <w:tcW w:w="632" w:type="dxa"/>
            <w:shd w:val="clear" w:color="auto" w:fill="auto"/>
            <w:noWrap/>
            <w:vAlign w:val="center"/>
          </w:tcPr>
          <w:p w14:paraId="29B611E2"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15</w:t>
            </w:r>
          </w:p>
        </w:tc>
        <w:tc>
          <w:tcPr>
            <w:tcW w:w="1597" w:type="dxa"/>
            <w:shd w:val="clear" w:color="auto" w:fill="auto"/>
            <w:vAlign w:val="center"/>
          </w:tcPr>
          <w:p w14:paraId="48D8D761"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Dây dẫn nước rửa bàng quang</w:t>
            </w:r>
          </w:p>
        </w:tc>
        <w:tc>
          <w:tcPr>
            <w:tcW w:w="5748" w:type="dxa"/>
            <w:shd w:val="clear" w:color="auto" w:fill="auto"/>
            <w:vAlign w:val="center"/>
          </w:tcPr>
          <w:p w14:paraId="41CB7AA1"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Dây nhựa 3 trạc đường kính: 22~24Fr kèm 03 khóa, 02 kim nhựa. Thông số cơ bản như trên hoặc tương đương.</w:t>
            </w:r>
          </w:p>
        </w:tc>
        <w:tc>
          <w:tcPr>
            <w:tcW w:w="1754" w:type="dxa"/>
            <w:shd w:val="clear" w:color="auto" w:fill="auto"/>
            <w:noWrap/>
            <w:vAlign w:val="center"/>
          </w:tcPr>
          <w:p w14:paraId="362C5CE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5EF4479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5C6BE8A9"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32C9960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3FD0CB5B" w14:textId="77777777" w:rsidTr="00173035">
        <w:trPr>
          <w:trHeight w:val="20"/>
        </w:trPr>
        <w:tc>
          <w:tcPr>
            <w:tcW w:w="632" w:type="dxa"/>
            <w:shd w:val="clear" w:color="auto" w:fill="auto"/>
            <w:noWrap/>
            <w:vAlign w:val="center"/>
          </w:tcPr>
          <w:p w14:paraId="41CC111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16</w:t>
            </w:r>
          </w:p>
        </w:tc>
        <w:tc>
          <w:tcPr>
            <w:tcW w:w="1597" w:type="dxa"/>
            <w:shd w:val="clear" w:color="auto" w:fill="auto"/>
            <w:vAlign w:val="center"/>
          </w:tcPr>
          <w:p w14:paraId="4CB89EA8"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Sonde Pezzer các cỡ</w:t>
            </w:r>
          </w:p>
        </w:tc>
        <w:tc>
          <w:tcPr>
            <w:tcW w:w="5748" w:type="dxa"/>
            <w:shd w:val="clear" w:color="auto" w:fill="auto"/>
            <w:vAlign w:val="center"/>
          </w:tcPr>
          <w:p w14:paraId="61AB842C"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xml:space="preserve">Chất liệu: cao su tự nhiên. 18 Fr &lt; kích cỡ &lt; 30Fr. </w:t>
            </w:r>
            <w:r w:rsidRPr="00EB65E8">
              <w:rPr>
                <w:rFonts w:ascii="Times New Roman" w:eastAsia="Times New Roman" w:hAnsi="Times New Roman" w:cs="Times New Roman"/>
                <w:sz w:val="20"/>
                <w:szCs w:val="20"/>
              </w:rPr>
              <w:br/>
              <w:t>- Tiệt trùng.</w:t>
            </w:r>
            <w:r w:rsidRPr="00EB65E8">
              <w:rPr>
                <w:rFonts w:ascii="Times New Roman" w:eastAsia="Times New Roman" w:hAnsi="Times New Roman" w:cs="Times New Roman"/>
                <w:sz w:val="20"/>
                <w:szCs w:val="20"/>
              </w:rPr>
              <w:br/>
              <w:t>- Thông số cơ bản như trên hoặc tương đương</w:t>
            </w:r>
          </w:p>
        </w:tc>
        <w:tc>
          <w:tcPr>
            <w:tcW w:w="1754" w:type="dxa"/>
            <w:shd w:val="clear" w:color="auto" w:fill="auto"/>
            <w:noWrap/>
            <w:vAlign w:val="center"/>
          </w:tcPr>
          <w:p w14:paraId="0BFA707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hoặc tương đương</w:t>
            </w:r>
          </w:p>
        </w:tc>
        <w:tc>
          <w:tcPr>
            <w:tcW w:w="1128" w:type="dxa"/>
            <w:shd w:val="clear" w:color="auto" w:fill="auto"/>
            <w:vAlign w:val="center"/>
          </w:tcPr>
          <w:p w14:paraId="21B94EF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5D17030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56DB8D8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571E0C04" w14:textId="77777777" w:rsidTr="00173035">
        <w:trPr>
          <w:trHeight w:val="20"/>
        </w:trPr>
        <w:tc>
          <w:tcPr>
            <w:tcW w:w="632" w:type="dxa"/>
            <w:shd w:val="clear" w:color="auto" w:fill="auto"/>
            <w:noWrap/>
            <w:vAlign w:val="center"/>
          </w:tcPr>
          <w:p w14:paraId="48164A0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17</w:t>
            </w:r>
          </w:p>
        </w:tc>
        <w:tc>
          <w:tcPr>
            <w:tcW w:w="1597" w:type="dxa"/>
            <w:shd w:val="clear" w:color="auto" w:fill="auto"/>
            <w:vAlign w:val="center"/>
          </w:tcPr>
          <w:p w14:paraId="1A23FFC9"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Dầu Parafin</w:t>
            </w:r>
          </w:p>
        </w:tc>
        <w:tc>
          <w:tcPr>
            <w:tcW w:w="5748" w:type="dxa"/>
            <w:shd w:val="clear" w:color="auto" w:fill="auto"/>
            <w:vAlign w:val="center"/>
          </w:tcPr>
          <w:p w14:paraId="72188FCB"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Dầu parafin, dạng lỏng, màu trắng, không mùi.</w:t>
            </w:r>
            <w:r w:rsidRPr="00EB65E8">
              <w:rPr>
                <w:rFonts w:ascii="Times New Roman" w:eastAsia="Times New Roman" w:hAnsi="Times New Roman" w:cs="Times New Roman"/>
                <w:sz w:val="20"/>
                <w:szCs w:val="20"/>
              </w:rPr>
              <w:br/>
              <w:t>- Chai ≥ 500ml</w:t>
            </w:r>
            <w:r w:rsidRPr="00EB65E8">
              <w:rPr>
                <w:rFonts w:ascii="Times New Roman" w:eastAsia="Times New Roman" w:hAnsi="Times New Roman" w:cs="Times New Roman"/>
                <w:sz w:val="20"/>
                <w:szCs w:val="20"/>
              </w:rPr>
              <w:br/>
              <w:t>- Vô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33514D6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5113C049"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7DC4961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79C008C9"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60C05EA0" w14:textId="77777777" w:rsidTr="00173035">
        <w:trPr>
          <w:trHeight w:val="20"/>
        </w:trPr>
        <w:tc>
          <w:tcPr>
            <w:tcW w:w="632" w:type="dxa"/>
            <w:shd w:val="clear" w:color="auto" w:fill="auto"/>
            <w:noWrap/>
            <w:vAlign w:val="center"/>
          </w:tcPr>
          <w:p w14:paraId="36BFDF2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18</w:t>
            </w:r>
          </w:p>
        </w:tc>
        <w:tc>
          <w:tcPr>
            <w:tcW w:w="1597" w:type="dxa"/>
            <w:shd w:val="clear" w:color="auto" w:fill="auto"/>
            <w:vAlign w:val="center"/>
          </w:tcPr>
          <w:p w14:paraId="79E1A67F"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Dây hút dịch phẫu thuật</w:t>
            </w:r>
          </w:p>
        </w:tc>
        <w:tc>
          <w:tcPr>
            <w:tcW w:w="5748" w:type="dxa"/>
            <w:shd w:val="clear" w:color="auto" w:fill="auto"/>
            <w:vAlign w:val="center"/>
          </w:tcPr>
          <w:p w14:paraId="60BD5E94"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Nhựa PVC</w:t>
            </w:r>
            <w:r w:rsidRPr="00EB65E8">
              <w:rPr>
                <w:rFonts w:ascii="Times New Roman" w:eastAsia="Times New Roman" w:hAnsi="Times New Roman" w:cs="Times New Roman"/>
                <w:sz w:val="20"/>
                <w:szCs w:val="20"/>
              </w:rPr>
              <w:br/>
              <w:t>- Đường kính trong: ≥8mm</w:t>
            </w:r>
            <w:r w:rsidRPr="00EB65E8">
              <w:rPr>
                <w:rFonts w:ascii="Times New Roman" w:eastAsia="Times New Roman" w:hAnsi="Times New Roman" w:cs="Times New Roman"/>
                <w:sz w:val="20"/>
                <w:szCs w:val="20"/>
              </w:rPr>
              <w:br/>
              <w:t>- Đường kính dày ngoài: ≥10mm</w:t>
            </w:r>
            <w:r w:rsidRPr="00EB65E8">
              <w:rPr>
                <w:rFonts w:ascii="Times New Roman" w:eastAsia="Times New Roman" w:hAnsi="Times New Roman" w:cs="Times New Roman"/>
                <w:sz w:val="20"/>
                <w:szCs w:val="20"/>
              </w:rPr>
              <w:br/>
              <w:t>- Chiều dài: ≥2m</w:t>
            </w:r>
            <w:r w:rsidRPr="00EB65E8">
              <w:rPr>
                <w:rFonts w:ascii="Times New Roman" w:eastAsia="Times New Roman" w:hAnsi="Times New Roman" w:cs="Times New Roman"/>
                <w:sz w:val="20"/>
                <w:szCs w:val="20"/>
              </w:rPr>
              <w:br/>
              <w:t>- Dây mềm, chịu được áp lực cao</w:t>
            </w:r>
            <w:r w:rsidRPr="00EB65E8">
              <w:rPr>
                <w:rFonts w:ascii="Times New Roman" w:eastAsia="Times New Roman" w:hAnsi="Times New Roman" w:cs="Times New Roman"/>
                <w:sz w:val="20"/>
                <w:szCs w:val="20"/>
              </w:rPr>
              <w:br/>
              <w:t>-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5BE24B2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1368F20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3C19C37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436DA78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75B6FC1F" w14:textId="77777777" w:rsidTr="00173035">
        <w:trPr>
          <w:trHeight w:val="20"/>
        </w:trPr>
        <w:tc>
          <w:tcPr>
            <w:tcW w:w="632" w:type="dxa"/>
            <w:shd w:val="clear" w:color="auto" w:fill="auto"/>
            <w:noWrap/>
            <w:vAlign w:val="center"/>
          </w:tcPr>
          <w:p w14:paraId="4EFAFAA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lastRenderedPageBreak/>
              <w:t>19</w:t>
            </w:r>
          </w:p>
        </w:tc>
        <w:tc>
          <w:tcPr>
            <w:tcW w:w="1597" w:type="dxa"/>
            <w:shd w:val="clear" w:color="auto" w:fill="auto"/>
            <w:vAlign w:val="center"/>
          </w:tcPr>
          <w:p w14:paraId="0D6E293E"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Dây garo</w:t>
            </w:r>
          </w:p>
        </w:tc>
        <w:tc>
          <w:tcPr>
            <w:tcW w:w="5748" w:type="dxa"/>
            <w:shd w:val="clear" w:color="auto" w:fill="auto"/>
            <w:vAlign w:val="center"/>
          </w:tcPr>
          <w:p w14:paraId="5630E3D3"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cao su co giãn tốt. Có băng gai dính 2 đầu, sản phẩm có thể</w:t>
            </w:r>
            <w:r w:rsidRPr="00EB65E8">
              <w:rPr>
                <w:rFonts w:ascii="Times New Roman" w:eastAsia="Times New Roman" w:hAnsi="Times New Roman" w:cs="Times New Roman"/>
                <w:sz w:val="20"/>
                <w:szCs w:val="20"/>
              </w:rPr>
              <w:br/>
              <w:t>sử dụng lại nhiều lần.</w:t>
            </w:r>
            <w:r w:rsidRPr="00EB65E8">
              <w:rPr>
                <w:rFonts w:ascii="Times New Roman" w:eastAsia="Times New Roman" w:hAnsi="Times New Roman" w:cs="Times New Roman"/>
                <w:sz w:val="20"/>
                <w:szCs w:val="20"/>
              </w:rPr>
              <w:br/>
              <w:t>- Kích thước:</w:t>
            </w:r>
            <w:r w:rsidRPr="00EB65E8">
              <w:rPr>
                <w:rFonts w:ascii="Times New Roman" w:eastAsia="Times New Roman" w:hAnsi="Times New Roman" w:cs="Times New Roman"/>
                <w:sz w:val="20"/>
                <w:szCs w:val="20"/>
              </w:rPr>
              <w:br/>
              <w:t>+ Chiều ngang: 2cm - 3cm</w:t>
            </w:r>
            <w:r w:rsidRPr="00EB65E8">
              <w:rPr>
                <w:rFonts w:ascii="Times New Roman" w:eastAsia="Times New Roman" w:hAnsi="Times New Roman" w:cs="Times New Roman"/>
                <w:sz w:val="20"/>
                <w:szCs w:val="20"/>
              </w:rPr>
              <w:br/>
              <w:t>+ Chiều dài: 25cm - 30cm</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2CA0E74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33D454A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73C11CD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527BE2C2"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6972812B" w14:textId="77777777" w:rsidTr="00173035">
        <w:trPr>
          <w:trHeight w:val="20"/>
        </w:trPr>
        <w:tc>
          <w:tcPr>
            <w:tcW w:w="632" w:type="dxa"/>
            <w:shd w:val="clear" w:color="auto" w:fill="auto"/>
            <w:noWrap/>
            <w:vAlign w:val="center"/>
          </w:tcPr>
          <w:p w14:paraId="07F334B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20</w:t>
            </w:r>
          </w:p>
        </w:tc>
        <w:tc>
          <w:tcPr>
            <w:tcW w:w="1597" w:type="dxa"/>
            <w:shd w:val="clear" w:color="auto" w:fill="auto"/>
            <w:vAlign w:val="center"/>
          </w:tcPr>
          <w:p w14:paraId="18390E7E"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Hộp lồng Peptri</w:t>
            </w:r>
          </w:p>
        </w:tc>
        <w:tc>
          <w:tcPr>
            <w:tcW w:w="5748" w:type="dxa"/>
            <w:shd w:val="clear" w:color="auto" w:fill="auto"/>
            <w:vAlign w:val="center"/>
          </w:tcPr>
          <w:p w14:paraId="5FEDC758"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Được chế tạo thích hợp cho đổ môi trường bằng phương pháp thủ</w:t>
            </w:r>
            <w:r w:rsidRPr="00EB65E8">
              <w:rPr>
                <w:rFonts w:ascii="Times New Roman" w:eastAsia="Times New Roman" w:hAnsi="Times New Roman" w:cs="Times New Roman"/>
                <w:sz w:val="20"/>
                <w:szCs w:val="20"/>
              </w:rPr>
              <w:br/>
              <w:t>công hay bằng máy tự động</w:t>
            </w:r>
            <w:r w:rsidRPr="00EB65E8">
              <w:rPr>
                <w:rFonts w:ascii="Times New Roman" w:eastAsia="Times New Roman" w:hAnsi="Times New Roman" w:cs="Times New Roman"/>
                <w:sz w:val="20"/>
                <w:szCs w:val="20"/>
              </w:rPr>
              <w:br/>
              <w:t>- Nhựa PS. Nắp và thân đĩa thẳng</w:t>
            </w:r>
            <w:r w:rsidRPr="00EB65E8">
              <w:rPr>
                <w:rFonts w:ascii="Times New Roman" w:eastAsia="Times New Roman" w:hAnsi="Times New Roman" w:cs="Times New Roman"/>
                <w:sz w:val="20"/>
                <w:szCs w:val="20"/>
              </w:rPr>
              <w:br/>
              <w:t>- Đường kính: 90mm</w:t>
            </w:r>
            <w:r w:rsidRPr="00EB65E8">
              <w:rPr>
                <w:rFonts w:ascii="Times New Roman" w:eastAsia="Times New Roman" w:hAnsi="Times New Roman" w:cs="Times New Roman"/>
                <w:sz w:val="20"/>
                <w:szCs w:val="20"/>
              </w:rPr>
              <w:br/>
              <w:t>- Chiều cao: ≥15mm</w:t>
            </w:r>
            <w:r w:rsidRPr="00EB65E8">
              <w:rPr>
                <w:rFonts w:ascii="Times New Roman" w:eastAsia="Times New Roman" w:hAnsi="Times New Roman" w:cs="Times New Roman"/>
                <w:sz w:val="20"/>
                <w:szCs w:val="20"/>
              </w:rPr>
              <w:br/>
              <w:t>- Được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4005776D"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2CC35F20"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5E250FE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4EDF5952"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1D27CEA2" w14:textId="77777777" w:rsidTr="00173035">
        <w:trPr>
          <w:trHeight w:val="20"/>
        </w:trPr>
        <w:tc>
          <w:tcPr>
            <w:tcW w:w="632" w:type="dxa"/>
            <w:shd w:val="clear" w:color="auto" w:fill="auto"/>
            <w:noWrap/>
            <w:vAlign w:val="center"/>
          </w:tcPr>
          <w:p w14:paraId="68D23B6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21</w:t>
            </w:r>
          </w:p>
        </w:tc>
        <w:tc>
          <w:tcPr>
            <w:tcW w:w="1597" w:type="dxa"/>
            <w:shd w:val="clear" w:color="auto" w:fill="auto"/>
            <w:vAlign w:val="center"/>
          </w:tcPr>
          <w:p w14:paraId="643E47D1"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Kali Iotdua</w:t>
            </w:r>
          </w:p>
        </w:tc>
        <w:tc>
          <w:tcPr>
            <w:tcW w:w="5748" w:type="dxa"/>
            <w:shd w:val="clear" w:color="auto" w:fill="auto"/>
            <w:vAlign w:val="center"/>
          </w:tcPr>
          <w:p w14:paraId="445615DC"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Dùng để pha dung dịch chạy máy điện phân</w:t>
            </w:r>
            <w:r w:rsidRPr="00EB65E8">
              <w:rPr>
                <w:rFonts w:ascii="Times New Roman" w:eastAsia="Times New Roman" w:hAnsi="Times New Roman" w:cs="Times New Roman"/>
                <w:sz w:val="20"/>
                <w:szCs w:val="20"/>
              </w:rPr>
              <w:br/>
              <w:t>- Độ tinh khiết ≥ 99.0%</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3591793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28E3A96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40E6319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5A08C2D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5AA4DEB4" w14:textId="77777777" w:rsidTr="00173035">
        <w:trPr>
          <w:trHeight w:val="20"/>
        </w:trPr>
        <w:tc>
          <w:tcPr>
            <w:tcW w:w="632" w:type="dxa"/>
            <w:shd w:val="clear" w:color="auto" w:fill="auto"/>
            <w:noWrap/>
            <w:vAlign w:val="center"/>
          </w:tcPr>
          <w:p w14:paraId="1B2EE17D"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22</w:t>
            </w:r>
          </w:p>
        </w:tc>
        <w:tc>
          <w:tcPr>
            <w:tcW w:w="1597" w:type="dxa"/>
            <w:shd w:val="clear" w:color="auto" w:fill="auto"/>
            <w:vAlign w:val="center"/>
          </w:tcPr>
          <w:p w14:paraId="708D3A92"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Khẩu trang tiệt trùng</w:t>
            </w:r>
          </w:p>
        </w:tc>
        <w:tc>
          <w:tcPr>
            <w:tcW w:w="5748" w:type="dxa"/>
            <w:shd w:val="clear" w:color="auto" w:fill="auto"/>
            <w:vAlign w:val="center"/>
          </w:tcPr>
          <w:p w14:paraId="750CDBC9"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Tối thiểu 3 lớp, có lớp lọc kháng khuẩn</w:t>
            </w:r>
            <w:r w:rsidRPr="00EB65E8">
              <w:rPr>
                <w:rFonts w:ascii="Times New Roman" w:eastAsia="Times New Roman" w:hAnsi="Times New Roman" w:cs="Times New Roman"/>
                <w:sz w:val="20"/>
                <w:szCs w:val="20"/>
              </w:rPr>
              <w:br/>
              <w:t>- Thanh nẹp mũi: Chất liệu nhựa hoặc kim loại.</w:t>
            </w:r>
            <w:r w:rsidRPr="00EB65E8">
              <w:rPr>
                <w:rFonts w:ascii="Times New Roman" w:eastAsia="Times New Roman" w:hAnsi="Times New Roman" w:cs="Times New Roman"/>
                <w:sz w:val="20"/>
                <w:szCs w:val="20"/>
              </w:rPr>
              <w:br/>
              <w:t>- Có dây đeo, các mép ôm khít khuôn mặt, đảm bảo che kín mũi miệng</w:t>
            </w:r>
            <w:r w:rsidRPr="00EB65E8">
              <w:rPr>
                <w:rFonts w:ascii="Times New Roman" w:eastAsia="Times New Roman" w:hAnsi="Times New Roman" w:cs="Times New Roman"/>
                <w:sz w:val="20"/>
                <w:szCs w:val="20"/>
              </w:rPr>
              <w:br/>
              <w:t>- Được tiệt trùng.</w:t>
            </w:r>
          </w:p>
        </w:tc>
        <w:tc>
          <w:tcPr>
            <w:tcW w:w="1754" w:type="dxa"/>
            <w:shd w:val="clear" w:color="auto" w:fill="auto"/>
            <w:noWrap/>
            <w:vAlign w:val="center"/>
          </w:tcPr>
          <w:p w14:paraId="0958ABD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29C4969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75D20FF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16BC8E1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11238ED6" w14:textId="77777777" w:rsidTr="00173035">
        <w:trPr>
          <w:trHeight w:val="20"/>
        </w:trPr>
        <w:tc>
          <w:tcPr>
            <w:tcW w:w="632" w:type="dxa"/>
            <w:shd w:val="clear" w:color="auto" w:fill="auto"/>
            <w:noWrap/>
            <w:vAlign w:val="center"/>
          </w:tcPr>
          <w:p w14:paraId="0200760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23</w:t>
            </w:r>
          </w:p>
        </w:tc>
        <w:tc>
          <w:tcPr>
            <w:tcW w:w="1597" w:type="dxa"/>
            <w:shd w:val="clear" w:color="auto" w:fill="auto"/>
            <w:vAlign w:val="center"/>
          </w:tcPr>
          <w:p w14:paraId="66BC03AA"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Kim bật chỉ A, B các loại các cỡ</w:t>
            </w:r>
          </w:p>
        </w:tc>
        <w:tc>
          <w:tcPr>
            <w:tcW w:w="5748" w:type="dxa"/>
            <w:shd w:val="clear" w:color="auto" w:fill="auto"/>
            <w:vAlign w:val="center"/>
          </w:tcPr>
          <w:p w14:paraId="55E581E7"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thép không gỉ</w:t>
            </w:r>
            <w:r w:rsidRPr="00EB65E8">
              <w:rPr>
                <w:rFonts w:ascii="Times New Roman" w:eastAsia="Times New Roman" w:hAnsi="Times New Roman" w:cs="Times New Roman"/>
                <w:sz w:val="20"/>
                <w:szCs w:val="20"/>
              </w:rPr>
              <w:br/>
              <w:t>- Mũi kim sắc nhọn, hình tam giác</w:t>
            </w:r>
            <w:r w:rsidRPr="00EB65E8">
              <w:rPr>
                <w:rFonts w:ascii="Times New Roman" w:eastAsia="Times New Roman" w:hAnsi="Times New Roman" w:cs="Times New Roman"/>
                <w:sz w:val="20"/>
                <w:szCs w:val="20"/>
              </w:rPr>
              <w:br/>
              <w:t>- Kim có lỗ thủng hình dẹt thuận tiện cho việc sâu chỉ</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60B55009"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26CC504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0731441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080DB69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2995C23E" w14:textId="77777777" w:rsidTr="00173035">
        <w:trPr>
          <w:trHeight w:val="20"/>
        </w:trPr>
        <w:tc>
          <w:tcPr>
            <w:tcW w:w="632" w:type="dxa"/>
            <w:shd w:val="clear" w:color="auto" w:fill="auto"/>
            <w:noWrap/>
            <w:vAlign w:val="center"/>
          </w:tcPr>
          <w:p w14:paraId="1C2B6D8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24</w:t>
            </w:r>
          </w:p>
        </w:tc>
        <w:tc>
          <w:tcPr>
            <w:tcW w:w="1597" w:type="dxa"/>
            <w:shd w:val="clear" w:color="auto" w:fill="auto"/>
            <w:vAlign w:val="center"/>
          </w:tcPr>
          <w:p w14:paraId="4914A576"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Mũ giấy</w:t>
            </w:r>
          </w:p>
        </w:tc>
        <w:tc>
          <w:tcPr>
            <w:tcW w:w="5748" w:type="dxa"/>
            <w:shd w:val="clear" w:color="auto" w:fill="auto"/>
            <w:vAlign w:val="center"/>
          </w:tcPr>
          <w:p w14:paraId="381C712A"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Vải không dệt polypropylen</w:t>
            </w:r>
            <w:r w:rsidRPr="00EB65E8">
              <w:rPr>
                <w:rFonts w:ascii="Times New Roman" w:eastAsia="Times New Roman" w:hAnsi="Times New Roman" w:cs="Times New Roman"/>
                <w:sz w:val="20"/>
                <w:szCs w:val="20"/>
              </w:rPr>
              <w:br/>
              <w:t>- Màu xanh đồng đều, không kích ứng da</w:t>
            </w:r>
            <w:r w:rsidRPr="00EB65E8">
              <w:rPr>
                <w:rFonts w:ascii="Times New Roman" w:eastAsia="Times New Roman" w:hAnsi="Times New Roman" w:cs="Times New Roman"/>
                <w:sz w:val="20"/>
                <w:szCs w:val="20"/>
              </w:rPr>
              <w:br/>
              <w:t>-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362E352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25BA9574"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02044D0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7A0B966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38A732AF" w14:textId="77777777" w:rsidTr="00173035">
        <w:trPr>
          <w:trHeight w:val="20"/>
        </w:trPr>
        <w:tc>
          <w:tcPr>
            <w:tcW w:w="632" w:type="dxa"/>
            <w:shd w:val="clear" w:color="auto" w:fill="auto"/>
            <w:noWrap/>
            <w:vAlign w:val="center"/>
          </w:tcPr>
          <w:p w14:paraId="7149806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25</w:t>
            </w:r>
          </w:p>
        </w:tc>
        <w:tc>
          <w:tcPr>
            <w:tcW w:w="1597" w:type="dxa"/>
            <w:shd w:val="clear" w:color="auto" w:fill="auto"/>
            <w:vAlign w:val="center"/>
          </w:tcPr>
          <w:p w14:paraId="2BCF5B30"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Natri Salixilat</w:t>
            </w:r>
          </w:p>
        </w:tc>
        <w:tc>
          <w:tcPr>
            <w:tcW w:w="5748" w:type="dxa"/>
            <w:shd w:val="clear" w:color="auto" w:fill="auto"/>
            <w:vAlign w:val="center"/>
          </w:tcPr>
          <w:p w14:paraId="4CEA18C7"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Natri Salixilat dạng tinh thể màu trắng, tan trong nước</w:t>
            </w:r>
            <w:r w:rsidRPr="00EB65E8">
              <w:rPr>
                <w:rFonts w:ascii="Times New Roman" w:eastAsia="Times New Roman" w:hAnsi="Times New Roman" w:cs="Times New Roman"/>
                <w:sz w:val="20"/>
                <w:szCs w:val="20"/>
              </w:rPr>
              <w:br/>
              <w:t>- Dùng pha dung dịch chạy máy điện phân.</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4BC56A0D"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6F8253C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75D5F2E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2BD58049"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1E100F26" w14:textId="77777777" w:rsidTr="00173035">
        <w:trPr>
          <w:trHeight w:val="20"/>
        </w:trPr>
        <w:tc>
          <w:tcPr>
            <w:tcW w:w="632" w:type="dxa"/>
            <w:shd w:val="clear" w:color="auto" w:fill="auto"/>
            <w:noWrap/>
            <w:vAlign w:val="center"/>
          </w:tcPr>
          <w:p w14:paraId="015025F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26</w:t>
            </w:r>
          </w:p>
        </w:tc>
        <w:tc>
          <w:tcPr>
            <w:tcW w:w="1597" w:type="dxa"/>
            <w:shd w:val="clear" w:color="auto" w:fill="auto"/>
            <w:vAlign w:val="center"/>
          </w:tcPr>
          <w:p w14:paraId="7ACD25A8"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Que cấy nhựa vô trùng</w:t>
            </w:r>
          </w:p>
        </w:tc>
        <w:tc>
          <w:tcPr>
            <w:tcW w:w="5748" w:type="dxa"/>
            <w:shd w:val="clear" w:color="auto" w:fill="auto"/>
            <w:vAlign w:val="center"/>
          </w:tcPr>
          <w:p w14:paraId="2B2A8F53"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Dùng để cấy mẫu vào đĩa thạch</w:t>
            </w:r>
            <w:r w:rsidRPr="00EB65E8">
              <w:rPr>
                <w:rFonts w:ascii="Times New Roman" w:eastAsia="Times New Roman" w:hAnsi="Times New Roman" w:cs="Times New Roman"/>
                <w:sz w:val="20"/>
                <w:szCs w:val="20"/>
              </w:rPr>
              <w:br/>
              <w:t>Chiều dài ≥  25mm.</w:t>
            </w:r>
            <w:r w:rsidRPr="00EB65E8">
              <w:rPr>
                <w:rFonts w:ascii="Times New Roman" w:eastAsia="Times New Roman" w:hAnsi="Times New Roman" w:cs="Times New Roman"/>
                <w:sz w:val="20"/>
                <w:szCs w:val="20"/>
              </w:rPr>
              <w:br/>
              <w:t>- Cán bằng nhựa.</w:t>
            </w:r>
            <w:r w:rsidRPr="00EB65E8">
              <w:rPr>
                <w:rFonts w:ascii="Times New Roman" w:eastAsia="Times New Roman" w:hAnsi="Times New Roman" w:cs="Times New Roman"/>
                <w:sz w:val="20"/>
                <w:szCs w:val="20"/>
              </w:rPr>
              <w:br/>
              <w:t>- Que được đóng gói riêng từng cái hoặc 2 cái trong 1 túi.</w:t>
            </w:r>
            <w:r w:rsidRPr="00EB65E8">
              <w:rPr>
                <w:rFonts w:ascii="Times New Roman" w:eastAsia="Times New Roman" w:hAnsi="Times New Roman" w:cs="Times New Roman"/>
                <w:sz w:val="20"/>
                <w:szCs w:val="20"/>
              </w:rPr>
              <w:br/>
            </w:r>
            <w:r w:rsidRPr="00EB65E8">
              <w:rPr>
                <w:rFonts w:ascii="Times New Roman" w:eastAsia="Times New Roman" w:hAnsi="Times New Roman" w:cs="Times New Roman"/>
                <w:sz w:val="20"/>
                <w:szCs w:val="20"/>
              </w:rPr>
              <w:lastRenderedPageBreak/>
              <w:t>-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1AC93ABF"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lastRenderedPageBreak/>
              <w:t>ISO 13485:2016</w:t>
            </w:r>
          </w:p>
        </w:tc>
        <w:tc>
          <w:tcPr>
            <w:tcW w:w="1128" w:type="dxa"/>
            <w:shd w:val="clear" w:color="auto" w:fill="auto"/>
            <w:vAlign w:val="center"/>
          </w:tcPr>
          <w:p w14:paraId="34DF71D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7B1E8D9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5E2A767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6411FDC6" w14:textId="77777777" w:rsidTr="00173035">
        <w:trPr>
          <w:trHeight w:val="20"/>
        </w:trPr>
        <w:tc>
          <w:tcPr>
            <w:tcW w:w="632" w:type="dxa"/>
            <w:shd w:val="clear" w:color="auto" w:fill="auto"/>
            <w:noWrap/>
            <w:vAlign w:val="center"/>
          </w:tcPr>
          <w:p w14:paraId="6921DCB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lastRenderedPageBreak/>
              <w:t>27</w:t>
            </w:r>
          </w:p>
        </w:tc>
        <w:tc>
          <w:tcPr>
            <w:tcW w:w="1597" w:type="dxa"/>
            <w:shd w:val="clear" w:color="auto" w:fill="auto"/>
            <w:vAlign w:val="center"/>
          </w:tcPr>
          <w:p w14:paraId="531CAC32"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Toluen</w:t>
            </w:r>
          </w:p>
        </w:tc>
        <w:tc>
          <w:tcPr>
            <w:tcW w:w="5748" w:type="dxa"/>
            <w:shd w:val="clear" w:color="auto" w:fill="auto"/>
            <w:vAlign w:val="center"/>
          </w:tcPr>
          <w:p w14:paraId="0E06ECF5"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Độ tinh khiết ≥ 99.5%</w:t>
            </w:r>
            <w:r w:rsidRPr="00EB65E8">
              <w:rPr>
                <w:rFonts w:ascii="Times New Roman" w:eastAsia="Times New Roman" w:hAnsi="Times New Roman" w:cs="Times New Roman"/>
                <w:sz w:val="20"/>
                <w:szCs w:val="20"/>
              </w:rPr>
              <w:br/>
              <w:t>- Chất lỏng trong suốt</w:t>
            </w:r>
            <w:r w:rsidRPr="00EB65E8">
              <w:rPr>
                <w:rFonts w:ascii="Times New Roman" w:eastAsia="Times New Roman" w:hAnsi="Times New Roman" w:cs="Times New Roman"/>
                <w:sz w:val="20"/>
                <w:szCs w:val="20"/>
              </w:rPr>
              <w:br/>
              <w:t>- Chai ≥ 500ml</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3ABD30F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070C7C41"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05077B2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0B0BF06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43E3641C" w14:textId="77777777" w:rsidTr="00173035">
        <w:trPr>
          <w:trHeight w:val="20"/>
        </w:trPr>
        <w:tc>
          <w:tcPr>
            <w:tcW w:w="632" w:type="dxa"/>
            <w:shd w:val="clear" w:color="auto" w:fill="auto"/>
            <w:noWrap/>
            <w:vAlign w:val="center"/>
          </w:tcPr>
          <w:p w14:paraId="21417FC8"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28</w:t>
            </w:r>
          </w:p>
        </w:tc>
        <w:tc>
          <w:tcPr>
            <w:tcW w:w="1597" w:type="dxa"/>
            <w:shd w:val="clear" w:color="auto" w:fill="auto"/>
            <w:vAlign w:val="center"/>
          </w:tcPr>
          <w:p w14:paraId="68CFCFE1"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Túi camera</w:t>
            </w:r>
          </w:p>
        </w:tc>
        <w:tc>
          <w:tcPr>
            <w:tcW w:w="5748" w:type="dxa"/>
            <w:shd w:val="clear" w:color="auto" w:fill="auto"/>
            <w:vAlign w:val="center"/>
          </w:tcPr>
          <w:p w14:paraId="0766DBBC"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Chất liệu nylon hoặc màng nhựa PE</w:t>
            </w:r>
            <w:r w:rsidRPr="00EB65E8">
              <w:rPr>
                <w:rFonts w:ascii="Times New Roman" w:eastAsia="Times New Roman" w:hAnsi="Times New Roman" w:cs="Times New Roman"/>
                <w:sz w:val="20"/>
                <w:szCs w:val="20"/>
              </w:rPr>
              <w:br/>
              <w:t>- Có dây buộc hoặc vòng thun</w:t>
            </w:r>
            <w:r w:rsidRPr="00EB65E8">
              <w:rPr>
                <w:rFonts w:ascii="Times New Roman" w:eastAsia="Times New Roman" w:hAnsi="Times New Roman" w:cs="Times New Roman"/>
                <w:sz w:val="20"/>
                <w:szCs w:val="20"/>
              </w:rPr>
              <w:br/>
              <w:t>- Được tiệt trùng</w:t>
            </w:r>
            <w:r w:rsidRPr="00EB65E8">
              <w:rPr>
                <w:rFonts w:ascii="Times New Roman" w:eastAsia="Times New Roman" w:hAnsi="Times New Roman" w:cs="Times New Roman"/>
                <w:sz w:val="20"/>
                <w:szCs w:val="20"/>
              </w:rPr>
              <w:br/>
              <w:t>Thông số cơ bản như trên hoặc tương đương</w:t>
            </w:r>
          </w:p>
        </w:tc>
        <w:tc>
          <w:tcPr>
            <w:tcW w:w="1754" w:type="dxa"/>
            <w:shd w:val="clear" w:color="auto" w:fill="auto"/>
            <w:noWrap/>
            <w:vAlign w:val="center"/>
          </w:tcPr>
          <w:p w14:paraId="10086B7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13485:2016</w:t>
            </w:r>
          </w:p>
        </w:tc>
        <w:tc>
          <w:tcPr>
            <w:tcW w:w="1128" w:type="dxa"/>
            <w:shd w:val="clear" w:color="auto" w:fill="auto"/>
            <w:vAlign w:val="center"/>
          </w:tcPr>
          <w:p w14:paraId="2E0FF94B"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1472" w:type="dxa"/>
            <w:shd w:val="clear" w:color="auto" w:fill="auto"/>
            <w:vAlign w:val="center"/>
          </w:tcPr>
          <w:p w14:paraId="35DB8126"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w:t>
            </w:r>
          </w:p>
        </w:tc>
        <w:tc>
          <w:tcPr>
            <w:tcW w:w="2285" w:type="dxa"/>
            <w:shd w:val="clear" w:color="auto" w:fill="auto"/>
            <w:vAlign w:val="center"/>
          </w:tcPr>
          <w:p w14:paraId="40F64C8C"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r w:rsidR="001A4F78" w:rsidRPr="00EB65E8" w14:paraId="5702990E" w14:textId="77777777" w:rsidTr="00173035">
        <w:trPr>
          <w:trHeight w:val="20"/>
        </w:trPr>
        <w:tc>
          <w:tcPr>
            <w:tcW w:w="632" w:type="dxa"/>
            <w:shd w:val="clear" w:color="auto" w:fill="auto"/>
            <w:noWrap/>
            <w:vAlign w:val="center"/>
          </w:tcPr>
          <w:p w14:paraId="05846A6E"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29</w:t>
            </w:r>
          </w:p>
        </w:tc>
        <w:tc>
          <w:tcPr>
            <w:tcW w:w="1597" w:type="dxa"/>
            <w:shd w:val="clear" w:color="auto" w:fill="auto"/>
            <w:vAlign w:val="center"/>
          </w:tcPr>
          <w:p w14:paraId="43F3B2C9" w14:textId="77777777" w:rsidR="00EB65E8" w:rsidRPr="00EB65E8" w:rsidRDefault="00EB65E8" w:rsidP="00EB65E8">
            <w:pPr>
              <w:spacing w:after="0" w:line="240" w:lineRule="auto"/>
              <w:jc w:val="both"/>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Túi máu 3 (350 ml)</w:t>
            </w:r>
          </w:p>
        </w:tc>
        <w:tc>
          <w:tcPr>
            <w:tcW w:w="5748" w:type="dxa"/>
            <w:shd w:val="clear" w:color="auto" w:fill="auto"/>
            <w:vAlign w:val="center"/>
          </w:tcPr>
          <w:p w14:paraId="771EA507" w14:textId="77777777" w:rsidR="00EB65E8" w:rsidRPr="00EB65E8" w:rsidRDefault="00EB65E8" w:rsidP="00EB65E8">
            <w:pPr>
              <w:spacing w:after="0" w:line="240" w:lineRule="auto"/>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xml:space="preserve">Đóng gói có túi nhôm bao ngoài hoặc tương đương </w:t>
            </w:r>
            <w:r w:rsidRPr="00EB65E8">
              <w:rPr>
                <w:rFonts w:ascii="Times New Roman" w:eastAsia="Times New Roman" w:hAnsi="Times New Roman" w:cs="Times New Roman"/>
                <w:sz w:val="20"/>
                <w:szCs w:val="20"/>
              </w:rPr>
              <w:br/>
              <w:t>- Có thể lưu trữ đến 15 ngày sau khi bóc.</w:t>
            </w:r>
            <w:r w:rsidRPr="00EB65E8">
              <w:rPr>
                <w:rFonts w:ascii="Times New Roman" w:eastAsia="Times New Roman" w:hAnsi="Times New Roman" w:cs="Times New Roman"/>
                <w:sz w:val="20"/>
                <w:szCs w:val="20"/>
              </w:rPr>
              <w:br/>
              <w:t>- Chiều dài dây lấy máu  950 mm ± 20 mm, có ≥ 12 đoạn mã số/mã ký hiệu.</w:t>
            </w:r>
            <w:r w:rsidRPr="00EB65E8">
              <w:rPr>
                <w:rFonts w:ascii="Times New Roman" w:eastAsia="Times New Roman" w:hAnsi="Times New Roman" w:cs="Times New Roman"/>
                <w:sz w:val="20"/>
                <w:szCs w:val="20"/>
              </w:rPr>
              <w:br/>
              <w:t xml:space="preserve">- Ống dây đường kính trong  3.0 ± 0.1 mm và ngoài  4.4 ± 0.1 mm.. </w:t>
            </w:r>
            <w:r w:rsidRPr="00EB65E8">
              <w:rPr>
                <w:rFonts w:ascii="Times New Roman" w:eastAsia="Times New Roman" w:hAnsi="Times New Roman" w:cs="Times New Roman"/>
                <w:sz w:val="20"/>
                <w:szCs w:val="20"/>
              </w:rPr>
              <w:br/>
              <w:t>- Gồm 3 túi, mỗi túi dung tích 350ml</w:t>
            </w:r>
            <w:r w:rsidRPr="00EB65E8">
              <w:rPr>
                <w:rFonts w:ascii="Times New Roman" w:eastAsia="Times New Roman" w:hAnsi="Times New Roman" w:cs="Times New Roman"/>
                <w:sz w:val="20"/>
                <w:szCs w:val="20"/>
              </w:rPr>
              <w:br/>
              <w:t>- Trên đường ống có ≥ 4 đoạn mã số/mã ký hiệu.</w:t>
            </w:r>
            <w:r w:rsidRPr="00EB65E8">
              <w:rPr>
                <w:rFonts w:ascii="Times New Roman" w:eastAsia="Times New Roman" w:hAnsi="Times New Roman" w:cs="Times New Roman"/>
                <w:sz w:val="20"/>
                <w:szCs w:val="20"/>
              </w:rPr>
              <w:br/>
              <w:t>- Có chứa sẵn dung dịch chống đông theo quy định.</w:t>
            </w:r>
          </w:p>
        </w:tc>
        <w:tc>
          <w:tcPr>
            <w:tcW w:w="1754" w:type="dxa"/>
            <w:shd w:val="clear" w:color="auto" w:fill="auto"/>
            <w:noWrap/>
            <w:vAlign w:val="center"/>
          </w:tcPr>
          <w:p w14:paraId="6DADFFD7"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ISO 13485; CE hoặc tương đương</w:t>
            </w:r>
          </w:p>
        </w:tc>
        <w:tc>
          <w:tcPr>
            <w:tcW w:w="1128" w:type="dxa"/>
            <w:shd w:val="clear" w:color="auto" w:fill="auto"/>
            <w:vAlign w:val="center"/>
          </w:tcPr>
          <w:p w14:paraId="473CD683"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C hoặc D</w:t>
            </w:r>
          </w:p>
        </w:tc>
        <w:tc>
          <w:tcPr>
            <w:tcW w:w="1472" w:type="dxa"/>
            <w:shd w:val="clear" w:color="auto" w:fill="auto"/>
            <w:vAlign w:val="center"/>
          </w:tcPr>
          <w:p w14:paraId="03FE3FBA"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G20</w:t>
            </w:r>
          </w:p>
        </w:tc>
        <w:tc>
          <w:tcPr>
            <w:tcW w:w="2285" w:type="dxa"/>
            <w:shd w:val="clear" w:color="auto" w:fill="auto"/>
            <w:vAlign w:val="center"/>
          </w:tcPr>
          <w:p w14:paraId="4BDF77C5" w14:textId="77777777" w:rsidR="00EB65E8" w:rsidRPr="00EB65E8" w:rsidRDefault="00EB65E8" w:rsidP="00EB65E8">
            <w:pPr>
              <w:spacing w:after="0" w:line="240" w:lineRule="auto"/>
              <w:jc w:val="center"/>
              <w:rPr>
                <w:rFonts w:ascii="Times New Roman" w:eastAsia="Times New Roman" w:hAnsi="Times New Roman" w:cs="Times New Roman"/>
                <w:lang w:val="vi-VN" w:eastAsia="vi-VN"/>
              </w:rPr>
            </w:pPr>
            <w:r w:rsidRPr="00EB65E8">
              <w:rPr>
                <w:rFonts w:ascii="Times New Roman" w:eastAsia="Times New Roman" w:hAnsi="Times New Roman" w:cs="Times New Roman"/>
                <w:sz w:val="20"/>
                <w:szCs w:val="20"/>
              </w:rPr>
              <w:t>≥ 2/3 hạn sử dụng ghi trên bao bì của hàng hóa, tính từ lúc giao hàng</w:t>
            </w:r>
          </w:p>
        </w:tc>
      </w:tr>
    </w:tbl>
    <w:p w14:paraId="19B69BC9" w14:textId="77777777" w:rsidR="00EB65E8" w:rsidRPr="00EB65E8" w:rsidRDefault="00EB65E8" w:rsidP="00EB65E8">
      <w:pPr>
        <w:spacing w:after="0" w:line="240" w:lineRule="auto"/>
        <w:ind w:firstLine="709"/>
        <w:jc w:val="both"/>
        <w:rPr>
          <w:rFonts w:ascii="Times New Roman" w:eastAsia="Times New Roman" w:hAnsi="Times New Roman" w:cs="Times New Roman"/>
          <w:b/>
          <w:i/>
          <w:sz w:val="26"/>
          <w:szCs w:val="26"/>
          <w:lang w:val="nl-NL"/>
        </w:rPr>
      </w:pPr>
    </w:p>
    <w:p w14:paraId="0D831E80" w14:textId="77777777" w:rsidR="00EB65E8" w:rsidRPr="00EB65E8" w:rsidRDefault="00EB65E8" w:rsidP="00EB65E8">
      <w:pPr>
        <w:spacing w:after="0" w:line="240" w:lineRule="auto"/>
        <w:ind w:firstLine="709"/>
        <w:jc w:val="both"/>
        <w:rPr>
          <w:rFonts w:ascii="Times New Roman" w:eastAsia="Times New Roman" w:hAnsi="Times New Roman" w:cs="Times New Roman"/>
          <w:b/>
          <w:i/>
          <w:sz w:val="26"/>
          <w:szCs w:val="26"/>
          <w:lang w:val="nl-NL"/>
        </w:rPr>
      </w:pPr>
      <w:r w:rsidRPr="00EB65E8">
        <w:rPr>
          <w:rFonts w:ascii="Times New Roman" w:eastAsia="Times New Roman" w:hAnsi="Times New Roman" w:cs="Times New Roman"/>
          <w:b/>
          <w:i/>
          <w:sz w:val="26"/>
          <w:szCs w:val="26"/>
          <w:lang w:val="nl-NL"/>
        </w:rPr>
        <w:t>1.3. Các yêu cầu khác</w:t>
      </w:r>
    </w:p>
    <w:p w14:paraId="7A35DBFA" w14:textId="77777777" w:rsidR="00EB65E8" w:rsidRPr="00EB65E8" w:rsidRDefault="00EB65E8" w:rsidP="00EB65E8">
      <w:pPr>
        <w:spacing w:after="0" w:line="240" w:lineRule="auto"/>
        <w:ind w:firstLine="709"/>
        <w:jc w:val="both"/>
        <w:rPr>
          <w:rFonts w:ascii="Times New Roman" w:eastAsia="Times New Roman" w:hAnsi="Times New Roman" w:cs="Times New Roman"/>
          <w:b/>
          <w:bCs/>
          <w:i/>
          <w:sz w:val="26"/>
          <w:szCs w:val="26"/>
        </w:rPr>
      </w:pPr>
      <w:r w:rsidRPr="00EB65E8">
        <w:rPr>
          <w:rFonts w:ascii="Times New Roman" w:eastAsia="Times New Roman" w:hAnsi="Times New Roman" w:cs="Times New Roman"/>
          <w:b/>
          <w:bCs/>
          <w:i/>
          <w:sz w:val="26"/>
          <w:szCs w:val="26"/>
        </w:rPr>
        <w:t>1.3.1. Tài liệu chứng minh tính hợp lệ của hàng hóa</w:t>
      </w:r>
    </w:p>
    <w:p w14:paraId="7F4510F5" w14:textId="77777777" w:rsidR="00EB65E8" w:rsidRPr="00EB65E8" w:rsidRDefault="00EB65E8" w:rsidP="00EB65E8">
      <w:pPr>
        <w:spacing w:after="0" w:line="240" w:lineRule="auto"/>
        <w:ind w:firstLine="709"/>
        <w:jc w:val="both"/>
        <w:rPr>
          <w:rFonts w:ascii="Times New Roman" w:eastAsia="Times New Roman" w:hAnsi="Times New Roman" w:cs="Times New Roman"/>
          <w:b/>
          <w:bCs/>
          <w:i/>
          <w:sz w:val="26"/>
          <w:szCs w:val="26"/>
        </w:rPr>
      </w:pPr>
      <w:r w:rsidRPr="00EB65E8">
        <w:rPr>
          <w:rFonts w:ascii="Times New Roman" w:eastAsia="Times New Roman" w:hAnsi="Times New Roman" w:cs="Times New Roman"/>
          <w:b/>
          <w:bCs/>
          <w:i/>
          <w:sz w:val="26"/>
          <w:szCs w:val="26"/>
        </w:rPr>
        <w:t>1.3.1. Tài liệu chứng minh tính hợp lệ của hàng hóa</w:t>
      </w:r>
    </w:p>
    <w:p w14:paraId="17A8930C"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a. Bảng thông tin hàng hóa dự thầu, bản cam kết theo mẫu mục 1.3.2 và 1.3.3 chương V của E-HSMT</w:t>
      </w:r>
    </w:p>
    <w:p w14:paraId="391DF991"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rPr>
      </w:pPr>
      <w:r w:rsidRPr="00EB65E8">
        <w:rPr>
          <w:rFonts w:ascii="Times New Roman" w:eastAsia="Times New Roman" w:hAnsi="Times New Roman" w:cs="Times New Roman"/>
          <w:bCs/>
          <w:sz w:val="26"/>
          <w:szCs w:val="26"/>
        </w:rPr>
        <w:t xml:space="preserve">b. </w:t>
      </w:r>
      <w:r w:rsidRPr="00EB65E8">
        <w:rPr>
          <w:rFonts w:ascii="Times New Roman" w:eastAsia="Times New Roman" w:hAnsi="Times New Roman" w:cs="Times New Roman"/>
          <w:sz w:val="26"/>
          <w:szCs w:val="26"/>
        </w:rPr>
        <w:t>Tài liệu kỹ thuật hàng hóa, bao gồm:</w:t>
      </w:r>
    </w:p>
    <w:p w14:paraId="4DFC1115"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rPr>
      </w:pPr>
      <w:r w:rsidRPr="00EB65E8">
        <w:rPr>
          <w:rFonts w:ascii="Times New Roman" w:eastAsia="Times New Roman" w:hAnsi="Times New Roman" w:cs="Times New Roman"/>
          <w:sz w:val="26"/>
          <w:szCs w:val="26"/>
        </w:rPr>
        <w:t>- Tài liệu kỹ thuật, catalogue của sản phẩm do nhà sản xuất công bố:</w:t>
      </w:r>
    </w:p>
    <w:p w14:paraId="5A283190"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sv-SE"/>
        </w:rPr>
      </w:pPr>
      <w:r w:rsidRPr="00EB65E8">
        <w:rPr>
          <w:rFonts w:ascii="Times New Roman" w:eastAsia="Times New Roman" w:hAnsi="Times New Roman" w:cs="Times New Roman"/>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53024078"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sv-SE"/>
        </w:rPr>
      </w:pPr>
      <w:r w:rsidRPr="00EB65E8">
        <w:rPr>
          <w:rFonts w:ascii="Times New Roman" w:eastAsia="Times New Roman" w:hAnsi="Times New Roman" w:cs="Times New Roman"/>
          <w:sz w:val="26"/>
          <w:szCs w:val="26"/>
          <w:lang w:val="sv-SE"/>
        </w:rPr>
        <w:t>+ Trong mọi trường hợp, nhà thầu chịu hoàn toàn trách nhiệm pháp lý về tính hợp lệ, trung thực, chính xác của tất cả tài liệu cung cấp.</w:t>
      </w:r>
    </w:p>
    <w:p w14:paraId="18702FA9" w14:textId="760A882D"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sv-SE"/>
        </w:rPr>
      </w:pPr>
      <w:r w:rsidRPr="00EB65E8">
        <w:rPr>
          <w:rFonts w:ascii="Times New Roman" w:eastAsia="Times New Roman" w:hAnsi="Times New Roman" w:cs="Times New Roman"/>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w:t>
      </w:r>
      <w:bookmarkStart w:id="1" w:name="_GoBack"/>
      <w:bookmarkEnd w:id="1"/>
      <w:r w:rsidRPr="00EB65E8">
        <w:rPr>
          <w:rFonts w:ascii="Times New Roman" w:eastAsia="Times New Roman" w:hAnsi="Times New Roman" w:cs="Times New Roman"/>
          <w:sz w:val="26"/>
          <w:szCs w:val="26"/>
          <w:lang w:val="sv-SE"/>
        </w:rPr>
        <w:t xml:space="preserve"> xuất hoặc của đại lý phân phối hoặc tài liệu khác có giá trị tương đương </w:t>
      </w:r>
      <w:r w:rsidRPr="001A4F78">
        <w:rPr>
          <w:rFonts w:ascii="Times New Roman" w:eastAsia="Times New Roman" w:hAnsi="Times New Roman" w:cs="Times New Roman"/>
          <w:sz w:val="26"/>
          <w:szCs w:val="26"/>
          <w:lang w:val="sv-SE"/>
        </w:rPr>
        <w:t xml:space="preserve">chỉ </w:t>
      </w:r>
      <w:r w:rsidRPr="00EB65E8">
        <w:rPr>
          <w:rFonts w:ascii="Times New Roman" w:eastAsia="Times New Roman" w:hAnsi="Times New Roman" w:cs="Times New Roman"/>
          <w:sz w:val="26"/>
          <w:szCs w:val="26"/>
          <w:lang w:val="sv-SE"/>
        </w:rPr>
        <w:t>cho hạng mục hàng hóa Túi máu 3 và Túi máu 3 (350 ml), đáp ứng yêu cầu sau:</w:t>
      </w:r>
    </w:p>
    <w:p w14:paraId="22E127BC"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sv-SE"/>
        </w:rPr>
      </w:pPr>
      <w:r w:rsidRPr="00EB65E8">
        <w:rPr>
          <w:rFonts w:ascii="Times New Roman" w:eastAsia="Times New Roman" w:hAnsi="Times New Roman" w:cs="Times New Roman"/>
          <w:sz w:val="26"/>
          <w:szCs w:val="26"/>
          <w:lang w:val="sv-SE"/>
        </w:rPr>
        <w:t>+ Hàng hóa sản xuất trong nước: Bản gốc hoặc bản sao có chứng thực.</w:t>
      </w:r>
    </w:p>
    <w:p w14:paraId="32BE19C2"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sz w:val="26"/>
          <w:szCs w:val="26"/>
          <w:lang w:val="sv-SE"/>
        </w:rPr>
        <w:lastRenderedPageBreak/>
        <w:t>+ Hàng hóa nhập khẩu: Bản đã được hợp pháp hóa lãnh sự hoặc bản sao có chứng thực của bản đã được hợp pháp hóa lãnh sự theo quy định tại Nghị định 111/2011/NĐ-CP.</w:t>
      </w:r>
    </w:p>
    <w:p w14:paraId="41EF05BD"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c. Đối với hàng hóa là thiết bị y tế, cung cấp các tài liệu sau:</w:t>
      </w:r>
    </w:p>
    <w:p w14:paraId="09BBEA79"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091ECA06"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7D390624"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0FAD9B9A"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123714A0"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661F0202"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4E9CF64B"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Giấy chứng nhận nhà sản xuất đáp ứng tiêu chuẩn chất lượng ISO 13485 hoặc tương đương.</w:t>
      </w:r>
    </w:p>
    <w:p w14:paraId="76A186D7"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d. Đối với hàng hóa không phải là thiết bị y tế:</w:t>
      </w:r>
    </w:p>
    <w:p w14:paraId="2DBEE004" w14:textId="77777777" w:rsidR="00EB65E8" w:rsidRPr="00EB65E8" w:rsidRDefault="00EB65E8" w:rsidP="00EB65E8">
      <w:pPr>
        <w:spacing w:after="0" w:line="240" w:lineRule="auto"/>
        <w:ind w:firstLine="709"/>
        <w:jc w:val="both"/>
        <w:rPr>
          <w:rFonts w:ascii="Times New Roman" w:eastAsia="Times New Roman" w:hAnsi="Times New Roman" w:cs="Times New Roman"/>
          <w:bCs/>
          <w:sz w:val="26"/>
          <w:szCs w:val="26"/>
        </w:rPr>
      </w:pPr>
      <w:r w:rsidRPr="00EB65E8">
        <w:rPr>
          <w:rFonts w:ascii="Times New Roman" w:eastAsia="Times New Roman" w:hAnsi="Times New Roman" w:cs="Times New Roman"/>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0EA4C150"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nl-NL"/>
        </w:rPr>
        <w:sectPr w:rsidR="00EB65E8" w:rsidRPr="00EB65E8" w:rsidSect="00966C4C">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6198D4F4" w14:textId="77777777" w:rsidR="00EB65E8" w:rsidRPr="00EB65E8" w:rsidRDefault="00EB65E8" w:rsidP="00EB65E8">
      <w:pPr>
        <w:spacing w:after="0" w:line="240" w:lineRule="auto"/>
        <w:jc w:val="both"/>
        <w:rPr>
          <w:rFonts w:ascii="Times New Roman" w:eastAsia="Times New Roman" w:hAnsi="Times New Roman" w:cs="Times New Roman"/>
          <w:b/>
          <w:i/>
          <w:sz w:val="26"/>
          <w:szCs w:val="26"/>
          <w:lang w:val="nl-NL"/>
        </w:rPr>
      </w:pPr>
      <w:r w:rsidRPr="00EB65E8">
        <w:rPr>
          <w:rFonts w:ascii="Times New Roman" w:eastAsia="Times New Roman" w:hAnsi="Times New Roman" w:cs="Times New Roman"/>
          <w:b/>
          <w:i/>
          <w:sz w:val="26"/>
          <w:szCs w:val="26"/>
          <w:lang w:val="nl-NL"/>
        </w:rPr>
        <w:lastRenderedPageBreak/>
        <w:t>1.3.2. Nhà thầu phải nộp cùng E-HSDT bản thông tin hàng hóa dự thầu như sau:</w:t>
      </w:r>
    </w:p>
    <w:p w14:paraId="3F2E8C00" w14:textId="77777777" w:rsidR="00EB65E8" w:rsidRPr="00EB65E8" w:rsidRDefault="00EB65E8" w:rsidP="00EB65E8">
      <w:pPr>
        <w:spacing w:after="0" w:line="240" w:lineRule="auto"/>
        <w:jc w:val="center"/>
        <w:rPr>
          <w:rFonts w:ascii="Times New Roman" w:eastAsia="Times New Roman" w:hAnsi="Times New Roman" w:cs="Times New Roman"/>
          <w:b/>
          <w:sz w:val="28"/>
          <w:szCs w:val="20"/>
        </w:rPr>
      </w:pPr>
      <w:r w:rsidRPr="00EB65E8">
        <w:rPr>
          <w:rFonts w:ascii="Times New Roman" w:eastAsia="Times New Roman" w:hAnsi="Times New Roman" w:cs="Times New Roman"/>
          <w:b/>
          <w:sz w:val="28"/>
          <w:szCs w:val="20"/>
          <w:lang w:val="vi-VN"/>
        </w:rPr>
        <w:t xml:space="preserve">BẢNG </w:t>
      </w:r>
      <w:r w:rsidRPr="00EB65E8">
        <w:rPr>
          <w:rFonts w:ascii="Times New Roman" w:eastAsia="Times New Roman" w:hAnsi="Times New Roman" w:cs="Times New Roman"/>
          <w:b/>
          <w:sz w:val="28"/>
          <w:szCs w:val="20"/>
        </w:rPr>
        <w:t>THÔNG TIN HÀNG HÓA</w:t>
      </w:r>
      <w:r w:rsidRPr="00EB65E8">
        <w:rPr>
          <w:rFonts w:ascii="Times New Roman" w:eastAsia="Times New Roman" w:hAnsi="Times New Roman" w:cs="Times New Roman"/>
          <w:b/>
          <w:sz w:val="28"/>
          <w:szCs w:val="20"/>
          <w:lang w:val="vi-VN"/>
        </w:rPr>
        <w:t xml:space="preserve"> DỰ THẦU</w:t>
      </w:r>
    </w:p>
    <w:p w14:paraId="77BDC366" w14:textId="77777777" w:rsidR="00EB65E8" w:rsidRPr="00EB65E8" w:rsidRDefault="00EB65E8" w:rsidP="00EB65E8">
      <w:pPr>
        <w:spacing w:after="0" w:line="240" w:lineRule="auto"/>
        <w:jc w:val="both"/>
        <w:rPr>
          <w:rFonts w:ascii="Times New Roman" w:eastAsia="Times New Roman" w:hAnsi="Times New Roman" w:cs="Times New Roman"/>
          <w:sz w:val="24"/>
          <w:szCs w:val="24"/>
        </w:rPr>
      </w:pPr>
      <w:r w:rsidRPr="00EB65E8">
        <w:rPr>
          <w:rFonts w:ascii="Times New Roman" w:eastAsia="Times New Roman" w:hAnsi="Times New Roman" w:cs="Times New Roman"/>
          <w:sz w:val="24"/>
          <w:szCs w:val="24"/>
        </w:rPr>
        <w:t>Tên nhà thầu:</w:t>
      </w:r>
    </w:p>
    <w:p w14:paraId="45FE135F" w14:textId="77777777" w:rsidR="00EB65E8" w:rsidRPr="00EB65E8" w:rsidRDefault="00EB65E8" w:rsidP="00EB65E8">
      <w:pPr>
        <w:spacing w:after="0" w:line="240" w:lineRule="auto"/>
        <w:jc w:val="both"/>
        <w:rPr>
          <w:rFonts w:ascii="Times New Roman" w:eastAsia="Times New Roman" w:hAnsi="Times New Roman" w:cs="Times New Roman"/>
          <w:sz w:val="24"/>
          <w:szCs w:val="24"/>
        </w:rPr>
      </w:pPr>
      <w:r w:rsidRPr="00EB65E8">
        <w:rPr>
          <w:rFonts w:ascii="Times New Roman" w:eastAsia="Times New Roman" w:hAnsi="Times New Roman" w:cs="Times New Roman"/>
          <w:sz w:val="24"/>
          <w:szCs w:val="24"/>
        </w:rPr>
        <w:t>Số ĐKKD:</w:t>
      </w:r>
    </w:p>
    <w:p w14:paraId="3F39EBF8" w14:textId="77777777" w:rsidR="00EB65E8" w:rsidRPr="00EB65E8" w:rsidRDefault="00EB65E8" w:rsidP="00EB65E8">
      <w:pPr>
        <w:spacing w:after="0" w:line="240" w:lineRule="auto"/>
        <w:jc w:val="both"/>
        <w:rPr>
          <w:rFonts w:ascii="Times New Roman" w:eastAsia="Times New Roman" w:hAnsi="Times New Roman" w:cs="Times New Roman"/>
          <w:sz w:val="24"/>
          <w:szCs w:val="24"/>
        </w:rPr>
      </w:pPr>
      <w:r w:rsidRPr="00EB65E8">
        <w:rPr>
          <w:rFonts w:ascii="Times New Roman" w:eastAsia="Times New Roman" w:hAnsi="Times New Roman" w:cs="Times New Roman"/>
          <w:sz w:val="24"/>
          <w:szCs w:val="24"/>
        </w:rPr>
        <w:t>Email:</w:t>
      </w:r>
    </w:p>
    <w:p w14:paraId="2C1E555F" w14:textId="77777777" w:rsidR="00EB65E8" w:rsidRPr="00EB65E8" w:rsidRDefault="00EB65E8" w:rsidP="00EB65E8">
      <w:pPr>
        <w:spacing w:after="0" w:line="240" w:lineRule="auto"/>
        <w:jc w:val="both"/>
        <w:rPr>
          <w:rFonts w:ascii="Times New Roman" w:eastAsia="Times New Roman" w:hAnsi="Times New Roman" w:cs="Times New Roman"/>
          <w:sz w:val="24"/>
          <w:szCs w:val="24"/>
        </w:rPr>
      </w:pPr>
      <w:r w:rsidRPr="00EB65E8">
        <w:rPr>
          <w:rFonts w:ascii="Times New Roman" w:eastAsia="Times New Roman" w:hAnsi="Times New Roman" w:cs="Times New Roman"/>
          <w:sz w:val="24"/>
          <w:szCs w:val="24"/>
        </w:rPr>
        <w:t>SĐT liên lạc:</w:t>
      </w:r>
    </w:p>
    <w:p w14:paraId="22BDF3E8" w14:textId="77777777" w:rsidR="00EB65E8" w:rsidRPr="00EB65E8" w:rsidRDefault="00EB65E8" w:rsidP="00EB65E8">
      <w:pPr>
        <w:spacing w:after="0" w:line="240" w:lineRule="auto"/>
        <w:jc w:val="center"/>
        <w:rPr>
          <w:rFonts w:ascii="Times New Roman" w:eastAsia="Times New Roman" w:hAnsi="Times New Roman" w:cs="Times New Roman"/>
          <w:b/>
          <w:noProof/>
          <w:sz w:val="24"/>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1A4F78" w:rsidRPr="00EB65E8" w14:paraId="33C3AE8A" w14:textId="77777777" w:rsidTr="00173035">
        <w:tc>
          <w:tcPr>
            <w:tcW w:w="824" w:type="dxa"/>
            <w:shd w:val="clear" w:color="auto" w:fill="DEEAF6" w:themeFill="accent1" w:themeFillTint="33"/>
            <w:vAlign w:val="center"/>
          </w:tcPr>
          <w:p w14:paraId="6C42CF50" w14:textId="77777777" w:rsidR="00EB65E8" w:rsidRPr="00EB65E8" w:rsidRDefault="00EB65E8" w:rsidP="00EB65E8">
            <w:pPr>
              <w:spacing w:after="0" w:line="240" w:lineRule="auto"/>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STT</w:t>
            </w:r>
          </w:p>
        </w:tc>
        <w:tc>
          <w:tcPr>
            <w:tcW w:w="1444" w:type="dxa"/>
            <w:shd w:val="clear" w:color="auto" w:fill="DEEAF6" w:themeFill="accent1" w:themeFillTint="33"/>
            <w:vAlign w:val="center"/>
          </w:tcPr>
          <w:p w14:paraId="5A182D91" w14:textId="77777777" w:rsidR="00EB65E8" w:rsidRPr="00EB65E8" w:rsidRDefault="00EB65E8" w:rsidP="00EB65E8">
            <w:pPr>
              <w:spacing w:after="0" w:line="240" w:lineRule="auto"/>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Danh mục hàng hóa</w:t>
            </w:r>
          </w:p>
        </w:tc>
        <w:tc>
          <w:tcPr>
            <w:tcW w:w="1418" w:type="dxa"/>
            <w:shd w:val="clear" w:color="auto" w:fill="DEEAF6" w:themeFill="accent1" w:themeFillTint="33"/>
            <w:vAlign w:val="center"/>
          </w:tcPr>
          <w:p w14:paraId="6C98F71A" w14:textId="77777777" w:rsidR="00EB65E8" w:rsidRPr="00EB65E8" w:rsidRDefault="00EB65E8" w:rsidP="00EB65E8">
            <w:pPr>
              <w:spacing w:after="0" w:line="240" w:lineRule="auto"/>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Yêu cầu kỹ thuật</w:t>
            </w:r>
          </w:p>
        </w:tc>
        <w:tc>
          <w:tcPr>
            <w:tcW w:w="810" w:type="dxa"/>
            <w:vAlign w:val="center"/>
          </w:tcPr>
          <w:p w14:paraId="434CA212" w14:textId="77777777" w:rsidR="00EB65E8" w:rsidRPr="00EB65E8" w:rsidRDefault="00EB65E8" w:rsidP="00EB65E8">
            <w:pPr>
              <w:spacing w:after="0" w:line="240" w:lineRule="auto"/>
              <w:ind w:right="-106"/>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Tên thương mại</w:t>
            </w:r>
          </w:p>
        </w:tc>
        <w:tc>
          <w:tcPr>
            <w:tcW w:w="728" w:type="dxa"/>
            <w:vAlign w:val="center"/>
          </w:tcPr>
          <w:p w14:paraId="6DF26FAB" w14:textId="77777777" w:rsidR="00EB65E8" w:rsidRPr="00EB65E8" w:rsidRDefault="00EB65E8" w:rsidP="00EB65E8">
            <w:pPr>
              <w:spacing w:after="0" w:line="240" w:lineRule="auto"/>
              <w:ind w:right="-106"/>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Ký mã hiệu</w:t>
            </w:r>
          </w:p>
        </w:tc>
        <w:tc>
          <w:tcPr>
            <w:tcW w:w="840" w:type="dxa"/>
            <w:vAlign w:val="center"/>
          </w:tcPr>
          <w:p w14:paraId="08B2D8E1" w14:textId="77777777" w:rsidR="00EB65E8" w:rsidRPr="00EB65E8" w:rsidRDefault="00EB65E8" w:rsidP="00EB65E8">
            <w:pPr>
              <w:spacing w:after="0" w:line="240" w:lineRule="auto"/>
              <w:ind w:right="-106"/>
              <w:jc w:val="both"/>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Năm sản xuất</w:t>
            </w:r>
          </w:p>
        </w:tc>
        <w:tc>
          <w:tcPr>
            <w:tcW w:w="1251" w:type="dxa"/>
            <w:vAlign w:val="center"/>
          </w:tcPr>
          <w:p w14:paraId="5036D6A0" w14:textId="77777777" w:rsidR="00EB65E8" w:rsidRPr="00EB65E8" w:rsidRDefault="00EB65E8" w:rsidP="00EB65E8">
            <w:pPr>
              <w:spacing w:after="0" w:line="240" w:lineRule="auto"/>
              <w:ind w:right="-106"/>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Hãng sản xuất/xuất xứ</w:t>
            </w:r>
          </w:p>
        </w:tc>
        <w:tc>
          <w:tcPr>
            <w:tcW w:w="1105" w:type="dxa"/>
            <w:vAlign w:val="center"/>
          </w:tcPr>
          <w:p w14:paraId="62D49C61" w14:textId="77777777" w:rsidR="00EB65E8" w:rsidRPr="00EB65E8" w:rsidRDefault="00EB65E8" w:rsidP="00EB65E8">
            <w:pPr>
              <w:spacing w:after="0" w:line="240" w:lineRule="auto"/>
              <w:ind w:left="-54" w:right="-106"/>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Hãng chủ sở hữu/xuất xứ</w:t>
            </w:r>
          </w:p>
        </w:tc>
        <w:tc>
          <w:tcPr>
            <w:tcW w:w="1276" w:type="dxa"/>
            <w:vAlign w:val="center"/>
          </w:tcPr>
          <w:p w14:paraId="1180106E" w14:textId="77777777" w:rsidR="00EB65E8" w:rsidRPr="00EB65E8" w:rsidRDefault="00EB65E8" w:rsidP="00EB65E8">
            <w:pPr>
              <w:spacing w:after="0" w:line="240" w:lineRule="auto"/>
              <w:ind w:right="-106"/>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Số lưu hành/ Số GPNK</w:t>
            </w:r>
          </w:p>
        </w:tc>
        <w:tc>
          <w:tcPr>
            <w:tcW w:w="2276" w:type="dxa"/>
            <w:vAlign w:val="center"/>
          </w:tcPr>
          <w:p w14:paraId="7903019B" w14:textId="77777777" w:rsidR="00EB65E8" w:rsidRPr="00EB65E8" w:rsidRDefault="00EB65E8" w:rsidP="00EB65E8">
            <w:pPr>
              <w:spacing w:after="0" w:line="240" w:lineRule="auto"/>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Thông số kỹ thuật của hàng hóa dự thầu</w:t>
            </w:r>
          </w:p>
        </w:tc>
        <w:tc>
          <w:tcPr>
            <w:tcW w:w="928" w:type="dxa"/>
            <w:vAlign w:val="center"/>
          </w:tcPr>
          <w:p w14:paraId="0361999D" w14:textId="77777777" w:rsidR="00EB65E8" w:rsidRPr="00EB65E8" w:rsidRDefault="00EB65E8" w:rsidP="00EB65E8">
            <w:pPr>
              <w:spacing w:after="0" w:line="240" w:lineRule="auto"/>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Quy cách dự thầu</w:t>
            </w:r>
          </w:p>
        </w:tc>
        <w:tc>
          <w:tcPr>
            <w:tcW w:w="1559" w:type="dxa"/>
            <w:vAlign w:val="center"/>
          </w:tcPr>
          <w:p w14:paraId="524ECAB7" w14:textId="77777777" w:rsidR="00EB65E8" w:rsidRPr="00EB65E8" w:rsidRDefault="00EB65E8" w:rsidP="00EB65E8">
            <w:pPr>
              <w:spacing w:after="0" w:line="240" w:lineRule="auto"/>
              <w:jc w:val="center"/>
              <w:rPr>
                <w:rFonts w:ascii="Times New Roman" w:eastAsia="Times New Roman" w:hAnsi="Times New Roman" w:cs="Times New Roman"/>
                <w:b/>
                <w:noProof/>
                <w:sz w:val="20"/>
                <w:szCs w:val="20"/>
              </w:rPr>
            </w:pPr>
            <w:r w:rsidRPr="00EB65E8">
              <w:rPr>
                <w:rFonts w:ascii="Times New Roman" w:eastAsia="Times New Roman" w:hAnsi="Times New Roman" w:cs="Times New Roman"/>
                <w:b/>
                <w:noProof/>
                <w:sz w:val="20"/>
                <w:szCs w:val="20"/>
              </w:rPr>
              <w:t>Tài liệu dẫn chiếu, Trang dẫn chiếu TSKT</w:t>
            </w:r>
          </w:p>
        </w:tc>
      </w:tr>
      <w:tr w:rsidR="001A4F78" w:rsidRPr="00EB65E8" w14:paraId="182E1345" w14:textId="77777777" w:rsidTr="00173035">
        <w:tc>
          <w:tcPr>
            <w:tcW w:w="824" w:type="dxa"/>
            <w:shd w:val="clear" w:color="auto" w:fill="DEEAF6" w:themeFill="accent1" w:themeFillTint="33"/>
            <w:vAlign w:val="center"/>
          </w:tcPr>
          <w:p w14:paraId="750BB8B9"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(1)</w:t>
            </w:r>
          </w:p>
        </w:tc>
        <w:tc>
          <w:tcPr>
            <w:tcW w:w="1444" w:type="dxa"/>
            <w:shd w:val="clear" w:color="auto" w:fill="DEEAF6" w:themeFill="accent1" w:themeFillTint="33"/>
          </w:tcPr>
          <w:p w14:paraId="5DBA942E"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(2)</w:t>
            </w:r>
          </w:p>
        </w:tc>
        <w:tc>
          <w:tcPr>
            <w:tcW w:w="1418" w:type="dxa"/>
            <w:shd w:val="clear" w:color="auto" w:fill="DEEAF6" w:themeFill="accent1" w:themeFillTint="33"/>
          </w:tcPr>
          <w:p w14:paraId="59D39608"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(3)</w:t>
            </w:r>
          </w:p>
        </w:tc>
        <w:tc>
          <w:tcPr>
            <w:tcW w:w="810" w:type="dxa"/>
          </w:tcPr>
          <w:p w14:paraId="252F8B46"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(4)</w:t>
            </w:r>
          </w:p>
        </w:tc>
        <w:tc>
          <w:tcPr>
            <w:tcW w:w="728" w:type="dxa"/>
          </w:tcPr>
          <w:p w14:paraId="2BFEB228"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(5)</w:t>
            </w:r>
          </w:p>
        </w:tc>
        <w:tc>
          <w:tcPr>
            <w:tcW w:w="840" w:type="dxa"/>
          </w:tcPr>
          <w:p w14:paraId="65056512"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(6)</w:t>
            </w:r>
          </w:p>
        </w:tc>
        <w:tc>
          <w:tcPr>
            <w:tcW w:w="1251" w:type="dxa"/>
          </w:tcPr>
          <w:p w14:paraId="1B035AC1"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(7)</w:t>
            </w:r>
          </w:p>
        </w:tc>
        <w:tc>
          <w:tcPr>
            <w:tcW w:w="1105" w:type="dxa"/>
          </w:tcPr>
          <w:p w14:paraId="6ABD5136"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(8)</w:t>
            </w:r>
          </w:p>
        </w:tc>
        <w:tc>
          <w:tcPr>
            <w:tcW w:w="1276" w:type="dxa"/>
          </w:tcPr>
          <w:p w14:paraId="7BE1802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(9)</w:t>
            </w:r>
          </w:p>
        </w:tc>
        <w:tc>
          <w:tcPr>
            <w:tcW w:w="2276" w:type="dxa"/>
          </w:tcPr>
          <w:p w14:paraId="14FF05FB"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(10)</w:t>
            </w:r>
          </w:p>
        </w:tc>
        <w:tc>
          <w:tcPr>
            <w:tcW w:w="928" w:type="dxa"/>
          </w:tcPr>
          <w:p w14:paraId="16953A8A"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(11)</w:t>
            </w:r>
          </w:p>
        </w:tc>
        <w:tc>
          <w:tcPr>
            <w:tcW w:w="1559" w:type="dxa"/>
          </w:tcPr>
          <w:p w14:paraId="75F37721"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(12)</w:t>
            </w:r>
          </w:p>
        </w:tc>
      </w:tr>
      <w:tr w:rsidR="001A4F78" w:rsidRPr="00EB65E8" w14:paraId="5AA164B3" w14:textId="77777777" w:rsidTr="00173035">
        <w:tc>
          <w:tcPr>
            <w:tcW w:w="824" w:type="dxa"/>
            <w:shd w:val="clear" w:color="auto" w:fill="DEEAF6" w:themeFill="accent1" w:themeFillTint="33"/>
            <w:vAlign w:val="center"/>
          </w:tcPr>
          <w:p w14:paraId="3AA5EF4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1</w:t>
            </w:r>
          </w:p>
        </w:tc>
        <w:tc>
          <w:tcPr>
            <w:tcW w:w="1444" w:type="dxa"/>
            <w:shd w:val="clear" w:color="auto" w:fill="DEEAF6" w:themeFill="accent1" w:themeFillTint="33"/>
            <w:vAlign w:val="center"/>
          </w:tcPr>
          <w:p w14:paraId="0AD9F70D"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418" w:type="dxa"/>
            <w:shd w:val="clear" w:color="auto" w:fill="DEEAF6" w:themeFill="accent1" w:themeFillTint="33"/>
            <w:vAlign w:val="center"/>
          </w:tcPr>
          <w:p w14:paraId="66E7694A"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10" w:type="dxa"/>
            <w:vAlign w:val="center"/>
          </w:tcPr>
          <w:p w14:paraId="56BF253B"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728" w:type="dxa"/>
          </w:tcPr>
          <w:p w14:paraId="7E04311B"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40" w:type="dxa"/>
            <w:vAlign w:val="center"/>
          </w:tcPr>
          <w:p w14:paraId="01DCCF80"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51" w:type="dxa"/>
            <w:vAlign w:val="center"/>
          </w:tcPr>
          <w:p w14:paraId="0F110A30"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105" w:type="dxa"/>
            <w:vAlign w:val="center"/>
          </w:tcPr>
          <w:p w14:paraId="1BC09F1F"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76" w:type="dxa"/>
            <w:vAlign w:val="center"/>
          </w:tcPr>
          <w:p w14:paraId="47A51DE9"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2276" w:type="dxa"/>
            <w:vAlign w:val="center"/>
          </w:tcPr>
          <w:p w14:paraId="24794F9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928" w:type="dxa"/>
          </w:tcPr>
          <w:p w14:paraId="5CEEDC19"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559" w:type="dxa"/>
            <w:vAlign w:val="center"/>
          </w:tcPr>
          <w:p w14:paraId="527E842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r>
      <w:tr w:rsidR="001A4F78" w:rsidRPr="00EB65E8" w14:paraId="1D09BF11" w14:textId="77777777" w:rsidTr="00173035">
        <w:tc>
          <w:tcPr>
            <w:tcW w:w="824" w:type="dxa"/>
            <w:shd w:val="clear" w:color="auto" w:fill="DEEAF6" w:themeFill="accent1" w:themeFillTint="33"/>
            <w:vAlign w:val="center"/>
          </w:tcPr>
          <w:p w14:paraId="7CA10343"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2</w:t>
            </w:r>
          </w:p>
        </w:tc>
        <w:tc>
          <w:tcPr>
            <w:tcW w:w="1444" w:type="dxa"/>
            <w:shd w:val="clear" w:color="auto" w:fill="DEEAF6" w:themeFill="accent1" w:themeFillTint="33"/>
            <w:vAlign w:val="center"/>
          </w:tcPr>
          <w:p w14:paraId="4807122F"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418" w:type="dxa"/>
            <w:shd w:val="clear" w:color="auto" w:fill="DEEAF6" w:themeFill="accent1" w:themeFillTint="33"/>
            <w:vAlign w:val="center"/>
          </w:tcPr>
          <w:p w14:paraId="52515DD4"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10" w:type="dxa"/>
            <w:vAlign w:val="center"/>
          </w:tcPr>
          <w:p w14:paraId="1689762B"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728" w:type="dxa"/>
          </w:tcPr>
          <w:p w14:paraId="32871588"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40" w:type="dxa"/>
            <w:vAlign w:val="center"/>
          </w:tcPr>
          <w:p w14:paraId="0351C7F2"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51" w:type="dxa"/>
            <w:vAlign w:val="center"/>
          </w:tcPr>
          <w:p w14:paraId="7370319A"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105" w:type="dxa"/>
            <w:vAlign w:val="center"/>
          </w:tcPr>
          <w:p w14:paraId="322BE4F9"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76" w:type="dxa"/>
            <w:vAlign w:val="center"/>
          </w:tcPr>
          <w:p w14:paraId="58FBF0F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2276" w:type="dxa"/>
            <w:vAlign w:val="center"/>
          </w:tcPr>
          <w:p w14:paraId="5457D24D"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928" w:type="dxa"/>
          </w:tcPr>
          <w:p w14:paraId="482BB202"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559" w:type="dxa"/>
            <w:vAlign w:val="center"/>
          </w:tcPr>
          <w:p w14:paraId="4F58CEFE"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r>
      <w:tr w:rsidR="001A4F78" w:rsidRPr="00EB65E8" w14:paraId="74B4C008" w14:textId="77777777" w:rsidTr="00173035">
        <w:tc>
          <w:tcPr>
            <w:tcW w:w="824" w:type="dxa"/>
            <w:shd w:val="clear" w:color="auto" w:fill="DEEAF6" w:themeFill="accent1" w:themeFillTint="33"/>
            <w:vAlign w:val="center"/>
          </w:tcPr>
          <w:p w14:paraId="19F3AC0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w:t>
            </w:r>
          </w:p>
        </w:tc>
        <w:tc>
          <w:tcPr>
            <w:tcW w:w="1444" w:type="dxa"/>
            <w:shd w:val="clear" w:color="auto" w:fill="DEEAF6" w:themeFill="accent1" w:themeFillTint="33"/>
            <w:vAlign w:val="center"/>
          </w:tcPr>
          <w:p w14:paraId="341B022D"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418" w:type="dxa"/>
            <w:shd w:val="clear" w:color="auto" w:fill="DEEAF6" w:themeFill="accent1" w:themeFillTint="33"/>
            <w:vAlign w:val="center"/>
          </w:tcPr>
          <w:p w14:paraId="0B2F415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10" w:type="dxa"/>
            <w:vAlign w:val="center"/>
          </w:tcPr>
          <w:p w14:paraId="2EEA0A36"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728" w:type="dxa"/>
          </w:tcPr>
          <w:p w14:paraId="63967329"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40" w:type="dxa"/>
            <w:vAlign w:val="center"/>
          </w:tcPr>
          <w:p w14:paraId="1DCCD8EB"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51" w:type="dxa"/>
            <w:vAlign w:val="center"/>
          </w:tcPr>
          <w:p w14:paraId="56AA6DD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105" w:type="dxa"/>
            <w:vAlign w:val="center"/>
          </w:tcPr>
          <w:p w14:paraId="63457D7E"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76" w:type="dxa"/>
            <w:vAlign w:val="center"/>
          </w:tcPr>
          <w:p w14:paraId="7BEC2C2D"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2276" w:type="dxa"/>
            <w:vAlign w:val="center"/>
          </w:tcPr>
          <w:p w14:paraId="2E67BFA6"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928" w:type="dxa"/>
          </w:tcPr>
          <w:p w14:paraId="5D2FFC2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559" w:type="dxa"/>
            <w:vAlign w:val="center"/>
          </w:tcPr>
          <w:p w14:paraId="14EA1F0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r>
      <w:tr w:rsidR="001A4F78" w:rsidRPr="00EB65E8" w14:paraId="7CECB984" w14:textId="77777777" w:rsidTr="00173035">
        <w:tc>
          <w:tcPr>
            <w:tcW w:w="824" w:type="dxa"/>
            <w:shd w:val="clear" w:color="auto" w:fill="DEEAF6" w:themeFill="accent1" w:themeFillTint="33"/>
            <w:vAlign w:val="center"/>
          </w:tcPr>
          <w:p w14:paraId="5537DC1B"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r w:rsidRPr="00EB65E8">
              <w:rPr>
                <w:rFonts w:ascii="Times New Roman" w:eastAsia="Times New Roman" w:hAnsi="Times New Roman" w:cs="Times New Roman"/>
                <w:noProof/>
                <w:sz w:val="20"/>
                <w:szCs w:val="20"/>
              </w:rPr>
              <w:t>n</w:t>
            </w:r>
          </w:p>
        </w:tc>
        <w:tc>
          <w:tcPr>
            <w:tcW w:w="1444" w:type="dxa"/>
            <w:shd w:val="clear" w:color="auto" w:fill="DEEAF6" w:themeFill="accent1" w:themeFillTint="33"/>
            <w:vAlign w:val="center"/>
          </w:tcPr>
          <w:p w14:paraId="5B03D28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418" w:type="dxa"/>
            <w:shd w:val="clear" w:color="auto" w:fill="DEEAF6" w:themeFill="accent1" w:themeFillTint="33"/>
            <w:vAlign w:val="center"/>
          </w:tcPr>
          <w:p w14:paraId="3CB11D6D"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10" w:type="dxa"/>
            <w:vAlign w:val="center"/>
          </w:tcPr>
          <w:p w14:paraId="71C2ACE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728" w:type="dxa"/>
          </w:tcPr>
          <w:p w14:paraId="546FC646"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840" w:type="dxa"/>
            <w:vAlign w:val="center"/>
          </w:tcPr>
          <w:p w14:paraId="5F1659A6"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51" w:type="dxa"/>
            <w:vAlign w:val="center"/>
          </w:tcPr>
          <w:p w14:paraId="777A168F"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105" w:type="dxa"/>
            <w:vAlign w:val="center"/>
          </w:tcPr>
          <w:p w14:paraId="21C06350"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276" w:type="dxa"/>
            <w:vAlign w:val="center"/>
          </w:tcPr>
          <w:p w14:paraId="6CAEB52C"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2276" w:type="dxa"/>
            <w:vAlign w:val="center"/>
          </w:tcPr>
          <w:p w14:paraId="05695345"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928" w:type="dxa"/>
          </w:tcPr>
          <w:p w14:paraId="34AC4254"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c>
          <w:tcPr>
            <w:tcW w:w="1559" w:type="dxa"/>
            <w:vAlign w:val="center"/>
          </w:tcPr>
          <w:p w14:paraId="4F795633" w14:textId="77777777" w:rsidR="00EB65E8" w:rsidRPr="00EB65E8" w:rsidRDefault="00EB65E8" w:rsidP="00EB65E8">
            <w:pPr>
              <w:spacing w:after="0" w:line="240" w:lineRule="auto"/>
              <w:jc w:val="center"/>
              <w:rPr>
                <w:rFonts w:ascii="Times New Roman" w:eastAsia="Times New Roman" w:hAnsi="Times New Roman" w:cs="Times New Roman"/>
                <w:noProof/>
                <w:sz w:val="20"/>
                <w:szCs w:val="20"/>
              </w:rPr>
            </w:pPr>
          </w:p>
        </w:tc>
      </w:tr>
    </w:tbl>
    <w:p w14:paraId="2095F8BD" w14:textId="77777777" w:rsidR="00EB65E8" w:rsidRPr="00EB65E8" w:rsidRDefault="00EB65E8" w:rsidP="00EB65E8">
      <w:pPr>
        <w:spacing w:after="0" w:line="240" w:lineRule="auto"/>
        <w:jc w:val="center"/>
        <w:rPr>
          <w:rFonts w:ascii="Times New Roman" w:eastAsia="Times New Roman" w:hAnsi="Times New Roman" w:cs="Times New Roman"/>
          <w:sz w:val="20"/>
          <w:szCs w:val="20"/>
        </w:rPr>
      </w:pPr>
    </w:p>
    <w:p w14:paraId="347420D6" w14:textId="77777777" w:rsidR="00EB65E8" w:rsidRPr="00EB65E8" w:rsidRDefault="00EB65E8" w:rsidP="00EB65E8">
      <w:pPr>
        <w:spacing w:after="0" w:line="240" w:lineRule="auto"/>
        <w:jc w:val="both"/>
        <w:rPr>
          <w:rFonts w:ascii="Times New Roman" w:eastAsia="Times New Roman" w:hAnsi="Times New Roman" w:cs="Times New Roman"/>
          <w:b/>
          <w:i/>
          <w:noProof/>
          <w:sz w:val="24"/>
          <w:szCs w:val="24"/>
          <w:u w:val="single"/>
        </w:rPr>
      </w:pPr>
      <w:r w:rsidRPr="00EB65E8">
        <w:rPr>
          <w:rFonts w:ascii="Times New Roman" w:eastAsia="Times New Roman" w:hAnsi="Times New Roman" w:cs="Times New Roman"/>
          <w:b/>
          <w:i/>
          <w:noProof/>
          <w:sz w:val="24"/>
          <w:szCs w:val="24"/>
          <w:u w:val="single"/>
        </w:rPr>
        <w:t>Ghi chú:</w:t>
      </w:r>
    </w:p>
    <w:p w14:paraId="661C71BB" w14:textId="77777777" w:rsidR="00EB65E8" w:rsidRPr="00EB65E8" w:rsidRDefault="00EB65E8" w:rsidP="00EB65E8">
      <w:pPr>
        <w:spacing w:after="0" w:line="240" w:lineRule="auto"/>
        <w:jc w:val="both"/>
        <w:rPr>
          <w:rFonts w:ascii="Times New Roman" w:eastAsia="Times New Roman" w:hAnsi="Times New Roman" w:cs="Times New Roman"/>
          <w:i/>
          <w:noProof/>
          <w:sz w:val="24"/>
          <w:szCs w:val="24"/>
        </w:rPr>
      </w:pPr>
      <w:r w:rsidRPr="00EB65E8">
        <w:rPr>
          <w:rFonts w:ascii="Times New Roman" w:eastAsia="Times New Roman" w:hAnsi="Times New Roman" w:cs="Times New Roman"/>
          <w:i/>
          <w:noProof/>
          <w:sz w:val="24"/>
          <w:szCs w:val="24"/>
        </w:rPr>
        <w:t>- Cột</w:t>
      </w:r>
      <w:r w:rsidRPr="00EB65E8">
        <w:rPr>
          <w:rFonts w:ascii="Times New Roman" w:eastAsia="Times New Roman" w:hAnsi="Times New Roman" w:cs="Times New Roman"/>
          <w:i/>
          <w:noProof/>
          <w:sz w:val="24"/>
          <w:szCs w:val="24"/>
          <w:lang w:val="vi-VN"/>
        </w:rPr>
        <w:t xml:space="preserve"> </w:t>
      </w:r>
      <w:r w:rsidRPr="00EB65E8">
        <w:rPr>
          <w:rFonts w:ascii="Times New Roman" w:eastAsia="Times New Roman" w:hAnsi="Times New Roman" w:cs="Times New Roman"/>
          <w:i/>
          <w:noProof/>
          <w:sz w:val="24"/>
          <w:szCs w:val="24"/>
        </w:rPr>
        <w:t xml:space="preserve">(1), (2), </w:t>
      </w:r>
      <w:r w:rsidRPr="00EB65E8">
        <w:rPr>
          <w:rFonts w:ascii="Times New Roman" w:eastAsia="Times New Roman" w:hAnsi="Times New Roman" w:cs="Times New Roman"/>
          <w:i/>
          <w:noProof/>
          <w:sz w:val="24"/>
          <w:szCs w:val="24"/>
          <w:lang w:val="vi-VN"/>
        </w:rPr>
        <w:t>(3)</w:t>
      </w:r>
      <w:r w:rsidRPr="00EB65E8">
        <w:rPr>
          <w:rFonts w:ascii="Times New Roman" w:eastAsia="Times New Roman" w:hAnsi="Times New Roman" w:cs="Times New Roman"/>
          <w:i/>
          <w:noProof/>
          <w:sz w:val="24"/>
          <w:szCs w:val="24"/>
        </w:rPr>
        <w:t>: N</w:t>
      </w:r>
      <w:r w:rsidRPr="00EB65E8">
        <w:rPr>
          <w:rFonts w:ascii="Times New Roman" w:eastAsia="Times New Roman" w:hAnsi="Times New Roman" w:cs="Times New Roman"/>
          <w:i/>
          <w:noProof/>
          <w:sz w:val="24"/>
          <w:szCs w:val="24"/>
          <w:lang w:val="vi-VN"/>
        </w:rPr>
        <w:t xml:space="preserve">hập các nội dung này theo </w:t>
      </w:r>
      <w:r w:rsidRPr="00EB65E8">
        <w:rPr>
          <w:rFonts w:ascii="Times New Roman" w:eastAsia="Times New Roman" w:hAnsi="Times New Roman" w:cs="Times New Roman"/>
          <w:i/>
          <w:noProof/>
          <w:sz w:val="24"/>
          <w:szCs w:val="24"/>
        </w:rPr>
        <w:t>nội dung trong E-HSMT.</w:t>
      </w:r>
    </w:p>
    <w:p w14:paraId="6C43F16A" w14:textId="77777777" w:rsidR="00EB65E8" w:rsidRPr="00EB65E8" w:rsidRDefault="00EB65E8" w:rsidP="00EB65E8">
      <w:pPr>
        <w:spacing w:after="0" w:line="240" w:lineRule="auto"/>
        <w:jc w:val="both"/>
        <w:rPr>
          <w:rFonts w:ascii="Times New Roman" w:eastAsia="Times New Roman" w:hAnsi="Times New Roman" w:cs="Times New Roman"/>
          <w:i/>
          <w:noProof/>
          <w:sz w:val="24"/>
          <w:szCs w:val="24"/>
        </w:rPr>
      </w:pPr>
      <w:r w:rsidRPr="00EB65E8">
        <w:rPr>
          <w:rFonts w:ascii="Times New Roman" w:eastAsia="Times New Roman" w:hAnsi="Times New Roman" w:cs="Times New Roman"/>
          <w:i/>
          <w:noProof/>
          <w:sz w:val="24"/>
          <w:szCs w:val="24"/>
        </w:rPr>
        <w:t xml:space="preserve">- Cột </w:t>
      </w:r>
      <w:r w:rsidRPr="00EB65E8">
        <w:rPr>
          <w:rFonts w:ascii="Times New Roman" w:eastAsia="Times New Roman" w:hAnsi="Times New Roman" w:cs="Times New Roman"/>
          <w:i/>
          <w:noProof/>
          <w:sz w:val="24"/>
          <w:szCs w:val="24"/>
          <w:lang w:val="vi-VN"/>
        </w:rPr>
        <w:t>(4)</w:t>
      </w:r>
      <w:r w:rsidRPr="00EB65E8">
        <w:rPr>
          <w:rFonts w:ascii="Times New Roman" w:eastAsia="Times New Roman" w:hAnsi="Times New Roman" w:cs="Times New Roman"/>
          <w:i/>
          <w:noProof/>
          <w:sz w:val="24"/>
          <w:szCs w:val="24"/>
        </w:rPr>
        <w:t>, (5), (6), (7), (8), (9), (10), (11): Ghi cụ thể theo hàng hóa dự thầu. (Trường hợp không có thông tin thì ghi “không áp dụng”).</w:t>
      </w:r>
    </w:p>
    <w:p w14:paraId="05917196" w14:textId="77777777" w:rsidR="00EB65E8" w:rsidRPr="00EB65E8" w:rsidRDefault="00EB65E8" w:rsidP="00EB65E8">
      <w:pPr>
        <w:spacing w:after="0" w:line="240" w:lineRule="auto"/>
        <w:jc w:val="both"/>
        <w:rPr>
          <w:rFonts w:ascii="Times New Roman" w:eastAsia="Times New Roman" w:hAnsi="Times New Roman" w:cs="Times New Roman"/>
          <w:i/>
          <w:noProof/>
          <w:sz w:val="24"/>
          <w:szCs w:val="24"/>
        </w:rPr>
      </w:pPr>
      <w:r w:rsidRPr="00EB65E8">
        <w:rPr>
          <w:rFonts w:ascii="Times New Roman" w:eastAsia="Times New Roman" w:hAnsi="Times New Roman" w:cs="Times New Roman"/>
          <w:i/>
          <w:noProof/>
          <w:sz w:val="24"/>
          <w:szCs w:val="24"/>
        </w:rPr>
        <w:t xml:space="preserve">- Cột (12): Nhà thầu phải nêu rõ số trang và tên file tài liệu chứa </w:t>
      </w:r>
      <w:r w:rsidRPr="00EB65E8">
        <w:rPr>
          <w:rFonts w:ascii="Times New Roman" w:eastAsia="Times New Roman" w:hAnsi="Times New Roman" w:cs="Times New Roman"/>
          <w:b/>
          <w:i/>
          <w:noProof/>
          <w:sz w:val="24"/>
          <w:szCs w:val="24"/>
        </w:rPr>
        <w:t>thông số kỹ thuật của hàng hóa dự thầu</w:t>
      </w:r>
      <w:r w:rsidRPr="00EB65E8">
        <w:rPr>
          <w:rFonts w:ascii="Times New Roman" w:eastAsia="Times New Roman" w:hAnsi="Times New Roman" w:cs="Times New Roman"/>
          <w:i/>
          <w:noProof/>
          <w:sz w:val="24"/>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37BF478F" w14:textId="77777777" w:rsidR="00EB65E8" w:rsidRPr="00EB65E8" w:rsidRDefault="00EB65E8" w:rsidP="00EB65E8">
      <w:pPr>
        <w:suppressAutoHyphens/>
        <w:spacing w:after="0" w:line="240" w:lineRule="auto"/>
        <w:rPr>
          <w:rFonts w:ascii="Times New Roman" w:eastAsia="Times New Roman" w:hAnsi="Times New Roman" w:cs="Times New Roman"/>
          <w:b/>
          <w:i/>
          <w:noProof/>
          <w:sz w:val="24"/>
          <w:szCs w:val="24"/>
          <w:lang w:val="es-ES"/>
        </w:rPr>
      </w:pPr>
    </w:p>
    <w:p w14:paraId="4028F80A"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nl-NL"/>
        </w:rPr>
      </w:pPr>
    </w:p>
    <w:p w14:paraId="7EC06F38"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lang w:val="nl-NL"/>
        </w:rPr>
        <w:sectPr w:rsidR="00EB65E8" w:rsidRPr="00EB65E8" w:rsidSect="00286281">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3777C482" w14:textId="77777777" w:rsidR="00EB65E8" w:rsidRPr="00EB65E8" w:rsidRDefault="00EB65E8" w:rsidP="00EB65E8">
      <w:pPr>
        <w:spacing w:after="0" w:line="240" w:lineRule="auto"/>
        <w:jc w:val="both"/>
        <w:rPr>
          <w:rFonts w:ascii="Times New Roman" w:eastAsia="Times New Roman" w:hAnsi="Times New Roman" w:cs="Times New Roman"/>
          <w:b/>
          <w:i/>
          <w:sz w:val="26"/>
          <w:szCs w:val="26"/>
          <w:lang w:val="nl-NL"/>
        </w:rPr>
      </w:pPr>
      <w:r w:rsidRPr="00EB65E8">
        <w:rPr>
          <w:rFonts w:ascii="Times New Roman" w:eastAsia="Times New Roman" w:hAnsi="Times New Roman" w:cs="Times New Roman"/>
          <w:b/>
          <w:i/>
          <w:sz w:val="26"/>
          <w:szCs w:val="26"/>
          <w:lang w:val="nl-NL"/>
        </w:rPr>
        <w:lastRenderedPageBreak/>
        <w:t>1.3.3. Nhà thầu phải nộp cùng E-HSDT bản cam kết như sau:</w:t>
      </w:r>
    </w:p>
    <w:p w14:paraId="08BA9129" w14:textId="77777777" w:rsidR="00EB65E8" w:rsidRPr="00EB65E8" w:rsidRDefault="00EB65E8" w:rsidP="00EB65E8">
      <w:pPr>
        <w:suppressAutoHyphens/>
        <w:spacing w:after="0" w:line="240" w:lineRule="auto"/>
        <w:ind w:firstLine="567"/>
        <w:jc w:val="center"/>
        <w:outlineLvl w:val="2"/>
        <w:rPr>
          <w:rFonts w:ascii="Times New Roman" w:eastAsia="Times New Roman" w:hAnsi="Times New Roman" w:cs="Times New Roman"/>
          <w:b/>
          <w:sz w:val="24"/>
          <w:szCs w:val="24"/>
        </w:rPr>
      </w:pPr>
      <w:bookmarkStart w:id="2" w:name="_Toc124326890"/>
    </w:p>
    <w:bookmarkEnd w:id="2"/>
    <w:p w14:paraId="785F94E1" w14:textId="77777777" w:rsidR="00EB65E8" w:rsidRPr="00EB65E8" w:rsidRDefault="00EB65E8" w:rsidP="00EB65E8">
      <w:pPr>
        <w:suppressAutoHyphens/>
        <w:spacing w:after="0" w:line="276" w:lineRule="auto"/>
        <w:ind w:firstLine="567"/>
        <w:jc w:val="center"/>
        <w:outlineLvl w:val="2"/>
        <w:rPr>
          <w:rFonts w:ascii="Times New Roman" w:eastAsia="Times New Roman" w:hAnsi="Times New Roman" w:cs="Times New Roman"/>
          <w:b/>
          <w:sz w:val="24"/>
          <w:szCs w:val="24"/>
        </w:rPr>
      </w:pPr>
      <w:r w:rsidRPr="00EB65E8">
        <w:rPr>
          <w:rFonts w:ascii="Times New Roman" w:eastAsia="Times New Roman" w:hAnsi="Times New Roman" w:cs="Times New Roman"/>
          <w:b/>
          <w:sz w:val="24"/>
          <w:szCs w:val="24"/>
        </w:rPr>
        <w:t xml:space="preserve">BẢN CAM KẾT </w:t>
      </w:r>
    </w:p>
    <w:p w14:paraId="05DF646B" w14:textId="77777777" w:rsidR="00EB65E8" w:rsidRPr="00EB65E8" w:rsidRDefault="00EB65E8" w:rsidP="00EB65E8">
      <w:pPr>
        <w:spacing w:after="0" w:line="276" w:lineRule="auto"/>
        <w:jc w:val="center"/>
        <w:rPr>
          <w:rFonts w:ascii="Times New Roman" w:eastAsia="Times New Roman" w:hAnsi="Times New Roman" w:cs="Times New Roman"/>
          <w:b/>
          <w:sz w:val="24"/>
          <w:szCs w:val="24"/>
        </w:rPr>
      </w:pPr>
    </w:p>
    <w:p w14:paraId="661C06E7" w14:textId="77777777" w:rsidR="00EB65E8" w:rsidRPr="00EB65E8" w:rsidRDefault="00EB65E8" w:rsidP="00EB65E8">
      <w:pPr>
        <w:tabs>
          <w:tab w:val="left" w:pos="0"/>
        </w:tabs>
        <w:spacing w:after="0" w:line="276" w:lineRule="auto"/>
        <w:rPr>
          <w:rFonts w:ascii="Times New Roman" w:eastAsia="Times New Roman" w:hAnsi="Times New Roman" w:cs="Times New Roman"/>
          <w:sz w:val="24"/>
          <w:szCs w:val="24"/>
          <w:lang w:val="vi-VN"/>
        </w:rPr>
      </w:pPr>
      <w:r w:rsidRPr="00EB65E8">
        <w:rPr>
          <w:rFonts w:ascii="Times New Roman" w:eastAsia="Times New Roman" w:hAnsi="Times New Roman" w:cs="Times New Roman"/>
          <w:sz w:val="24"/>
          <w:szCs w:val="24"/>
        </w:rPr>
        <w:t>Công ty: ……………………………………………………………</w:t>
      </w:r>
      <w:r w:rsidRPr="00EB65E8">
        <w:rPr>
          <w:rFonts w:ascii="Times New Roman" w:eastAsia="Times New Roman" w:hAnsi="Times New Roman" w:cs="Times New Roman"/>
          <w:sz w:val="24"/>
          <w:szCs w:val="24"/>
          <w:lang w:val="vi-VN"/>
        </w:rPr>
        <w:t>......................</w:t>
      </w:r>
    </w:p>
    <w:p w14:paraId="5C41C84C" w14:textId="77777777" w:rsidR="00EB65E8" w:rsidRPr="00EB65E8" w:rsidRDefault="00EB65E8" w:rsidP="00EB65E8">
      <w:pPr>
        <w:tabs>
          <w:tab w:val="left" w:pos="0"/>
        </w:tabs>
        <w:spacing w:after="0" w:line="276" w:lineRule="auto"/>
        <w:rPr>
          <w:rFonts w:ascii="Times New Roman" w:eastAsia="Times New Roman" w:hAnsi="Times New Roman" w:cs="Times New Roman"/>
          <w:sz w:val="24"/>
          <w:szCs w:val="24"/>
        </w:rPr>
      </w:pPr>
      <w:r w:rsidRPr="00EB65E8">
        <w:rPr>
          <w:rFonts w:ascii="Times New Roman" w:eastAsia="Times New Roman" w:hAnsi="Times New Roman" w:cs="Times New Roman"/>
          <w:sz w:val="24"/>
          <w:szCs w:val="24"/>
        </w:rPr>
        <w:t>Số đăng ký kinh doanh:……………………………………………………………</w:t>
      </w:r>
    </w:p>
    <w:p w14:paraId="62ADF987" w14:textId="77777777" w:rsidR="00EB65E8" w:rsidRPr="00EB65E8" w:rsidRDefault="00EB65E8" w:rsidP="00EB65E8">
      <w:pPr>
        <w:tabs>
          <w:tab w:val="left" w:pos="0"/>
        </w:tabs>
        <w:spacing w:after="0" w:line="276" w:lineRule="auto"/>
        <w:rPr>
          <w:rFonts w:ascii="Times New Roman" w:eastAsia="Times New Roman" w:hAnsi="Times New Roman" w:cs="Times New Roman"/>
          <w:sz w:val="24"/>
          <w:szCs w:val="24"/>
        </w:rPr>
      </w:pPr>
      <w:r w:rsidRPr="00EB65E8">
        <w:rPr>
          <w:rFonts w:ascii="Times New Roman" w:eastAsia="Times New Roman" w:hAnsi="Times New Roman" w:cs="Times New Roman"/>
          <w:sz w:val="24"/>
          <w:szCs w:val="24"/>
        </w:rPr>
        <w:t>Số điện thoại liên hệ: ……………………………………………………………</w:t>
      </w:r>
    </w:p>
    <w:p w14:paraId="474A9BCA" w14:textId="77777777" w:rsidR="00EB65E8" w:rsidRPr="00EB65E8" w:rsidRDefault="00EB65E8" w:rsidP="00EB65E8">
      <w:pPr>
        <w:tabs>
          <w:tab w:val="left" w:pos="0"/>
        </w:tabs>
        <w:spacing w:after="0" w:line="276" w:lineRule="auto"/>
        <w:jc w:val="both"/>
        <w:rPr>
          <w:rFonts w:ascii="Times New Roman" w:eastAsia="Times New Roman" w:hAnsi="Times New Roman" w:cs="Times New Roman"/>
          <w:sz w:val="24"/>
          <w:szCs w:val="24"/>
          <w:lang w:val="pt-BR"/>
        </w:rPr>
      </w:pPr>
      <w:r w:rsidRPr="00EB65E8">
        <w:rPr>
          <w:rFonts w:ascii="Times New Roman" w:eastAsia="Times New Roman" w:hAnsi="Times New Roman" w:cs="Times New Roman"/>
          <w:sz w:val="24"/>
          <w:szCs w:val="24"/>
          <w:lang w:val="pt-BR"/>
        </w:rPr>
        <w:t>Công ty chúng tôi tham dự gói thầu ……………………… của ………………Chúng tôi xin cam kết về quá trình dự thầu và công tác cung ứng hàng hoá (nếu trúng thầu) cho Chủ đầu tư đáp ứng những điều kiện sau:</w:t>
      </w:r>
    </w:p>
    <w:p w14:paraId="144775DE" w14:textId="77777777" w:rsidR="00EB65E8" w:rsidRPr="00EB65E8" w:rsidRDefault="00EB65E8" w:rsidP="00EB65E8">
      <w:pPr>
        <w:tabs>
          <w:tab w:val="left" w:pos="0"/>
        </w:tabs>
        <w:spacing w:after="0" w:line="276" w:lineRule="auto"/>
        <w:jc w:val="both"/>
        <w:rPr>
          <w:rFonts w:ascii="Times New Roman" w:eastAsia="Times New Roman" w:hAnsi="Times New Roman" w:cs="Times New Roman"/>
          <w:sz w:val="24"/>
          <w:szCs w:val="24"/>
          <w:lang w:val="pt-BR"/>
        </w:rPr>
      </w:pPr>
      <w:r w:rsidRPr="00EB65E8">
        <w:rPr>
          <w:rFonts w:ascii="Times New Roman" w:eastAsia="Times New Roman" w:hAnsi="Times New Roman" w:cs="Times New Roman"/>
          <w:b/>
          <w:bCs/>
          <w:sz w:val="24"/>
          <w:szCs w:val="24"/>
          <w:lang w:val="pt-BR"/>
        </w:rPr>
        <w:t>I. Về E-HSDT</w:t>
      </w:r>
      <w:r w:rsidRPr="00EB65E8">
        <w:rPr>
          <w:rFonts w:ascii="Times New Roman" w:eastAsia="Times New Roman" w:hAnsi="Times New Roman" w:cs="Times New Roman"/>
          <w:sz w:val="24"/>
          <w:szCs w:val="24"/>
          <w:lang w:val="pt-BR"/>
        </w:rPr>
        <w:t xml:space="preserve">: </w:t>
      </w:r>
    </w:p>
    <w:p w14:paraId="14818531"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pt-BR"/>
        </w:rPr>
        <w:t xml:space="preserve">Nhà </w:t>
      </w:r>
      <w:r w:rsidRPr="00EB65E8">
        <w:rPr>
          <w:rFonts w:ascii="Times New Roman" w:eastAsia="Times New Roman" w:hAnsi="Times New Roman" w:cs="Times New Roman"/>
          <w:sz w:val="24"/>
          <w:szCs w:val="24"/>
          <w:lang w:val="fr-FR" w:eastAsia="ja-JP"/>
        </w:rPr>
        <w:t>thầu cam kết các thông tin trong E-HSDT mà chúng tôi cung cấp là chính xác, hợp pháp và chịu hoàn toàn trách nhiệm trước pháp luật về các nội dung các thông tin trên.</w:t>
      </w:r>
    </w:p>
    <w:p w14:paraId="47DF5D7A"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 xml:space="preserve">Tất cả các hàng hoá chào thầu đều đảm bảo tiêu chuẩn chất lượng đã đăng ký và được cơ quan có thẩm quyền cấp phép lưu hành. </w:t>
      </w:r>
    </w:p>
    <w:p w14:paraId="5F11DF65"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4BB409DF" w14:textId="77777777" w:rsidR="00EB65E8" w:rsidRPr="00EB65E8" w:rsidRDefault="00EB65E8" w:rsidP="00EB65E8">
      <w:pPr>
        <w:tabs>
          <w:tab w:val="left" w:pos="0"/>
        </w:tabs>
        <w:spacing w:after="0" w:line="276" w:lineRule="auto"/>
        <w:jc w:val="both"/>
        <w:rPr>
          <w:rFonts w:ascii="Times New Roman" w:eastAsia="Times New Roman" w:hAnsi="Times New Roman" w:cs="Times New Roman"/>
          <w:b/>
          <w:bCs/>
          <w:sz w:val="24"/>
          <w:szCs w:val="24"/>
          <w:lang w:val="pt-BR"/>
        </w:rPr>
      </w:pPr>
      <w:r w:rsidRPr="00EB65E8">
        <w:rPr>
          <w:rFonts w:ascii="Times New Roman" w:eastAsia="Times New Roman" w:hAnsi="Times New Roman" w:cs="Times New Roman"/>
          <w:b/>
          <w:bCs/>
          <w:sz w:val="24"/>
          <w:szCs w:val="24"/>
          <w:lang w:val="pt-BR"/>
        </w:rPr>
        <w:t xml:space="preserve">II. Về cung ứng hàng hoá: </w:t>
      </w:r>
    </w:p>
    <w:p w14:paraId="54EB843B"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 xml:space="preserve">Hàng hoá cung ứng phải đảm bảo đúng theo </w:t>
      </w:r>
      <w:r w:rsidRPr="00EB65E8">
        <w:rPr>
          <w:rFonts w:ascii="Times New Roman" w:eastAsia="Times New Roman" w:hAnsi="Times New Roman" w:cs="Times New Roman"/>
          <w:sz w:val="24"/>
          <w:szCs w:val="24"/>
          <w:lang w:val="pt-BR"/>
        </w:rPr>
        <w:t>E-HSDT</w:t>
      </w:r>
      <w:r w:rsidRPr="00EB65E8">
        <w:rPr>
          <w:rFonts w:ascii="Times New Roman" w:eastAsia="Times New Roman" w:hAnsi="Times New Roman" w:cs="Times New Roman"/>
          <w:sz w:val="24"/>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EB65E8">
        <w:rPr>
          <w:rFonts w:ascii="Times New Roman" w:eastAsia="Times New Roman" w:hAnsi="Times New Roman" w:cs="Times New Roman"/>
          <w:sz w:val="24"/>
          <w:szCs w:val="24"/>
          <w:lang w:val="vi-VN" w:eastAsia="ja-JP"/>
        </w:rPr>
        <w:t>Chủ đầu tư</w:t>
      </w:r>
      <w:r w:rsidRPr="00EB65E8">
        <w:rPr>
          <w:rFonts w:ascii="Times New Roman" w:eastAsia="Times New Roman" w:hAnsi="Times New Roman" w:cs="Times New Roman"/>
          <w:sz w:val="24"/>
          <w:szCs w:val="24"/>
          <w:lang w:val="fr-FR" w:eastAsia="ja-JP"/>
        </w:rPr>
        <w:t xml:space="preserve"> xem xét. </w:t>
      </w:r>
    </w:p>
    <w:p w14:paraId="6A3CAB90" w14:textId="77777777" w:rsidR="00EB65E8" w:rsidRPr="00EB65E8" w:rsidRDefault="00EB65E8" w:rsidP="00EB65E8">
      <w:pPr>
        <w:numPr>
          <w:ilvl w:val="0"/>
          <w:numId w:val="1"/>
        </w:numPr>
        <w:suppressAutoHyphens/>
        <w:spacing w:after="0" w:line="276" w:lineRule="auto"/>
        <w:ind w:left="0" w:right="-72" w:firstLine="567"/>
        <w:jc w:val="both"/>
        <w:rPr>
          <w:rFonts w:ascii="Times New Roman" w:eastAsia="Times New Roman" w:hAnsi="Times New Roman" w:cs="Times New Roman"/>
          <w:sz w:val="24"/>
          <w:szCs w:val="24"/>
          <w:lang w:val="pt-BR" w:eastAsia="ja-JP"/>
        </w:rPr>
      </w:pPr>
      <w:r w:rsidRPr="00EB65E8">
        <w:rPr>
          <w:rFonts w:ascii="Times New Roman" w:eastAsia="Times New Roman" w:hAnsi="Times New Roman" w:cs="Times New Roman"/>
          <w:sz w:val="24"/>
          <w:szCs w:val="24"/>
          <w:lang w:val="pt-BR" w:eastAsia="ja-JP"/>
        </w:rPr>
        <w:t>Hàng hóa cung ứng đủ điều kiện lưu hành theo quy định của pháp luật hiện hành.</w:t>
      </w:r>
    </w:p>
    <w:p w14:paraId="348EB53D" w14:textId="77777777" w:rsidR="00EB65E8" w:rsidRPr="00EB65E8" w:rsidRDefault="00EB65E8" w:rsidP="00EB65E8">
      <w:pPr>
        <w:numPr>
          <w:ilvl w:val="0"/>
          <w:numId w:val="1"/>
        </w:numPr>
        <w:suppressAutoHyphens/>
        <w:spacing w:after="0" w:line="276" w:lineRule="auto"/>
        <w:ind w:left="0" w:right="-72" w:firstLine="567"/>
        <w:jc w:val="both"/>
        <w:rPr>
          <w:rFonts w:ascii="Times New Roman" w:eastAsia="Times New Roman" w:hAnsi="Times New Roman" w:cs="Times New Roman"/>
          <w:spacing w:val="-4"/>
          <w:sz w:val="24"/>
          <w:szCs w:val="24"/>
          <w:lang w:val="fr-FR" w:eastAsia="ja-JP"/>
        </w:rPr>
      </w:pPr>
      <w:r w:rsidRPr="00EB65E8">
        <w:rPr>
          <w:rFonts w:ascii="Times New Roman" w:eastAsia="Times New Roman" w:hAnsi="Times New Roman" w:cs="Times New Roman"/>
          <w:spacing w:val="-4"/>
          <w:sz w:val="24"/>
          <w:szCs w:val="24"/>
          <w:lang w:val="fr-FR" w:eastAsia="ja-JP"/>
        </w:rPr>
        <w:t xml:space="preserve">Hàng hoá mới 100%, chưa sử dụng, các kiện hàng nguyên trước khi giao nhận đều phải còn nguyên đai, nguyên kiện. </w:t>
      </w:r>
    </w:p>
    <w:p w14:paraId="61CBBDA6"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pacing w:val="-4"/>
          <w:sz w:val="24"/>
          <w:szCs w:val="24"/>
          <w:lang w:val="fr-FR" w:eastAsia="ja-JP"/>
        </w:rPr>
        <w:t xml:space="preserve">Cam kết cung cấp đầy đủ danh mục, dụng cụ chuyên dụng… cần thiết để đảm bảo sự vận hành đúng quy cách </w:t>
      </w:r>
      <w:r w:rsidRPr="00EB65E8">
        <w:rPr>
          <w:rFonts w:ascii="Times New Roman" w:eastAsia="Times New Roman" w:hAnsi="Times New Roman" w:cs="Times New Roman"/>
          <w:sz w:val="24"/>
          <w:szCs w:val="24"/>
          <w:lang w:val="fr-FR" w:eastAsia="ja-JP"/>
        </w:rPr>
        <w:t>và liên tục của hàng hóa sau khi đưa vào sử dụng;</w:t>
      </w:r>
    </w:p>
    <w:p w14:paraId="60377700"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4ADD11D7"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1E0252F4" w14:textId="77777777" w:rsidR="00EB65E8" w:rsidRPr="00EB65E8" w:rsidRDefault="00EB65E8" w:rsidP="00EB65E8">
      <w:pPr>
        <w:tabs>
          <w:tab w:val="left" w:pos="0"/>
          <w:tab w:val="left" w:pos="284"/>
        </w:tabs>
        <w:spacing w:after="0" w:line="276" w:lineRule="auto"/>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14:paraId="5A35190E"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fr-FR" w:eastAsia="ja-JP"/>
        </w:rPr>
      </w:pPr>
      <w:r w:rsidRPr="00EB65E8">
        <w:rPr>
          <w:rFonts w:ascii="Times New Roman" w:eastAsia="Times New Roman" w:hAnsi="Times New Roman" w:cs="Times New Roman"/>
          <w:sz w:val="24"/>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420F13B0" w14:textId="77777777" w:rsidR="00EB65E8" w:rsidRPr="00EB65E8" w:rsidRDefault="00EB65E8" w:rsidP="00EB65E8">
      <w:pPr>
        <w:numPr>
          <w:ilvl w:val="0"/>
          <w:numId w:val="1"/>
        </w:numPr>
        <w:tabs>
          <w:tab w:val="left" w:pos="0"/>
          <w:tab w:val="left" w:pos="284"/>
        </w:tabs>
        <w:spacing w:after="0" w:line="276" w:lineRule="auto"/>
        <w:ind w:left="0" w:firstLine="567"/>
        <w:contextualSpacing/>
        <w:jc w:val="both"/>
        <w:rPr>
          <w:rFonts w:ascii="Times New Roman" w:eastAsia="Times New Roman" w:hAnsi="Times New Roman" w:cs="Times New Roman"/>
          <w:sz w:val="24"/>
          <w:szCs w:val="24"/>
          <w:lang w:val="pt-BR" w:eastAsia="ja-JP"/>
        </w:rPr>
      </w:pPr>
      <w:r w:rsidRPr="00EB65E8">
        <w:rPr>
          <w:rFonts w:ascii="Times New Roman" w:eastAsia="Times New Roman" w:hAnsi="Times New Roman" w:cs="Times New Roman"/>
          <w:sz w:val="24"/>
          <w:szCs w:val="24"/>
          <w:lang w:val="fr-FR" w:eastAsia="ja-JP"/>
        </w:rPr>
        <w:t>Trên</w:t>
      </w:r>
      <w:r w:rsidRPr="00EB65E8">
        <w:rPr>
          <w:rFonts w:ascii="Times New Roman" w:eastAsia="Times New Roman" w:hAnsi="Times New Roman" w:cs="Times New Roman"/>
          <w:sz w:val="24"/>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w:t>
      </w:r>
      <w:r w:rsidRPr="00EB65E8">
        <w:rPr>
          <w:rFonts w:ascii="Times New Roman" w:eastAsia="Times New Roman" w:hAnsi="Times New Roman" w:cs="Times New Roman"/>
          <w:sz w:val="24"/>
          <w:szCs w:val="24"/>
          <w:lang w:val="pt-BR" w:eastAsia="ja-JP"/>
        </w:rPr>
        <w:lastRenderedPageBreak/>
        <w:t>theo các nội dung cam kết trên, chúng tôi xin chịu hoàn toàn trách nhiệm, xin ra khỏi gói thầu và chấp nhận bị xử lý như đã quy định trong E-HSMT và pháp luật về đấu thầu.</w:t>
      </w:r>
    </w:p>
    <w:p w14:paraId="57732C77" w14:textId="77777777" w:rsidR="00EB65E8" w:rsidRPr="00EB65E8" w:rsidRDefault="00EB65E8" w:rsidP="00EB65E8">
      <w:pPr>
        <w:tabs>
          <w:tab w:val="left" w:pos="0"/>
        </w:tabs>
        <w:spacing w:after="0" w:line="240" w:lineRule="auto"/>
        <w:jc w:val="both"/>
        <w:rPr>
          <w:rFonts w:ascii="Times New Roman" w:eastAsia="Times New Roman" w:hAnsi="Times New Roman" w:cs="Times New Roman"/>
          <w:sz w:val="24"/>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1A4F78" w:rsidRPr="00EB65E8" w14:paraId="39DCA088" w14:textId="77777777" w:rsidTr="00173035">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787DAFC9" w14:textId="77777777" w:rsidR="00EB65E8" w:rsidRPr="00EB65E8" w:rsidRDefault="00EB65E8" w:rsidP="00EB65E8">
            <w:pPr>
              <w:tabs>
                <w:tab w:val="left" w:pos="0"/>
              </w:tabs>
              <w:spacing w:after="0" w:line="240" w:lineRule="auto"/>
              <w:jc w:val="both"/>
              <w:rPr>
                <w:rFonts w:ascii="Times New Roman" w:eastAsia="Times New Roman" w:hAnsi="Times New Roman" w:cs="Times New Roman"/>
                <w:sz w:val="24"/>
                <w:szCs w:val="24"/>
                <w:lang w:val="pt-BR"/>
              </w:rPr>
            </w:pPr>
            <w:r w:rsidRPr="00EB65E8">
              <w:rPr>
                <w:rFonts w:ascii="Times New Roman" w:eastAsia="Times New Roman" w:hAnsi="Times New Roman" w:cs="Times New Roman"/>
                <w:sz w:val="24"/>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08CDBB11" w14:textId="77777777" w:rsidR="00EB65E8" w:rsidRPr="00EB65E8" w:rsidRDefault="00EB65E8" w:rsidP="00EB65E8">
            <w:pPr>
              <w:tabs>
                <w:tab w:val="left" w:pos="0"/>
              </w:tabs>
              <w:spacing w:after="0" w:line="240" w:lineRule="auto"/>
              <w:jc w:val="center"/>
              <w:rPr>
                <w:rFonts w:ascii="Times New Roman" w:eastAsia="Times New Roman" w:hAnsi="Times New Roman" w:cs="Times New Roman"/>
                <w:i/>
                <w:iCs/>
                <w:sz w:val="24"/>
                <w:szCs w:val="24"/>
                <w:lang w:val="pt-BR"/>
              </w:rPr>
            </w:pPr>
            <w:r w:rsidRPr="00EB65E8">
              <w:rPr>
                <w:rFonts w:ascii="Times New Roman" w:eastAsia="Times New Roman" w:hAnsi="Times New Roman" w:cs="Times New Roman"/>
                <w:i/>
                <w:iCs/>
                <w:sz w:val="24"/>
                <w:szCs w:val="24"/>
                <w:lang w:val="pt-BR"/>
              </w:rPr>
              <w:t>___</w:t>
            </w:r>
            <w:r w:rsidRPr="00EB65E8">
              <w:rPr>
                <w:rFonts w:ascii="Times New Roman" w:eastAsia="Times New Roman" w:hAnsi="Times New Roman" w:cs="Times New Roman"/>
                <w:i/>
                <w:iCs/>
                <w:sz w:val="24"/>
                <w:szCs w:val="24"/>
                <w:lang w:val="vi-VN"/>
              </w:rPr>
              <w:t>, ngày</w:t>
            </w:r>
            <w:r w:rsidRPr="00EB65E8">
              <w:rPr>
                <w:rFonts w:ascii="Times New Roman" w:eastAsia="Times New Roman" w:hAnsi="Times New Roman" w:cs="Times New Roman"/>
                <w:i/>
                <w:iCs/>
                <w:sz w:val="24"/>
                <w:szCs w:val="24"/>
                <w:lang w:val="pt-BR"/>
              </w:rPr>
              <w:t xml:space="preserve"> __ </w:t>
            </w:r>
            <w:r w:rsidRPr="00EB65E8">
              <w:rPr>
                <w:rFonts w:ascii="Times New Roman" w:eastAsia="Times New Roman" w:hAnsi="Times New Roman" w:cs="Times New Roman"/>
                <w:i/>
                <w:iCs/>
                <w:sz w:val="24"/>
                <w:szCs w:val="24"/>
                <w:lang w:val="vi-VN"/>
              </w:rPr>
              <w:t xml:space="preserve">tháng </w:t>
            </w:r>
            <w:r w:rsidRPr="00EB65E8">
              <w:rPr>
                <w:rFonts w:ascii="Times New Roman" w:eastAsia="Times New Roman" w:hAnsi="Times New Roman" w:cs="Times New Roman"/>
                <w:i/>
                <w:iCs/>
                <w:sz w:val="24"/>
                <w:szCs w:val="24"/>
                <w:lang w:val="pt-BR"/>
              </w:rPr>
              <w:t xml:space="preserve">__ </w:t>
            </w:r>
            <w:r w:rsidRPr="00EB65E8">
              <w:rPr>
                <w:rFonts w:ascii="Times New Roman" w:eastAsia="Times New Roman" w:hAnsi="Times New Roman" w:cs="Times New Roman"/>
                <w:i/>
                <w:iCs/>
                <w:sz w:val="24"/>
                <w:szCs w:val="24"/>
                <w:lang w:val="vi-VN"/>
              </w:rPr>
              <w:t>năm</w:t>
            </w:r>
            <w:r w:rsidRPr="00EB65E8">
              <w:rPr>
                <w:rFonts w:ascii="Times New Roman" w:eastAsia="Times New Roman" w:hAnsi="Times New Roman" w:cs="Times New Roman"/>
                <w:i/>
                <w:iCs/>
                <w:sz w:val="24"/>
                <w:szCs w:val="24"/>
                <w:lang w:val="pt-BR"/>
              </w:rPr>
              <w:t>__</w:t>
            </w:r>
          </w:p>
          <w:p w14:paraId="578E3731" w14:textId="77777777" w:rsidR="00EB65E8" w:rsidRPr="00EB65E8" w:rsidRDefault="00EB65E8" w:rsidP="00EB65E8">
            <w:pPr>
              <w:tabs>
                <w:tab w:val="left" w:pos="0"/>
              </w:tabs>
              <w:spacing w:after="0" w:line="240" w:lineRule="auto"/>
              <w:jc w:val="center"/>
              <w:rPr>
                <w:rFonts w:ascii="Times New Roman" w:eastAsia="Times New Roman" w:hAnsi="Times New Roman" w:cs="Times New Roman"/>
                <w:b/>
                <w:bCs/>
                <w:sz w:val="24"/>
                <w:szCs w:val="24"/>
                <w:lang w:val="vi-VN"/>
              </w:rPr>
            </w:pPr>
            <w:r w:rsidRPr="00EB65E8">
              <w:rPr>
                <w:rFonts w:ascii="Times New Roman" w:eastAsia="Times New Roman" w:hAnsi="Times New Roman" w:cs="Times New Roman"/>
                <w:b/>
                <w:bCs/>
                <w:sz w:val="24"/>
                <w:szCs w:val="24"/>
                <w:lang w:val="vi-VN"/>
              </w:rPr>
              <w:t>ĐẠI DIỆN CÔNG TY</w:t>
            </w:r>
          </w:p>
          <w:p w14:paraId="05E83F9A" w14:textId="77777777" w:rsidR="00EB65E8" w:rsidRPr="00EB65E8" w:rsidRDefault="00EB65E8" w:rsidP="00EB65E8">
            <w:pPr>
              <w:tabs>
                <w:tab w:val="left" w:pos="0"/>
              </w:tabs>
              <w:spacing w:after="0" w:line="240" w:lineRule="auto"/>
              <w:jc w:val="center"/>
              <w:rPr>
                <w:rFonts w:ascii="Times New Roman" w:eastAsia="Times New Roman" w:hAnsi="Times New Roman" w:cs="Times New Roman"/>
                <w:sz w:val="24"/>
                <w:szCs w:val="24"/>
                <w:lang w:val="vi-VN"/>
              </w:rPr>
            </w:pPr>
            <w:r w:rsidRPr="00EB65E8">
              <w:rPr>
                <w:rFonts w:ascii="Times New Roman" w:eastAsia="Times New Roman" w:hAnsi="Times New Roman" w:cs="Times New Roman"/>
                <w:i/>
                <w:iCs/>
                <w:sz w:val="24"/>
                <w:szCs w:val="24"/>
                <w:lang w:val="vi-VN"/>
              </w:rPr>
              <w:t>[Ký, ghi rõ họ tên và đóng dấu]</w:t>
            </w:r>
          </w:p>
        </w:tc>
      </w:tr>
    </w:tbl>
    <w:p w14:paraId="600753FA" w14:textId="77777777" w:rsidR="00EB65E8" w:rsidRPr="00EB65E8" w:rsidRDefault="00EB65E8" w:rsidP="00EB65E8">
      <w:pPr>
        <w:spacing w:after="0" w:line="240" w:lineRule="auto"/>
        <w:ind w:firstLine="709"/>
        <w:jc w:val="both"/>
        <w:rPr>
          <w:rFonts w:ascii="Times New Roman" w:eastAsia="Times New Roman" w:hAnsi="Times New Roman" w:cs="Times New Roman"/>
          <w:b/>
          <w:i/>
          <w:sz w:val="26"/>
          <w:szCs w:val="26"/>
          <w:lang w:val="nl-NL"/>
        </w:rPr>
        <w:sectPr w:rsidR="00EB65E8" w:rsidRPr="00EB65E8" w:rsidSect="00286281">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142D7E1B" w14:textId="77777777" w:rsidR="00EB65E8" w:rsidRPr="00EB65E8" w:rsidRDefault="00EB65E8" w:rsidP="00EB65E8">
      <w:pPr>
        <w:spacing w:after="0" w:line="240" w:lineRule="auto"/>
        <w:ind w:firstLine="709"/>
        <w:rPr>
          <w:rFonts w:ascii="Times New Roman" w:eastAsia="Times New Roman" w:hAnsi="Times New Roman" w:cs="Times New Roman"/>
          <w:b/>
          <w:sz w:val="26"/>
          <w:szCs w:val="26"/>
          <w:lang w:val="nl-NL"/>
        </w:rPr>
      </w:pPr>
      <w:r w:rsidRPr="00EB65E8">
        <w:rPr>
          <w:rFonts w:ascii="Times New Roman" w:eastAsia="Times New Roman" w:hAnsi="Times New Roman" w:cs="Times New Roman"/>
          <w:b/>
          <w:sz w:val="26"/>
          <w:szCs w:val="26"/>
          <w:lang w:val="nl-NL"/>
        </w:rPr>
        <w:lastRenderedPageBreak/>
        <w:t>Mục 2. Bản vẽ: Không có</w:t>
      </w:r>
    </w:p>
    <w:p w14:paraId="304B94F2" w14:textId="77777777" w:rsidR="00EB65E8" w:rsidRPr="00EB65E8" w:rsidRDefault="00EB65E8" w:rsidP="00EB65E8">
      <w:pPr>
        <w:widowControl w:val="0"/>
        <w:spacing w:after="0" w:line="240" w:lineRule="auto"/>
        <w:ind w:firstLine="709"/>
        <w:rPr>
          <w:rFonts w:ascii="Times New Roman" w:eastAsia="Times New Roman" w:hAnsi="Times New Roman" w:cs="Times New Roman"/>
          <w:b/>
          <w:sz w:val="26"/>
          <w:szCs w:val="26"/>
        </w:rPr>
      </w:pPr>
      <w:r w:rsidRPr="00EB65E8">
        <w:rPr>
          <w:rFonts w:ascii="Times New Roman" w:eastAsia="Times New Roman" w:hAnsi="Times New Roman" w:cs="Times New Roman"/>
          <w:b/>
          <w:sz w:val="26"/>
          <w:szCs w:val="26"/>
        </w:rPr>
        <w:t>Mục 3. Kiểm tra và thử nghiệm</w:t>
      </w:r>
    </w:p>
    <w:p w14:paraId="5E9DD829" w14:textId="77777777" w:rsidR="00EB65E8" w:rsidRPr="00EB65E8" w:rsidRDefault="00EB65E8" w:rsidP="00EB65E8">
      <w:pPr>
        <w:spacing w:after="0" w:line="240" w:lineRule="auto"/>
        <w:ind w:firstLine="709"/>
        <w:jc w:val="both"/>
        <w:rPr>
          <w:rFonts w:ascii="Times New Roman" w:eastAsia="Times New Roman" w:hAnsi="Times New Roman" w:cs="Times New Roman"/>
          <w:sz w:val="26"/>
          <w:szCs w:val="26"/>
        </w:rPr>
      </w:pPr>
      <w:r w:rsidRPr="00EB65E8">
        <w:rPr>
          <w:rFonts w:ascii="Times New Roman" w:eastAsia="Times New Roman" w:hAnsi="Times New Roman" w:cs="Times New Roman"/>
          <w:sz w:val="26"/>
          <w:szCs w:val="26"/>
        </w:rPr>
        <w:t xml:space="preserve">Hàng hóa nhà thầu cung cấp trước khi được nghiệm thu sẽ được Chủ đầu tư kiểm tra tại </w:t>
      </w:r>
      <w:r w:rsidRPr="00EB65E8">
        <w:rPr>
          <w:rFonts w:ascii="Times New Roman" w:eastAsia="Times New Roman" w:hAnsi="Times New Roman" w:cs="Times New Roman"/>
          <w:iCs/>
          <w:sz w:val="26"/>
          <w:szCs w:val="26"/>
          <w:lang w:val="vi-VN"/>
        </w:rPr>
        <w:t>Bệnh viện Đa khoa Hải Dương</w:t>
      </w:r>
      <w:r w:rsidRPr="00EB65E8">
        <w:rPr>
          <w:rFonts w:ascii="Times New Roman" w:eastAsia="Times New Roman" w:hAnsi="Times New Roman" w:cs="Times New Roman"/>
          <w:sz w:val="26"/>
          <w:szCs w:val="26"/>
        </w:rPr>
        <w:t>. Bất cứ hàng hóa nào không đảm bảo chất lượng theo Hợp đồng sẽ không được nghiệm thu.</w:t>
      </w:r>
    </w:p>
    <w:p w14:paraId="687A8B56"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40405868"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Chủ đầu tư sẽ tiến hành kiểm tra giám sát theo các bước sau (nếu có):</w:t>
      </w:r>
    </w:p>
    <w:p w14:paraId="7F8C5269"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Kiểm tra các tài liệu kỹ thuật, tiêu chuẩn, quy phạm liên quan đến lắp đặt hàng hóa.</w:t>
      </w:r>
    </w:p>
    <w:p w14:paraId="45429508"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Kiểm tra tính hợp lệ của hàng hóa (CO, CQ, năm sản xuất, chứng từ nhập khẩu và các tài liệu liên quan...).</w:t>
      </w:r>
    </w:p>
    <w:p w14:paraId="265C3CBC"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Kiểm tra tình trạng vận chuyển, đóng gói nguyên vẹn, đồng bộ của hàng hóa tại địa điểm giao hàng. Nếu phát hiện hư hỏng thì lập biên bản hiện trường.</w:t>
      </w:r>
    </w:p>
    <w:p w14:paraId="3B92B032"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Kiểm tra chất lượng và số lượng các bộ phận của thiết bị, phụ kiện vật tư trước lắp đặt, lập biên bản nghiệm thu.</w:t>
      </w:r>
    </w:p>
    <w:p w14:paraId="057E34FA"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55C300E2"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3505C26E" w14:textId="77777777" w:rsidR="00EB65E8" w:rsidRPr="00EB65E8" w:rsidRDefault="00EB65E8" w:rsidP="00EB65E8">
      <w:pPr>
        <w:spacing w:after="0" w:line="240" w:lineRule="auto"/>
        <w:ind w:firstLine="709"/>
        <w:jc w:val="both"/>
        <w:rPr>
          <w:rFonts w:ascii="Times New Roman" w:eastAsia="Times New Roman" w:hAnsi="Times New Roman" w:cs="Times New Roman"/>
          <w:iCs/>
          <w:sz w:val="26"/>
          <w:szCs w:val="26"/>
        </w:rPr>
      </w:pPr>
      <w:r w:rsidRPr="00EB65E8">
        <w:rPr>
          <w:rFonts w:ascii="Times New Roman" w:eastAsia="Times New Roman" w:hAnsi="Times New Roman" w:cs="Times New Roman"/>
          <w:iCs/>
          <w:sz w:val="26"/>
          <w:szCs w:val="26"/>
        </w:rPr>
        <w:t>+ Kiểm tra và bàn giao cho bên sử dụng: catalog, lý lịch máy, hướng dẫn vận hành bảo quản, hồ sơ kỹ thuật, chứng từ liên quan.</w:t>
      </w:r>
    </w:p>
    <w:p w14:paraId="3900D81E" w14:textId="77777777" w:rsidR="00EB65E8" w:rsidRPr="00EB65E8" w:rsidRDefault="00EB65E8" w:rsidP="00EB65E8">
      <w:pPr>
        <w:spacing w:after="0" w:line="240" w:lineRule="auto"/>
        <w:ind w:firstLine="709"/>
        <w:rPr>
          <w:rFonts w:ascii="Times New Roman" w:eastAsia="Times New Roman" w:hAnsi="Times New Roman" w:cs="Times New Roman"/>
          <w:i/>
          <w:iCs/>
          <w:sz w:val="28"/>
          <w:szCs w:val="20"/>
        </w:rPr>
      </w:pPr>
    </w:p>
    <w:p w14:paraId="7B7DA735" w14:textId="214B3653" w:rsidR="00894B57" w:rsidRPr="001A4F78" w:rsidRDefault="00894B57" w:rsidP="00EB65E8">
      <w:pPr>
        <w:rPr>
          <w:rFonts w:ascii="Times New Roman" w:hAnsi="Times New Roman" w:cs="Times New Roman"/>
        </w:rPr>
      </w:pPr>
    </w:p>
    <w:sectPr w:rsidR="00894B57" w:rsidRPr="001A4F78" w:rsidSect="00434D86">
      <w:footnotePr>
        <w:numRestart w:val="eachPage"/>
      </w:footnotePr>
      <w:endnotePr>
        <w:numFmt w:val="decimal"/>
      </w:endnotePr>
      <w:type w:val="nextColumn"/>
      <w:pgSz w:w="11906" w:h="16838" w:code="9"/>
      <w:pgMar w:top="1134" w:right="1134" w:bottom="1134" w:left="1134" w:header="284" w:footer="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5C"/>
    <w:rsid w:val="001A4F78"/>
    <w:rsid w:val="00434D86"/>
    <w:rsid w:val="004D2583"/>
    <w:rsid w:val="005A6AA6"/>
    <w:rsid w:val="00846093"/>
    <w:rsid w:val="00894B57"/>
    <w:rsid w:val="008F3B04"/>
    <w:rsid w:val="0093455C"/>
    <w:rsid w:val="00E06AD3"/>
    <w:rsid w:val="00EB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62D0"/>
  <w15:chartTrackingRefBased/>
  <w15:docId w15:val="{1D1044BC-F3BF-4407-B661-8DF9C8A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34D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34D8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434D86"/>
    <w:rPr>
      <w:rFonts w:ascii="Times New Roman" w:eastAsia="Times New Roman" w:hAnsi="Times New Roman" w:cs="Times New Roman"/>
      <w:b/>
      <w:sz w:val="44"/>
      <w:szCs w:val="20"/>
    </w:rPr>
  </w:style>
  <w:style w:type="paragraph" w:customStyle="1" w:styleId="SectionVIHeader">
    <w:name w:val="Section VI. Header"/>
    <w:basedOn w:val="Normal"/>
    <w:rsid w:val="00434D86"/>
    <w:pPr>
      <w:spacing w:before="120" w:after="240" w:line="240" w:lineRule="auto"/>
      <w:jc w:val="center"/>
    </w:pPr>
    <w:rPr>
      <w:rFonts w:ascii="Times New Roman" w:eastAsia="Times New Roman" w:hAnsi="Times New Roman" w:cs="Times New Roman"/>
      <w:b/>
      <w:sz w:val="36"/>
      <w:szCs w:val="20"/>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434D86"/>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434D86"/>
    <w:rPr>
      <w:rFonts w:ascii="Times New Roman" w:eastAsia="Times New Roman" w:hAnsi="Times New Roman" w:cs="Times New Roman"/>
      <w:sz w:val="20"/>
      <w:szCs w:val="20"/>
    </w:rPr>
  </w:style>
  <w:style w:type="paragraph" w:customStyle="1" w:styleId="H3">
    <w:name w:val="H3"/>
    <w:basedOn w:val="Heading3"/>
    <w:link w:val="H3Char"/>
    <w:qFormat/>
    <w:rsid w:val="00434D86"/>
    <w:pPr>
      <w:keepNext w:val="0"/>
      <w:keepLines w:val="0"/>
      <w:suppressAutoHyphens/>
      <w:spacing w:before="120" w:after="120" w:line="240" w:lineRule="auto"/>
      <w:ind w:firstLine="567"/>
    </w:pPr>
    <w:rPr>
      <w:rFonts w:ascii="Times New Roman" w:eastAsia="Times New Roman" w:hAnsi="Times New Roman" w:cs="Times New Roman"/>
      <w:b/>
      <w:color w:val="000000"/>
      <w:sz w:val="28"/>
      <w:szCs w:val="28"/>
      <w:lang w:val="es-ES"/>
    </w:rPr>
  </w:style>
  <w:style w:type="character" w:customStyle="1" w:styleId="H3Char">
    <w:name w:val="H3 Char"/>
    <w:link w:val="H3"/>
    <w:rsid w:val="00434D86"/>
    <w:rPr>
      <w:rFonts w:ascii="Times New Roman" w:eastAsia="Times New Roman" w:hAnsi="Times New Roman" w:cs="Times New Roman"/>
      <w:b/>
      <w:color w:val="000000"/>
      <w:sz w:val="28"/>
      <w:szCs w:val="28"/>
      <w:lang w:val="es-ES"/>
    </w:rPr>
  </w:style>
  <w:style w:type="character" w:customStyle="1" w:styleId="Heading3Char">
    <w:name w:val="Heading 3 Char"/>
    <w:basedOn w:val="DefaultParagraphFont"/>
    <w:link w:val="Heading3"/>
    <w:uiPriority w:val="9"/>
    <w:semiHidden/>
    <w:rsid w:val="00434D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2945</Words>
  <Characters>16787</Characters>
  <Application>Microsoft Office Word</Application>
  <DocSecurity>0</DocSecurity>
  <Lines>139</Lines>
  <Paragraphs>39</Paragraphs>
  <ScaleCrop>false</ScaleCrop>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2025-08-28T14:37:00Z</dcterms:created>
  <dcterms:modified xsi:type="dcterms:W3CDTF">2025-10-14T10:10:00Z</dcterms:modified>
</cp:coreProperties>
</file>