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7B00" w:rsidRPr="00030575" w:rsidRDefault="00DA7B00" w:rsidP="00152077">
      <w:pPr>
        <w:autoSpaceDE w:val="0"/>
        <w:autoSpaceDN w:val="0"/>
        <w:adjustRightInd w:val="0"/>
        <w:spacing w:after="0" w:line="259" w:lineRule="auto"/>
        <w:jc w:val="center"/>
        <w:rPr>
          <w:rFonts w:cs="Times New Roman"/>
          <w:b/>
          <w:bCs/>
          <w:szCs w:val="28"/>
        </w:rPr>
      </w:pPr>
      <w:r w:rsidRPr="00030575">
        <w:rPr>
          <w:rFonts w:cs="Times New Roman"/>
          <w:b/>
          <w:bCs/>
          <w:szCs w:val="28"/>
        </w:rPr>
        <w:t>Ph</w:t>
      </w:r>
      <w:r w:rsidRPr="00030575">
        <w:rPr>
          <w:rFonts w:cs="Times New Roman"/>
          <w:b/>
          <w:bCs/>
          <w:szCs w:val="28"/>
          <w:lang w:val="vi-VN"/>
        </w:rPr>
        <w:t>ần 2. YÊU CẦU VỀ KỸ THUẬT</w:t>
      </w:r>
    </w:p>
    <w:p w:rsidR="00DA7B00" w:rsidRPr="00030575" w:rsidRDefault="00DA7B00" w:rsidP="00152077">
      <w:pPr>
        <w:autoSpaceDE w:val="0"/>
        <w:autoSpaceDN w:val="0"/>
        <w:adjustRightInd w:val="0"/>
        <w:spacing w:after="0" w:line="259" w:lineRule="auto"/>
        <w:jc w:val="center"/>
        <w:rPr>
          <w:rFonts w:cs="Times New Roman"/>
          <w:szCs w:val="28"/>
        </w:rPr>
      </w:pPr>
      <w:r w:rsidRPr="00030575">
        <w:rPr>
          <w:rFonts w:cs="Times New Roman"/>
          <w:b/>
          <w:bCs/>
          <w:szCs w:val="28"/>
          <w:lang w:val="vi-VN"/>
        </w:rPr>
        <w:t>Chương</w:t>
      </w:r>
      <w:r w:rsidRPr="00030575">
        <w:rPr>
          <w:rFonts w:cs="Times New Roman"/>
          <w:b/>
          <w:bCs/>
          <w:szCs w:val="28"/>
        </w:rPr>
        <w:t xml:space="preserve"> V. Yêu c</w:t>
      </w:r>
      <w:r w:rsidRPr="00030575">
        <w:rPr>
          <w:rFonts w:cs="Times New Roman"/>
          <w:b/>
          <w:bCs/>
          <w:szCs w:val="28"/>
          <w:lang w:val="vi-VN"/>
        </w:rPr>
        <w:t>ầu về kỹ thuật</w:t>
      </w:r>
    </w:p>
    <w:p w:rsidR="008D4199" w:rsidRDefault="008D4199" w:rsidP="00152077">
      <w:pPr>
        <w:spacing w:after="0" w:line="259" w:lineRule="auto"/>
        <w:ind w:firstLine="567"/>
      </w:pPr>
      <w:r>
        <w:rPr>
          <w:rStyle w:val="fontstyle01"/>
        </w:rPr>
        <w:t>Mục 1. Yêu cầu về kỹ thuật</w:t>
      </w:r>
      <w:r>
        <w:t xml:space="preserve"> </w:t>
      </w:r>
    </w:p>
    <w:p w:rsidR="009E056B" w:rsidRDefault="00DA7B00" w:rsidP="00152077">
      <w:pPr>
        <w:spacing w:after="0" w:line="259" w:lineRule="auto"/>
        <w:ind w:firstLine="567"/>
        <w:rPr>
          <w:b/>
          <w:sz w:val="26"/>
          <w:szCs w:val="26"/>
          <w:lang w:val="nl-NL"/>
        </w:rPr>
      </w:pPr>
      <w:r w:rsidRPr="002C2FB3">
        <w:rPr>
          <w:b/>
          <w:sz w:val="26"/>
          <w:szCs w:val="26"/>
          <w:lang w:val="nl-NL"/>
        </w:rPr>
        <w:t>1. Giới thiệu chung về dự án và gói thầu</w:t>
      </w:r>
    </w:p>
    <w:p w:rsidR="003F7AB1" w:rsidRPr="00333FE9" w:rsidRDefault="009E056B" w:rsidP="00152077">
      <w:pPr>
        <w:spacing w:after="0" w:line="259" w:lineRule="auto"/>
        <w:jc w:val="both"/>
        <w:rPr>
          <w:bCs/>
          <w:szCs w:val="28"/>
        </w:rPr>
      </w:pPr>
      <w:r>
        <w:rPr>
          <w:spacing w:val="-4"/>
          <w:szCs w:val="28"/>
          <w:lang w:val="nl-NL"/>
        </w:rPr>
        <w:t xml:space="preserve">- </w:t>
      </w:r>
      <w:r w:rsidR="00DA7B00" w:rsidRPr="004B23EB">
        <w:rPr>
          <w:spacing w:val="-4"/>
          <w:szCs w:val="28"/>
          <w:lang w:val="nl-NL"/>
        </w:rPr>
        <w:t xml:space="preserve">Tên gói thầu: </w:t>
      </w:r>
      <w:r w:rsidR="00470077" w:rsidRPr="00470077">
        <w:rPr>
          <w:spacing w:val="-4"/>
          <w:szCs w:val="28"/>
          <w:lang w:val="nl-NL"/>
        </w:rPr>
        <w:t xml:space="preserve">Mua sữa </w:t>
      </w:r>
      <w:r w:rsidR="00470077" w:rsidRPr="00470077">
        <w:rPr>
          <w:spacing w:val="-4"/>
          <w:szCs w:val="28"/>
        </w:rPr>
        <w:t xml:space="preserve">bồi dưỡng bằng hiện vật đối với người lao động làm việc trong điều kiện có yếu tố nguy hiểm, yếu tố có hại năm 2024-2025 </w:t>
      </w:r>
      <w:r w:rsidR="00470077" w:rsidRPr="00470077">
        <w:rPr>
          <w:bCs/>
          <w:spacing w:val="-4"/>
          <w:szCs w:val="28"/>
        </w:rPr>
        <w:t>của Bệnh viện Lao và Bệnh phổi tỉnh Quảng Ngãi</w:t>
      </w:r>
      <w:r w:rsidR="003F7AB1">
        <w:rPr>
          <w:bCs/>
          <w:szCs w:val="28"/>
        </w:rPr>
        <w:t>.</w:t>
      </w:r>
    </w:p>
    <w:p w:rsidR="009E056B" w:rsidRDefault="009E056B" w:rsidP="00152077">
      <w:pPr>
        <w:spacing w:after="0" w:line="259" w:lineRule="auto"/>
        <w:ind w:firstLine="567"/>
        <w:rPr>
          <w:szCs w:val="28"/>
        </w:rPr>
      </w:pPr>
      <w:r w:rsidRPr="001C30ED">
        <w:rPr>
          <w:szCs w:val="28"/>
          <w:lang w:val="vi-VN"/>
        </w:rPr>
        <w:t xml:space="preserve">- Tên </w:t>
      </w:r>
      <w:r>
        <w:rPr>
          <w:szCs w:val="28"/>
        </w:rPr>
        <w:t xml:space="preserve">bên mời thầu: Bệnh viện </w:t>
      </w:r>
      <w:r w:rsidR="003F7AB1">
        <w:rPr>
          <w:szCs w:val="28"/>
        </w:rPr>
        <w:t>Lao và Bệnh phổi tỉnh Quảng Ngãi.</w:t>
      </w:r>
    </w:p>
    <w:p w:rsidR="009E056B" w:rsidRPr="00E54A50" w:rsidRDefault="009E056B" w:rsidP="00152077">
      <w:pPr>
        <w:spacing w:after="0" w:line="259" w:lineRule="auto"/>
        <w:ind w:firstLine="567"/>
        <w:jc w:val="both"/>
        <w:rPr>
          <w:szCs w:val="28"/>
        </w:rPr>
      </w:pPr>
      <w:r w:rsidRPr="0026575E">
        <w:rPr>
          <w:szCs w:val="28"/>
          <w:lang w:val="vi-VN"/>
        </w:rPr>
        <w:t>- Nguồn vốn</w:t>
      </w:r>
      <w:r w:rsidRPr="0026575E">
        <w:rPr>
          <w:szCs w:val="28"/>
        </w:rPr>
        <w:t xml:space="preserve">: </w:t>
      </w:r>
      <w:r w:rsidR="00470077" w:rsidRPr="00470077">
        <w:rPr>
          <w:szCs w:val="28"/>
        </w:rPr>
        <w:t>Quyết định số 216/QĐ-SYT ngày 24/7/2025 của Sở Y tế tỉnh Quảng Ngãi về việc giao dự toán thu ngân sách nhà nước và chi ngân sách địa phương năm 2025 của Ngành Y tế</w:t>
      </w:r>
      <w:r w:rsidR="00BD632F">
        <w:rPr>
          <w:szCs w:val="28"/>
        </w:rPr>
        <w:t>.</w:t>
      </w:r>
      <w:r w:rsidRPr="00E54A50">
        <w:rPr>
          <w:szCs w:val="28"/>
        </w:rPr>
        <w:t xml:space="preserve"> </w:t>
      </w:r>
    </w:p>
    <w:p w:rsidR="009E056B" w:rsidRDefault="009E056B" w:rsidP="00152077">
      <w:pPr>
        <w:spacing w:after="0" w:line="259" w:lineRule="auto"/>
        <w:ind w:firstLine="567"/>
        <w:jc w:val="both"/>
        <w:rPr>
          <w:szCs w:val="28"/>
        </w:rPr>
      </w:pPr>
      <w:r w:rsidRPr="001C30ED">
        <w:rPr>
          <w:szCs w:val="28"/>
          <w:lang w:val="vi-VN"/>
        </w:rPr>
        <w:t>- Địa điể</w:t>
      </w:r>
      <w:r>
        <w:rPr>
          <w:szCs w:val="28"/>
          <w:lang w:val="vi-VN"/>
        </w:rPr>
        <w:t>m</w:t>
      </w:r>
      <w:r>
        <w:rPr>
          <w:szCs w:val="28"/>
        </w:rPr>
        <w:t xml:space="preserve"> thực hiện: </w:t>
      </w:r>
      <w:r w:rsidR="00BD632F">
        <w:rPr>
          <w:szCs w:val="28"/>
        </w:rPr>
        <w:t xml:space="preserve">số 426 đường Hoàng Văn Thụ, phường </w:t>
      </w:r>
      <w:r w:rsidR="00152077">
        <w:rPr>
          <w:szCs w:val="28"/>
        </w:rPr>
        <w:t>Nghĩa Lộ</w:t>
      </w:r>
      <w:r w:rsidR="00BD632F">
        <w:rPr>
          <w:szCs w:val="28"/>
        </w:rPr>
        <w:t>, tỉnh Quảng Ngãi</w:t>
      </w:r>
    </w:p>
    <w:p w:rsidR="009E056B" w:rsidRDefault="009E056B" w:rsidP="00152077">
      <w:pPr>
        <w:spacing w:after="0" w:line="259" w:lineRule="auto"/>
        <w:ind w:firstLine="567"/>
        <w:jc w:val="both"/>
        <w:rPr>
          <w:szCs w:val="28"/>
        </w:rPr>
      </w:pPr>
      <w:r>
        <w:rPr>
          <w:bCs/>
          <w:iCs/>
          <w:szCs w:val="28"/>
        </w:rPr>
        <w:t xml:space="preserve">- </w:t>
      </w:r>
      <w:r w:rsidRPr="0037593C">
        <w:rPr>
          <w:bCs/>
          <w:iCs/>
          <w:szCs w:val="28"/>
        </w:rPr>
        <w:t xml:space="preserve">Thời gian bắt đầu tổ chức lựa chọn nhà thầu: </w:t>
      </w:r>
      <w:r w:rsidR="00E54A50">
        <w:rPr>
          <w:bCs/>
          <w:iCs/>
          <w:szCs w:val="28"/>
        </w:rPr>
        <w:t>Quý I</w:t>
      </w:r>
      <w:r w:rsidR="00152077">
        <w:rPr>
          <w:bCs/>
          <w:iCs/>
          <w:szCs w:val="28"/>
        </w:rPr>
        <w:t>V</w:t>
      </w:r>
      <w:r w:rsidR="00E54A50">
        <w:rPr>
          <w:bCs/>
          <w:iCs/>
          <w:szCs w:val="28"/>
        </w:rPr>
        <w:t xml:space="preserve"> năm 202</w:t>
      </w:r>
      <w:r w:rsidR="00152077">
        <w:rPr>
          <w:bCs/>
          <w:iCs/>
          <w:szCs w:val="28"/>
        </w:rPr>
        <w:t>5.</w:t>
      </w:r>
    </w:p>
    <w:p w:rsidR="009E056B" w:rsidRDefault="009E056B" w:rsidP="00152077">
      <w:pPr>
        <w:spacing w:after="0" w:line="259" w:lineRule="auto"/>
        <w:ind w:firstLine="567"/>
        <w:jc w:val="both"/>
        <w:rPr>
          <w:szCs w:val="28"/>
        </w:rPr>
      </w:pPr>
      <w:r w:rsidRPr="001C30ED">
        <w:rPr>
          <w:szCs w:val="28"/>
          <w:lang w:val="vi-VN"/>
        </w:rPr>
        <w:t xml:space="preserve">- </w:t>
      </w:r>
      <w:r w:rsidRPr="0037593C">
        <w:rPr>
          <w:bCs/>
          <w:iCs/>
          <w:szCs w:val="28"/>
        </w:rPr>
        <w:t xml:space="preserve">Hình thức và phương thức lựa chọn nhà thầu: </w:t>
      </w:r>
      <w:r>
        <w:rPr>
          <w:bCs/>
          <w:iCs/>
          <w:szCs w:val="28"/>
        </w:rPr>
        <w:t>Chào hàng cạnh tranh thông thường (01 giai đoạn,</w:t>
      </w:r>
      <w:r w:rsidRPr="0037593C">
        <w:rPr>
          <w:bCs/>
          <w:iCs/>
          <w:szCs w:val="28"/>
        </w:rPr>
        <w:t xml:space="preserve"> 01 túi hồ sơ</w:t>
      </w:r>
      <w:r>
        <w:rPr>
          <w:bCs/>
          <w:iCs/>
          <w:szCs w:val="28"/>
        </w:rPr>
        <w:t>), đấu thầu qua mạng</w:t>
      </w:r>
      <w:r w:rsidRPr="0037593C">
        <w:rPr>
          <w:bCs/>
          <w:iCs/>
          <w:szCs w:val="28"/>
        </w:rPr>
        <w:t>.</w:t>
      </w:r>
    </w:p>
    <w:p w:rsidR="009E056B" w:rsidRPr="009E056B" w:rsidRDefault="009E056B" w:rsidP="00152077">
      <w:pPr>
        <w:spacing w:after="0" w:line="259" w:lineRule="auto"/>
        <w:ind w:firstLine="567"/>
        <w:jc w:val="both"/>
        <w:rPr>
          <w:szCs w:val="28"/>
        </w:rPr>
      </w:pPr>
      <w:r>
        <w:rPr>
          <w:bCs/>
          <w:iCs/>
          <w:szCs w:val="28"/>
        </w:rPr>
        <w:t xml:space="preserve">- </w:t>
      </w:r>
      <w:r w:rsidRPr="0037593C">
        <w:rPr>
          <w:bCs/>
          <w:iCs/>
          <w:szCs w:val="28"/>
        </w:rPr>
        <w:t xml:space="preserve">Loại hợp đồng: </w:t>
      </w:r>
      <w:r>
        <w:rPr>
          <w:bCs/>
          <w:iCs/>
          <w:szCs w:val="28"/>
        </w:rPr>
        <w:t>Trọn gói</w:t>
      </w:r>
      <w:r w:rsidRPr="0037593C">
        <w:rPr>
          <w:bCs/>
          <w:iCs/>
          <w:szCs w:val="28"/>
        </w:rPr>
        <w:t>.</w:t>
      </w:r>
    </w:p>
    <w:p w:rsidR="00DA7B00" w:rsidRDefault="00DA7B00" w:rsidP="00152077">
      <w:pPr>
        <w:spacing w:after="0" w:line="259" w:lineRule="auto"/>
        <w:ind w:firstLine="567"/>
        <w:rPr>
          <w:b/>
          <w:sz w:val="26"/>
          <w:szCs w:val="26"/>
          <w:lang w:val="nl-NL"/>
        </w:rPr>
      </w:pPr>
      <w:r w:rsidRPr="002C2FB3">
        <w:rPr>
          <w:b/>
          <w:sz w:val="26"/>
          <w:szCs w:val="26"/>
          <w:lang w:val="nl-NL"/>
        </w:rPr>
        <w:t>2. Yêu cầu về kỹ thuật</w:t>
      </w:r>
    </w:p>
    <w:p w:rsidR="00A12A69" w:rsidRDefault="00A12A69" w:rsidP="00152077">
      <w:pPr>
        <w:spacing w:after="0" w:line="259" w:lineRule="auto"/>
        <w:ind w:firstLine="567"/>
        <w:jc w:val="both"/>
        <w:rPr>
          <w:rFonts w:ascii="TimesNewRomanPS-BoldMT" w:hAnsi="TimesNewRomanPS-BoldMT"/>
          <w:b/>
          <w:bCs/>
          <w:color w:val="000000"/>
          <w:szCs w:val="28"/>
        </w:rPr>
      </w:pPr>
      <w:r>
        <w:rPr>
          <w:rStyle w:val="fontstyle01"/>
        </w:rPr>
        <w:t>a) Yêu cầu về kỹ thuật chung:</w:t>
      </w:r>
    </w:p>
    <w:p w:rsidR="00E54A50" w:rsidRDefault="00A12A69" w:rsidP="00152077">
      <w:pPr>
        <w:spacing w:after="0" w:line="259" w:lineRule="auto"/>
        <w:ind w:firstLine="567"/>
        <w:jc w:val="both"/>
        <w:rPr>
          <w:color w:val="000000" w:themeColor="text1"/>
          <w:szCs w:val="28"/>
        </w:rPr>
      </w:pPr>
      <w:r>
        <w:rPr>
          <w:rStyle w:val="fontstyle21"/>
        </w:rPr>
        <w:t>- Số lượng, chủng loại của hàng hóa cung cấp phù hợp yêu cầu của hồ sơ yêu</w:t>
      </w:r>
      <w:r>
        <w:rPr>
          <w:rFonts w:ascii="TimesNewRomanPSMT" w:hAnsi="TimesNewRomanPSMT"/>
          <w:color w:val="000000"/>
          <w:szCs w:val="28"/>
        </w:rPr>
        <w:t xml:space="preserve"> </w:t>
      </w:r>
      <w:r>
        <w:rPr>
          <w:rStyle w:val="fontstyle21"/>
        </w:rPr>
        <w:t>cầu. Hàng hóa phải đảm bảo còn thời hạn sử dụ</w:t>
      </w:r>
      <w:r w:rsidR="00E54A50">
        <w:rPr>
          <w:rStyle w:val="fontstyle21"/>
        </w:rPr>
        <w:t xml:space="preserve">ng </w:t>
      </w:r>
      <w:r w:rsidR="00E54A50" w:rsidRPr="00360CED">
        <w:rPr>
          <w:color w:val="000000"/>
          <w:szCs w:val="28"/>
        </w:rPr>
        <w:t>Sữa đặc có đường</w:t>
      </w:r>
      <w:r w:rsidR="00E54A50">
        <w:rPr>
          <w:color w:val="000000"/>
          <w:szCs w:val="28"/>
        </w:rPr>
        <w:t xml:space="preserve"> </w:t>
      </w:r>
      <w:r w:rsidR="00E54A50">
        <w:rPr>
          <w:color w:val="000000" w:themeColor="text1"/>
          <w:szCs w:val="28"/>
        </w:rPr>
        <w:t>≥</w:t>
      </w:r>
      <w:r w:rsidR="00152077">
        <w:rPr>
          <w:color w:val="000000" w:themeColor="text1"/>
          <w:szCs w:val="28"/>
        </w:rPr>
        <w:t xml:space="preserve"> 09</w:t>
      </w:r>
      <w:r w:rsidR="00E54A50">
        <w:rPr>
          <w:color w:val="000000" w:themeColor="text1"/>
          <w:szCs w:val="28"/>
        </w:rPr>
        <w:t xml:space="preserve"> </w:t>
      </w:r>
      <w:r w:rsidR="00E54A50" w:rsidRPr="00360CED">
        <w:rPr>
          <w:color w:val="000000" w:themeColor="text1"/>
          <w:szCs w:val="28"/>
        </w:rPr>
        <w:t>tháng</w:t>
      </w:r>
      <w:r w:rsidR="00E54A50">
        <w:rPr>
          <w:rStyle w:val="fontstyle21"/>
        </w:rPr>
        <w:t xml:space="preserve">, </w:t>
      </w:r>
      <w:r w:rsidR="00E54A50" w:rsidRPr="00360CED">
        <w:rPr>
          <w:color w:val="000000" w:themeColor="text1"/>
          <w:szCs w:val="28"/>
        </w:rPr>
        <w:t xml:space="preserve">Sữa tươi tiệt trùng </w:t>
      </w:r>
      <w:r w:rsidR="00E54A50">
        <w:rPr>
          <w:color w:val="000000" w:themeColor="text1"/>
          <w:szCs w:val="28"/>
        </w:rPr>
        <w:t>≥</w:t>
      </w:r>
      <w:r w:rsidR="00773E20">
        <w:rPr>
          <w:color w:val="000000" w:themeColor="text1"/>
          <w:szCs w:val="28"/>
        </w:rPr>
        <w:t xml:space="preserve"> 0</w:t>
      </w:r>
      <w:r w:rsidR="00620CAA">
        <w:rPr>
          <w:color w:val="000000" w:themeColor="text1"/>
          <w:szCs w:val="28"/>
        </w:rPr>
        <w:t>4</w:t>
      </w:r>
      <w:r w:rsidR="00E54A50">
        <w:rPr>
          <w:color w:val="000000" w:themeColor="text1"/>
          <w:szCs w:val="28"/>
        </w:rPr>
        <w:t xml:space="preserve"> </w:t>
      </w:r>
      <w:r w:rsidR="00E54A50" w:rsidRPr="00360CED">
        <w:rPr>
          <w:color w:val="000000" w:themeColor="text1"/>
          <w:szCs w:val="28"/>
        </w:rPr>
        <w:t>tháng</w:t>
      </w:r>
      <w:r w:rsidR="00E54A50">
        <w:rPr>
          <w:color w:val="000000" w:themeColor="text1"/>
          <w:szCs w:val="28"/>
        </w:rPr>
        <w:t xml:space="preserve">. </w:t>
      </w:r>
    </w:p>
    <w:p w:rsidR="00A12A69" w:rsidRDefault="00A12A69" w:rsidP="00152077">
      <w:pPr>
        <w:spacing w:after="0" w:line="259" w:lineRule="auto"/>
        <w:ind w:firstLine="567"/>
        <w:jc w:val="both"/>
      </w:pPr>
      <w:r>
        <w:rPr>
          <w:rStyle w:val="fontstyle21"/>
        </w:rPr>
        <w:t>- Nhà thầu phải thực hiện đổi trả ngay các sản phẩm có bao bì bị cũ bẩn, thủng,</w:t>
      </w:r>
      <w:r>
        <w:rPr>
          <w:rFonts w:ascii="TimesNewRomanPSMT" w:hAnsi="TimesNewRomanPSMT"/>
          <w:color w:val="000000"/>
          <w:szCs w:val="28"/>
        </w:rPr>
        <w:t xml:space="preserve"> </w:t>
      </w:r>
      <w:r>
        <w:rPr>
          <w:rStyle w:val="fontstyle21"/>
        </w:rPr>
        <w:t>chữ in không rõ ràng, sản phẩm quan sát bằng cảm quang không đảm bảo vệ sinh,</w:t>
      </w:r>
      <w:r>
        <w:rPr>
          <w:rFonts w:ascii="TimesNewRomanPSMT" w:hAnsi="TimesNewRomanPSMT"/>
          <w:color w:val="000000"/>
          <w:szCs w:val="28"/>
        </w:rPr>
        <w:t xml:space="preserve"> </w:t>
      </w:r>
      <w:r>
        <w:rPr>
          <w:rStyle w:val="fontstyle21"/>
        </w:rPr>
        <w:t xml:space="preserve">hạn sử dụng của sản phẩm </w:t>
      </w:r>
      <w:r w:rsidR="00E54A50">
        <w:rPr>
          <w:rStyle w:val="fontstyle21"/>
        </w:rPr>
        <w:t>không đáp ứng HSMT</w:t>
      </w:r>
      <w:r>
        <w:rPr>
          <w:rStyle w:val="fontstyle21"/>
        </w:rPr>
        <w:t>.</w:t>
      </w:r>
      <w:r>
        <w:t xml:space="preserve"> </w:t>
      </w:r>
    </w:p>
    <w:p w:rsidR="00E54A50" w:rsidRDefault="00E54A50" w:rsidP="00152077">
      <w:pPr>
        <w:spacing w:after="0" w:line="259" w:lineRule="auto"/>
        <w:ind w:firstLine="567"/>
        <w:jc w:val="both"/>
        <w:rPr>
          <w:rStyle w:val="fontstyle01"/>
        </w:rPr>
      </w:pPr>
      <w:r>
        <w:rPr>
          <w:rStyle w:val="fontstyle01"/>
        </w:rPr>
        <w:br/>
      </w:r>
    </w:p>
    <w:p w:rsidR="00E54A50" w:rsidRDefault="00E54A50" w:rsidP="00152077">
      <w:pPr>
        <w:spacing w:after="0" w:line="259" w:lineRule="auto"/>
        <w:rPr>
          <w:rStyle w:val="fontstyle01"/>
        </w:rPr>
      </w:pPr>
      <w:r>
        <w:rPr>
          <w:rStyle w:val="fontstyle01"/>
        </w:rPr>
        <w:br w:type="page"/>
      </w:r>
    </w:p>
    <w:p w:rsidR="00DA7B00" w:rsidRDefault="00A12A69" w:rsidP="00152077">
      <w:pPr>
        <w:spacing w:after="0" w:line="259" w:lineRule="auto"/>
        <w:ind w:firstLine="567"/>
        <w:jc w:val="both"/>
      </w:pPr>
      <w:r>
        <w:rPr>
          <w:rStyle w:val="fontstyle01"/>
        </w:rPr>
        <w:lastRenderedPageBreak/>
        <w:t>b) Yêu cầu về kỹ thuật cụ thể:</w:t>
      </w:r>
      <w:r>
        <w:t xml:space="preserve"> </w:t>
      </w:r>
    </w:p>
    <w:p w:rsidR="00E54A50" w:rsidRDefault="00E54A50" w:rsidP="00152077">
      <w:pPr>
        <w:spacing w:after="0" w:line="259" w:lineRule="auto"/>
        <w:ind w:firstLine="567"/>
        <w:jc w:val="both"/>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472"/>
        <w:gridCol w:w="851"/>
        <w:gridCol w:w="6520"/>
      </w:tblGrid>
      <w:tr w:rsidR="00E54A50" w:rsidRPr="00360CED" w:rsidTr="00470077">
        <w:trPr>
          <w:cantSplit/>
          <w:trHeight w:val="1012"/>
          <w:tblHeader/>
          <w:jc w:val="center"/>
        </w:trPr>
        <w:tc>
          <w:tcPr>
            <w:tcW w:w="791" w:type="dxa"/>
            <w:vAlign w:val="center"/>
          </w:tcPr>
          <w:p w:rsidR="00E54A50" w:rsidRPr="00360CED" w:rsidRDefault="00E54A50" w:rsidP="00152077">
            <w:pPr>
              <w:spacing w:after="0" w:line="259" w:lineRule="auto"/>
              <w:jc w:val="center"/>
              <w:rPr>
                <w:b/>
                <w:bCs/>
                <w:color w:val="000000"/>
                <w:szCs w:val="28"/>
              </w:rPr>
            </w:pPr>
            <w:r w:rsidRPr="00360CED">
              <w:rPr>
                <w:b/>
                <w:bCs/>
                <w:color w:val="000000"/>
                <w:szCs w:val="28"/>
              </w:rPr>
              <w:t>Stt</w:t>
            </w:r>
          </w:p>
        </w:tc>
        <w:tc>
          <w:tcPr>
            <w:tcW w:w="1472" w:type="dxa"/>
            <w:shd w:val="clear" w:color="auto" w:fill="auto"/>
            <w:vAlign w:val="center"/>
            <w:hideMark/>
          </w:tcPr>
          <w:p w:rsidR="00E54A50" w:rsidRPr="00360CED" w:rsidRDefault="00E54A50" w:rsidP="00152077">
            <w:pPr>
              <w:spacing w:after="0" w:line="259" w:lineRule="auto"/>
              <w:jc w:val="center"/>
              <w:rPr>
                <w:b/>
                <w:bCs/>
                <w:color w:val="000000"/>
                <w:szCs w:val="28"/>
              </w:rPr>
            </w:pPr>
            <w:r w:rsidRPr="00360CED">
              <w:rPr>
                <w:b/>
                <w:bCs/>
                <w:color w:val="000000"/>
                <w:szCs w:val="28"/>
              </w:rPr>
              <w:t>Danh mục sản phẩm</w:t>
            </w:r>
          </w:p>
        </w:tc>
        <w:tc>
          <w:tcPr>
            <w:tcW w:w="851" w:type="dxa"/>
            <w:shd w:val="clear" w:color="auto" w:fill="auto"/>
            <w:vAlign w:val="center"/>
            <w:hideMark/>
          </w:tcPr>
          <w:p w:rsidR="00E54A50" w:rsidRPr="00360CED" w:rsidRDefault="00E54A50" w:rsidP="00152077">
            <w:pPr>
              <w:spacing w:after="0" w:line="259" w:lineRule="auto"/>
              <w:jc w:val="center"/>
              <w:rPr>
                <w:b/>
                <w:bCs/>
                <w:color w:val="000000"/>
                <w:szCs w:val="28"/>
              </w:rPr>
            </w:pPr>
            <w:r w:rsidRPr="00360CED">
              <w:rPr>
                <w:b/>
                <w:bCs/>
                <w:color w:val="000000"/>
                <w:szCs w:val="28"/>
              </w:rPr>
              <w:t>ĐVT</w:t>
            </w:r>
          </w:p>
        </w:tc>
        <w:tc>
          <w:tcPr>
            <w:tcW w:w="6520" w:type="dxa"/>
            <w:shd w:val="clear" w:color="auto" w:fill="auto"/>
            <w:vAlign w:val="center"/>
            <w:hideMark/>
          </w:tcPr>
          <w:p w:rsidR="00E54A50" w:rsidRPr="00360CED" w:rsidRDefault="00E54A50" w:rsidP="00152077">
            <w:pPr>
              <w:spacing w:after="0" w:line="259" w:lineRule="auto"/>
              <w:jc w:val="center"/>
              <w:rPr>
                <w:b/>
                <w:bCs/>
                <w:color w:val="000000"/>
                <w:szCs w:val="28"/>
              </w:rPr>
            </w:pPr>
            <w:r w:rsidRPr="00360CED">
              <w:rPr>
                <w:b/>
                <w:color w:val="000000" w:themeColor="text1"/>
                <w:szCs w:val="28"/>
              </w:rPr>
              <w:t>Quy cách, tiêu chuẩn kỹ thuật</w:t>
            </w:r>
          </w:p>
        </w:tc>
      </w:tr>
      <w:tr w:rsidR="00E54A50" w:rsidRPr="00360CED" w:rsidTr="00470077">
        <w:trPr>
          <w:cantSplit/>
          <w:trHeight w:val="1012"/>
          <w:tblHeader/>
          <w:jc w:val="center"/>
        </w:trPr>
        <w:tc>
          <w:tcPr>
            <w:tcW w:w="791" w:type="dxa"/>
            <w:vAlign w:val="center"/>
          </w:tcPr>
          <w:p w:rsidR="00E54A50" w:rsidRPr="00360CED" w:rsidRDefault="00E54A50" w:rsidP="00152077">
            <w:pPr>
              <w:spacing w:after="0" w:line="259" w:lineRule="auto"/>
              <w:jc w:val="center"/>
              <w:rPr>
                <w:color w:val="000000"/>
                <w:szCs w:val="28"/>
              </w:rPr>
            </w:pPr>
            <w:r w:rsidRPr="00360CED">
              <w:rPr>
                <w:color w:val="000000"/>
                <w:szCs w:val="28"/>
              </w:rPr>
              <w:t>1</w:t>
            </w:r>
          </w:p>
        </w:tc>
        <w:tc>
          <w:tcPr>
            <w:tcW w:w="1472" w:type="dxa"/>
            <w:shd w:val="clear" w:color="auto" w:fill="auto"/>
            <w:vAlign w:val="center"/>
            <w:hideMark/>
          </w:tcPr>
          <w:p w:rsidR="00E54A50" w:rsidRPr="00360CED" w:rsidRDefault="00BD632F" w:rsidP="00152077">
            <w:pPr>
              <w:spacing w:after="0" w:line="259" w:lineRule="auto"/>
              <w:jc w:val="center"/>
              <w:rPr>
                <w:color w:val="000000"/>
                <w:szCs w:val="28"/>
              </w:rPr>
            </w:pPr>
            <w:r w:rsidRPr="00BD632F">
              <w:rPr>
                <w:color w:val="000000"/>
                <w:szCs w:val="28"/>
              </w:rPr>
              <w:t>Sữa đặc có đường trọng lượng 380g</w:t>
            </w:r>
          </w:p>
        </w:tc>
        <w:tc>
          <w:tcPr>
            <w:tcW w:w="851" w:type="dxa"/>
            <w:shd w:val="clear" w:color="auto" w:fill="auto"/>
            <w:noWrap/>
            <w:vAlign w:val="center"/>
            <w:hideMark/>
          </w:tcPr>
          <w:p w:rsidR="00E54A50" w:rsidRPr="00360CED" w:rsidRDefault="00E54A50" w:rsidP="00152077">
            <w:pPr>
              <w:spacing w:after="0" w:line="259" w:lineRule="auto"/>
              <w:jc w:val="center"/>
              <w:rPr>
                <w:color w:val="000000"/>
                <w:szCs w:val="28"/>
              </w:rPr>
            </w:pPr>
            <w:r w:rsidRPr="00360CED">
              <w:rPr>
                <w:color w:val="000000"/>
                <w:szCs w:val="28"/>
              </w:rPr>
              <w:t xml:space="preserve">Lon </w:t>
            </w:r>
          </w:p>
        </w:tc>
        <w:tc>
          <w:tcPr>
            <w:tcW w:w="6520" w:type="dxa"/>
            <w:shd w:val="clear" w:color="auto" w:fill="auto"/>
            <w:noWrap/>
            <w:vAlign w:val="center"/>
            <w:hideMark/>
          </w:tcPr>
          <w:p w:rsidR="00E54A50" w:rsidRPr="006C42A0" w:rsidRDefault="00E54A50" w:rsidP="00152077">
            <w:pPr>
              <w:spacing w:after="0" w:line="259" w:lineRule="auto"/>
              <w:jc w:val="both"/>
              <w:rPr>
                <w:color w:val="000000" w:themeColor="text1"/>
                <w:szCs w:val="28"/>
              </w:rPr>
            </w:pPr>
            <w:r w:rsidRPr="006C42A0">
              <w:rPr>
                <w:color w:val="000000" w:themeColor="text1"/>
                <w:szCs w:val="28"/>
              </w:rPr>
              <w:t>+ Lon ≥380 g.</w:t>
            </w:r>
          </w:p>
          <w:p w:rsidR="00E54A50" w:rsidRPr="006C42A0" w:rsidRDefault="00E54A50" w:rsidP="00152077">
            <w:pPr>
              <w:spacing w:after="0" w:line="259" w:lineRule="auto"/>
              <w:jc w:val="both"/>
              <w:rPr>
                <w:color w:val="000000" w:themeColor="text1"/>
                <w:szCs w:val="28"/>
              </w:rPr>
            </w:pPr>
            <w:r w:rsidRPr="006C42A0">
              <w:rPr>
                <w:color w:val="000000" w:themeColor="text1"/>
                <w:szCs w:val="28"/>
              </w:rPr>
              <w:t xml:space="preserve">+ Hạn sử dụng </w:t>
            </w:r>
            <w:r w:rsidR="00385FED" w:rsidRPr="006C42A0">
              <w:rPr>
                <w:color w:val="000000" w:themeColor="text1"/>
                <w:szCs w:val="28"/>
              </w:rPr>
              <w:t>≥</w:t>
            </w:r>
            <w:r w:rsidR="006C42A0" w:rsidRPr="006C42A0">
              <w:rPr>
                <w:color w:val="000000" w:themeColor="text1"/>
                <w:szCs w:val="28"/>
              </w:rPr>
              <w:t xml:space="preserve"> 9</w:t>
            </w:r>
            <w:r w:rsidR="00385FED" w:rsidRPr="006C42A0">
              <w:rPr>
                <w:color w:val="000000" w:themeColor="text1"/>
                <w:szCs w:val="28"/>
              </w:rPr>
              <w:t xml:space="preserve"> tháng</w:t>
            </w:r>
            <w:r w:rsidRPr="006C42A0">
              <w:rPr>
                <w:color w:val="000000" w:themeColor="text1"/>
                <w:szCs w:val="28"/>
              </w:rPr>
              <w:t xml:space="preserve"> kể từ ngày giao nhận hàng.</w:t>
            </w:r>
          </w:p>
          <w:p w:rsidR="00E54A50" w:rsidRPr="006C42A0" w:rsidRDefault="00E54A50" w:rsidP="00152077">
            <w:pPr>
              <w:spacing w:after="0" w:line="259" w:lineRule="auto"/>
              <w:jc w:val="both"/>
              <w:rPr>
                <w:i/>
                <w:color w:val="000000" w:themeColor="text1"/>
                <w:szCs w:val="28"/>
              </w:rPr>
            </w:pPr>
            <w:r w:rsidRPr="006C42A0">
              <w:rPr>
                <w:color w:val="000000" w:themeColor="text1"/>
                <w:szCs w:val="28"/>
              </w:rPr>
              <w:t>+ Giá trị dinh dưỡng trung bình trong 100g:</w:t>
            </w:r>
          </w:p>
          <w:p w:rsidR="006C42A0" w:rsidRPr="006C42A0" w:rsidRDefault="006C42A0" w:rsidP="00152077">
            <w:pPr>
              <w:spacing w:after="0" w:line="259" w:lineRule="auto"/>
              <w:rPr>
                <w:color w:val="000000"/>
                <w:szCs w:val="28"/>
              </w:rPr>
            </w:pPr>
            <w:r w:rsidRPr="006C42A0">
              <w:rPr>
                <w:color w:val="000000"/>
                <w:szCs w:val="28"/>
              </w:rPr>
              <w:t>- Năng lượng: ≥ 330 Kcal hoặc tương đương trở lên.</w:t>
            </w:r>
          </w:p>
          <w:p w:rsidR="006C42A0" w:rsidRPr="006C42A0" w:rsidRDefault="006C42A0" w:rsidP="00152077">
            <w:pPr>
              <w:spacing w:after="0" w:line="259" w:lineRule="auto"/>
              <w:rPr>
                <w:color w:val="000000"/>
                <w:szCs w:val="28"/>
              </w:rPr>
            </w:pPr>
            <w:r w:rsidRPr="006C42A0">
              <w:rPr>
                <w:color w:val="000000"/>
                <w:szCs w:val="28"/>
              </w:rPr>
              <w:t>- Cacbonhydrat: ≥ 57g hoặc tương đương trở lên.</w:t>
            </w:r>
          </w:p>
          <w:p w:rsidR="006C42A0" w:rsidRPr="006C42A0" w:rsidRDefault="006C42A0" w:rsidP="00152077">
            <w:pPr>
              <w:spacing w:after="0" w:line="259" w:lineRule="auto"/>
              <w:rPr>
                <w:color w:val="000000"/>
                <w:szCs w:val="28"/>
              </w:rPr>
            </w:pPr>
            <w:r w:rsidRPr="006C42A0">
              <w:rPr>
                <w:color w:val="000000"/>
                <w:szCs w:val="28"/>
              </w:rPr>
              <w:t>- Chất béo: ≥ 8,0g hoặc tương đương trở lên.</w:t>
            </w:r>
          </w:p>
          <w:p w:rsidR="006C42A0" w:rsidRPr="006C42A0" w:rsidRDefault="006C42A0" w:rsidP="00152077">
            <w:pPr>
              <w:spacing w:after="0" w:line="259" w:lineRule="auto"/>
              <w:rPr>
                <w:color w:val="000000"/>
                <w:szCs w:val="28"/>
              </w:rPr>
            </w:pPr>
            <w:r w:rsidRPr="006C42A0">
              <w:rPr>
                <w:color w:val="000000"/>
                <w:szCs w:val="28"/>
              </w:rPr>
              <w:t>- Chất đạm: ≥ 6,0g hoặc tương đương trở lên.</w:t>
            </w:r>
          </w:p>
          <w:p w:rsidR="00E54A50" w:rsidRPr="006C42A0" w:rsidRDefault="006C42A0" w:rsidP="00152077">
            <w:pPr>
              <w:spacing w:after="0" w:line="259" w:lineRule="auto"/>
              <w:jc w:val="both"/>
              <w:rPr>
                <w:color w:val="000000" w:themeColor="text1"/>
                <w:szCs w:val="28"/>
              </w:rPr>
            </w:pPr>
            <w:r w:rsidRPr="006C42A0">
              <w:rPr>
                <w:color w:val="000000"/>
                <w:szCs w:val="28"/>
              </w:rPr>
              <w:t>- Canxi: ≥ 256mg hoặc tương đương trở lên</w:t>
            </w:r>
            <w:r w:rsidR="003F7AB1" w:rsidRPr="006C42A0">
              <w:rPr>
                <w:color w:val="000000" w:themeColor="text1"/>
                <w:szCs w:val="28"/>
              </w:rPr>
              <w:t>.</w:t>
            </w:r>
          </w:p>
        </w:tc>
      </w:tr>
      <w:tr w:rsidR="00E54A50" w:rsidRPr="004C3C34" w:rsidTr="00470077">
        <w:trPr>
          <w:cantSplit/>
          <w:trHeight w:val="1012"/>
          <w:tblHeader/>
          <w:jc w:val="center"/>
        </w:trPr>
        <w:tc>
          <w:tcPr>
            <w:tcW w:w="791" w:type="dxa"/>
            <w:vAlign w:val="center"/>
          </w:tcPr>
          <w:p w:rsidR="00E54A50" w:rsidRPr="00360CED" w:rsidRDefault="00E54A50" w:rsidP="00152077">
            <w:pPr>
              <w:spacing w:after="0" w:line="259" w:lineRule="auto"/>
              <w:jc w:val="center"/>
              <w:rPr>
                <w:color w:val="000000"/>
                <w:szCs w:val="28"/>
              </w:rPr>
            </w:pPr>
            <w:r w:rsidRPr="00360CED">
              <w:rPr>
                <w:color w:val="000000"/>
                <w:szCs w:val="28"/>
              </w:rPr>
              <w:t>2</w:t>
            </w:r>
          </w:p>
        </w:tc>
        <w:tc>
          <w:tcPr>
            <w:tcW w:w="1472" w:type="dxa"/>
            <w:shd w:val="clear" w:color="auto" w:fill="auto"/>
            <w:vAlign w:val="center"/>
          </w:tcPr>
          <w:p w:rsidR="00E54A50" w:rsidRPr="00360CED" w:rsidRDefault="00BD632F" w:rsidP="00152077">
            <w:pPr>
              <w:spacing w:after="0" w:line="259" w:lineRule="auto"/>
              <w:jc w:val="center"/>
              <w:rPr>
                <w:color w:val="000000"/>
                <w:szCs w:val="28"/>
              </w:rPr>
            </w:pPr>
            <w:r w:rsidRPr="00BD632F">
              <w:rPr>
                <w:color w:val="000000" w:themeColor="text1"/>
                <w:szCs w:val="28"/>
              </w:rPr>
              <w:t>Sữa tươi tiệt trùng ít đường 180 ml</w:t>
            </w:r>
          </w:p>
        </w:tc>
        <w:tc>
          <w:tcPr>
            <w:tcW w:w="851" w:type="dxa"/>
            <w:shd w:val="clear" w:color="auto" w:fill="auto"/>
            <w:noWrap/>
            <w:vAlign w:val="center"/>
          </w:tcPr>
          <w:p w:rsidR="00E54A50" w:rsidRPr="00360CED" w:rsidRDefault="00E54A50" w:rsidP="00152077">
            <w:pPr>
              <w:spacing w:after="0" w:line="259" w:lineRule="auto"/>
              <w:jc w:val="center"/>
              <w:rPr>
                <w:color w:val="000000"/>
                <w:szCs w:val="28"/>
              </w:rPr>
            </w:pPr>
            <w:r w:rsidRPr="00360CED">
              <w:rPr>
                <w:color w:val="000000"/>
                <w:szCs w:val="28"/>
              </w:rPr>
              <w:t>Hộp</w:t>
            </w:r>
          </w:p>
        </w:tc>
        <w:tc>
          <w:tcPr>
            <w:tcW w:w="6520" w:type="dxa"/>
            <w:shd w:val="clear" w:color="auto" w:fill="auto"/>
            <w:noWrap/>
            <w:vAlign w:val="center"/>
          </w:tcPr>
          <w:p w:rsidR="00E54A50" w:rsidRPr="00360CED" w:rsidRDefault="00E54A50" w:rsidP="00152077">
            <w:pPr>
              <w:spacing w:after="0" w:line="259" w:lineRule="auto"/>
              <w:jc w:val="both"/>
              <w:rPr>
                <w:color w:val="000000" w:themeColor="text1"/>
                <w:szCs w:val="28"/>
              </w:rPr>
            </w:pPr>
            <w:r w:rsidRPr="00360CED">
              <w:rPr>
                <w:color w:val="000000" w:themeColor="text1"/>
                <w:szCs w:val="28"/>
              </w:rPr>
              <w:t>+ Hộp giấy, dung tích ≥180 ml</w:t>
            </w:r>
          </w:p>
          <w:p w:rsidR="00E54A50" w:rsidRPr="00360CED" w:rsidRDefault="00E54A50" w:rsidP="00152077">
            <w:pPr>
              <w:spacing w:after="0" w:line="259" w:lineRule="auto"/>
              <w:jc w:val="both"/>
              <w:rPr>
                <w:iCs/>
                <w:color w:val="000000" w:themeColor="text1"/>
                <w:szCs w:val="28"/>
              </w:rPr>
            </w:pPr>
            <w:r w:rsidRPr="00360CED">
              <w:rPr>
                <w:i/>
                <w:color w:val="000000" w:themeColor="text1"/>
                <w:szCs w:val="28"/>
              </w:rPr>
              <w:t xml:space="preserve">+ </w:t>
            </w:r>
            <w:r w:rsidRPr="00360CED">
              <w:rPr>
                <w:color w:val="000000" w:themeColor="text1"/>
                <w:szCs w:val="28"/>
                <w:lang w:val="it-IT"/>
              </w:rPr>
              <w:t>Hạn sử dụ</w:t>
            </w:r>
            <w:r>
              <w:rPr>
                <w:color w:val="000000" w:themeColor="text1"/>
                <w:szCs w:val="28"/>
                <w:lang w:val="it-IT"/>
              </w:rPr>
              <w:t>ng ≥</w:t>
            </w:r>
            <w:r w:rsidR="00402C2C">
              <w:rPr>
                <w:color w:val="000000" w:themeColor="text1"/>
                <w:szCs w:val="28"/>
                <w:lang w:val="it-IT"/>
              </w:rPr>
              <w:t xml:space="preserve"> </w:t>
            </w:r>
            <w:r w:rsidR="007170D2">
              <w:rPr>
                <w:color w:val="000000" w:themeColor="text1"/>
                <w:szCs w:val="28"/>
                <w:lang w:val="it-IT"/>
              </w:rPr>
              <w:t>04</w:t>
            </w:r>
            <w:r>
              <w:rPr>
                <w:color w:val="000000" w:themeColor="text1"/>
                <w:szCs w:val="28"/>
                <w:lang w:val="it-IT"/>
              </w:rPr>
              <w:t xml:space="preserve"> </w:t>
            </w:r>
            <w:r w:rsidRPr="00360CED">
              <w:rPr>
                <w:color w:val="000000" w:themeColor="text1"/>
                <w:szCs w:val="28"/>
                <w:lang w:val="it-IT"/>
              </w:rPr>
              <w:t>tháng kể từ ngày giao nhận hàng.</w:t>
            </w:r>
          </w:p>
          <w:p w:rsidR="00402C2C" w:rsidRPr="00470077" w:rsidRDefault="00402C2C" w:rsidP="00152077">
            <w:pPr>
              <w:spacing w:after="0" w:line="259" w:lineRule="auto"/>
              <w:rPr>
                <w:color w:val="000000"/>
                <w:szCs w:val="28"/>
              </w:rPr>
            </w:pPr>
            <w:r w:rsidRPr="00470077">
              <w:rPr>
                <w:color w:val="000000"/>
                <w:szCs w:val="28"/>
              </w:rPr>
              <w:t>- Năng lượng: ≥ 71 kcal hoặc tương đương trở lên.</w:t>
            </w:r>
          </w:p>
          <w:p w:rsidR="00402C2C" w:rsidRPr="00470077" w:rsidRDefault="00402C2C" w:rsidP="00152077">
            <w:pPr>
              <w:spacing w:after="0" w:line="259" w:lineRule="auto"/>
              <w:rPr>
                <w:color w:val="000000"/>
                <w:szCs w:val="28"/>
              </w:rPr>
            </w:pPr>
            <w:r w:rsidRPr="00470077">
              <w:rPr>
                <w:color w:val="000000"/>
                <w:szCs w:val="28"/>
              </w:rPr>
              <w:t>- Cacbonhydrat: ≥ 6,3gram hoặc tương đương trở lên.</w:t>
            </w:r>
          </w:p>
          <w:p w:rsidR="00402C2C" w:rsidRPr="00470077" w:rsidRDefault="00402C2C" w:rsidP="00152077">
            <w:pPr>
              <w:spacing w:after="0" w:line="259" w:lineRule="auto"/>
              <w:rPr>
                <w:color w:val="000000"/>
                <w:szCs w:val="28"/>
              </w:rPr>
            </w:pPr>
            <w:r w:rsidRPr="00470077">
              <w:rPr>
                <w:color w:val="000000"/>
                <w:szCs w:val="28"/>
              </w:rPr>
              <w:t>- Chất béo: ≥ 3,8 gram hoặc tương đương trở lên.</w:t>
            </w:r>
          </w:p>
          <w:p w:rsidR="00402C2C" w:rsidRPr="00470077" w:rsidRDefault="00402C2C" w:rsidP="00152077">
            <w:pPr>
              <w:spacing w:after="0" w:line="259" w:lineRule="auto"/>
              <w:rPr>
                <w:color w:val="000000"/>
                <w:szCs w:val="28"/>
              </w:rPr>
            </w:pPr>
            <w:r w:rsidRPr="00470077">
              <w:rPr>
                <w:color w:val="000000"/>
                <w:szCs w:val="28"/>
              </w:rPr>
              <w:t>- Protein: ≥ 3,0 gram hoặc tương đương trở lên.</w:t>
            </w:r>
          </w:p>
          <w:p w:rsidR="00402C2C" w:rsidRPr="00470077" w:rsidRDefault="00402C2C" w:rsidP="00152077">
            <w:pPr>
              <w:spacing w:after="0" w:line="259" w:lineRule="auto"/>
              <w:rPr>
                <w:color w:val="000000"/>
                <w:szCs w:val="28"/>
              </w:rPr>
            </w:pPr>
            <w:r w:rsidRPr="00470077">
              <w:rPr>
                <w:color w:val="000000"/>
                <w:szCs w:val="28"/>
              </w:rPr>
              <w:t>- Canxi: ≥ 100 mg hoặc tương đương trở lên.</w:t>
            </w:r>
          </w:p>
          <w:p w:rsidR="00402C2C" w:rsidRPr="00470077" w:rsidRDefault="00402C2C" w:rsidP="00152077">
            <w:pPr>
              <w:spacing w:after="0" w:line="259" w:lineRule="auto"/>
              <w:rPr>
                <w:color w:val="000000"/>
                <w:szCs w:val="28"/>
              </w:rPr>
            </w:pPr>
            <w:r w:rsidRPr="00470077">
              <w:rPr>
                <w:color w:val="000000"/>
                <w:szCs w:val="28"/>
              </w:rPr>
              <w:t>- Viatmin A: ≥ 160 IU hoặc tương đương trở lên.</w:t>
            </w:r>
          </w:p>
          <w:p w:rsidR="00402C2C" w:rsidRPr="00470077" w:rsidRDefault="00402C2C" w:rsidP="00152077">
            <w:pPr>
              <w:spacing w:after="0" w:line="259" w:lineRule="auto"/>
              <w:rPr>
                <w:color w:val="000000"/>
                <w:szCs w:val="28"/>
              </w:rPr>
            </w:pPr>
            <w:r w:rsidRPr="00470077">
              <w:rPr>
                <w:color w:val="000000"/>
                <w:szCs w:val="28"/>
              </w:rPr>
              <w:t>- Viatmin B1: ≥ 90 mcg hoặc tương đương trở lên.</w:t>
            </w:r>
          </w:p>
          <w:p w:rsidR="00402C2C" w:rsidRPr="00470077" w:rsidRDefault="00402C2C" w:rsidP="00152077">
            <w:pPr>
              <w:spacing w:after="0" w:line="259" w:lineRule="auto"/>
              <w:rPr>
                <w:color w:val="000000"/>
                <w:szCs w:val="28"/>
              </w:rPr>
            </w:pPr>
            <w:r w:rsidRPr="00470077">
              <w:rPr>
                <w:color w:val="000000"/>
                <w:szCs w:val="28"/>
              </w:rPr>
              <w:t>- Viatmin B2: ≥110 mcg hoặc tương đương trở lên.</w:t>
            </w:r>
          </w:p>
          <w:p w:rsidR="00402C2C" w:rsidRPr="00470077" w:rsidRDefault="00402C2C" w:rsidP="00152077">
            <w:pPr>
              <w:spacing w:after="0" w:line="259" w:lineRule="auto"/>
              <w:rPr>
                <w:color w:val="000000"/>
                <w:szCs w:val="28"/>
              </w:rPr>
            </w:pPr>
            <w:r w:rsidRPr="00470077">
              <w:rPr>
                <w:color w:val="000000"/>
                <w:szCs w:val="28"/>
              </w:rPr>
              <w:t>- Viatmin B6: ≥ 98 mcg hoặc tương đương trở lên.</w:t>
            </w:r>
          </w:p>
          <w:p w:rsidR="00402C2C" w:rsidRPr="00470077" w:rsidRDefault="00402C2C" w:rsidP="00152077">
            <w:pPr>
              <w:spacing w:after="0" w:line="259" w:lineRule="auto"/>
              <w:rPr>
                <w:color w:val="000000"/>
                <w:szCs w:val="28"/>
              </w:rPr>
            </w:pPr>
            <w:r w:rsidRPr="00470077">
              <w:rPr>
                <w:color w:val="000000"/>
                <w:szCs w:val="28"/>
              </w:rPr>
              <w:t>- Natri: ≥ 38mg hoặc tương đương trở lên.</w:t>
            </w:r>
          </w:p>
          <w:p w:rsidR="00402C2C" w:rsidRPr="00470077" w:rsidRDefault="00402C2C" w:rsidP="00152077">
            <w:pPr>
              <w:spacing w:after="0" w:line="259" w:lineRule="auto"/>
              <w:rPr>
                <w:color w:val="000000"/>
                <w:szCs w:val="28"/>
              </w:rPr>
            </w:pPr>
            <w:r w:rsidRPr="00470077">
              <w:rPr>
                <w:color w:val="000000"/>
                <w:szCs w:val="28"/>
              </w:rPr>
              <w:t>- Phospho: ≥ 78 mg hoặc tương đương trở lên.</w:t>
            </w:r>
          </w:p>
          <w:p w:rsidR="00E54A50" w:rsidRPr="00F72B18" w:rsidRDefault="00402C2C" w:rsidP="00152077">
            <w:pPr>
              <w:spacing w:after="0" w:line="259" w:lineRule="auto"/>
              <w:jc w:val="both"/>
              <w:rPr>
                <w:color w:val="000000" w:themeColor="text1"/>
                <w:szCs w:val="28"/>
              </w:rPr>
            </w:pPr>
            <w:r w:rsidRPr="00470077">
              <w:rPr>
                <w:color w:val="000000"/>
                <w:szCs w:val="28"/>
              </w:rPr>
              <w:t>- Viatmin C: ≥ 10 mg hoặc tương đương trở lên.</w:t>
            </w:r>
          </w:p>
        </w:tc>
      </w:tr>
    </w:tbl>
    <w:p w:rsidR="008D4199" w:rsidRDefault="00E54A50" w:rsidP="00152077">
      <w:pPr>
        <w:spacing w:after="0" w:line="259" w:lineRule="auto"/>
        <w:ind w:firstLine="567"/>
        <w:jc w:val="both"/>
        <w:rPr>
          <w:b/>
          <w:szCs w:val="28"/>
          <w:lang w:val="nl-NL"/>
        </w:rPr>
      </w:pPr>
      <w:r>
        <w:rPr>
          <w:b/>
          <w:szCs w:val="28"/>
          <w:lang w:val="nl-NL"/>
        </w:rPr>
        <w:t xml:space="preserve"> </w:t>
      </w:r>
      <w:r w:rsidR="00DA7B00" w:rsidRPr="00CC2565">
        <w:rPr>
          <w:b/>
          <w:szCs w:val="28"/>
          <w:lang w:val="nl-NL"/>
        </w:rPr>
        <w:t xml:space="preserve"> 3. Các yêu cầu khác:</w:t>
      </w:r>
    </w:p>
    <w:p w:rsidR="008D4199" w:rsidRDefault="008D4199" w:rsidP="00152077">
      <w:pPr>
        <w:spacing w:after="0" w:line="259" w:lineRule="auto"/>
        <w:ind w:firstLine="567"/>
        <w:jc w:val="both"/>
        <w:rPr>
          <w:b/>
          <w:szCs w:val="28"/>
          <w:lang w:val="nl-NL"/>
        </w:rPr>
      </w:pPr>
      <w:r w:rsidRPr="008D4199">
        <w:rPr>
          <w:rFonts w:cs="Times New Roman"/>
          <w:color w:val="000000"/>
          <w:szCs w:val="28"/>
        </w:rPr>
        <w:t>- Giấy chứng nhận nhà sản xuất đáp ứng tiêu chuẩn chất lượng ISO 9001.</w:t>
      </w:r>
    </w:p>
    <w:p w:rsidR="008D4199" w:rsidRDefault="008D4199" w:rsidP="00152077">
      <w:pPr>
        <w:spacing w:after="0" w:line="259" w:lineRule="auto"/>
        <w:ind w:firstLine="567"/>
        <w:jc w:val="both"/>
        <w:rPr>
          <w:b/>
          <w:szCs w:val="28"/>
          <w:lang w:val="nl-NL"/>
        </w:rPr>
      </w:pPr>
      <w:r w:rsidRPr="008D4199">
        <w:rPr>
          <w:rFonts w:cs="Times New Roman"/>
          <w:bCs/>
          <w:color w:val="000000"/>
          <w:szCs w:val="28"/>
        </w:rPr>
        <w:t>-</w:t>
      </w:r>
      <w:r w:rsidR="00DA65B9" w:rsidRPr="008D4199">
        <w:rPr>
          <w:rFonts w:cs="Times New Roman"/>
          <w:bCs/>
          <w:color w:val="000000"/>
          <w:szCs w:val="28"/>
        </w:rPr>
        <w:t xml:space="preserve"> Quy cách bao gói:</w:t>
      </w:r>
      <w:r w:rsidR="00DA65B9" w:rsidRPr="008D4199">
        <w:rPr>
          <w:rFonts w:cs="Times New Roman"/>
          <w:b/>
          <w:bCs/>
          <w:color w:val="000000"/>
          <w:szCs w:val="28"/>
        </w:rPr>
        <w:t xml:space="preserve"> </w:t>
      </w:r>
      <w:r w:rsidR="00DA65B9" w:rsidRPr="008D4199">
        <w:rPr>
          <w:rFonts w:cs="Times New Roman"/>
          <w:color w:val="000000"/>
          <w:szCs w:val="28"/>
        </w:rPr>
        <w:t>sai số định lượng phù hợp quy định Thông tư số</w:t>
      </w:r>
      <w:r w:rsidR="00DA65B9" w:rsidRPr="008D4199">
        <w:rPr>
          <w:rFonts w:cs="Times New Roman"/>
          <w:color w:val="000000"/>
          <w:szCs w:val="28"/>
        </w:rPr>
        <w:br/>
        <w:t>21/2014/TT-BKHCN của Bộ Khoa học và Công nghệ</w:t>
      </w:r>
      <w:r w:rsidRPr="008D4199">
        <w:rPr>
          <w:rFonts w:cs="Times New Roman"/>
          <w:color w:val="000000"/>
          <w:szCs w:val="28"/>
        </w:rPr>
        <w:t>.</w:t>
      </w:r>
    </w:p>
    <w:p w:rsidR="008D4199" w:rsidRDefault="008D4199" w:rsidP="00152077">
      <w:pPr>
        <w:spacing w:after="0" w:line="259" w:lineRule="auto"/>
        <w:ind w:firstLine="567"/>
        <w:jc w:val="both"/>
        <w:rPr>
          <w:rFonts w:cs="Times New Roman"/>
          <w:color w:val="000000"/>
          <w:szCs w:val="28"/>
        </w:rPr>
      </w:pPr>
      <w:r w:rsidRPr="008D4199">
        <w:rPr>
          <w:rFonts w:cs="Times New Roman"/>
          <w:bCs/>
          <w:color w:val="000000"/>
          <w:szCs w:val="28"/>
        </w:rPr>
        <w:t>- Đ</w:t>
      </w:r>
      <w:r w:rsidR="00DA65B9" w:rsidRPr="008D4199">
        <w:rPr>
          <w:rFonts w:cs="Times New Roman"/>
          <w:color w:val="000000"/>
          <w:szCs w:val="28"/>
        </w:rPr>
        <w:t>ảm bảo yêu cầu an toàn vệ sinh thực phẩm theo QCVN</w:t>
      </w:r>
      <w:r w:rsidRPr="008D4199">
        <w:rPr>
          <w:rFonts w:cs="Times New Roman"/>
          <w:color w:val="000000"/>
          <w:szCs w:val="28"/>
        </w:rPr>
        <w:t xml:space="preserve">. </w:t>
      </w:r>
      <w:bookmarkStart w:id="0" w:name="_Toc68320562"/>
    </w:p>
    <w:p w:rsidR="00AA1E9D" w:rsidRDefault="00AA1E9D" w:rsidP="00152077">
      <w:pPr>
        <w:pStyle w:val="SectionVIHeader"/>
        <w:spacing w:before="0" w:after="0" w:line="259" w:lineRule="auto"/>
        <w:ind w:firstLine="709"/>
        <w:jc w:val="both"/>
        <w:rPr>
          <w:b w:val="0"/>
          <w:sz w:val="28"/>
          <w:szCs w:val="28"/>
        </w:rPr>
      </w:pPr>
      <w:r w:rsidRPr="00B14A7B">
        <w:rPr>
          <w:b w:val="0"/>
          <w:sz w:val="28"/>
          <w:szCs w:val="28"/>
        </w:rPr>
        <w:t xml:space="preserve">- Nhà thầu chịu toàn bộ chi phí vận chuyển, bốc xếp, bảo hiểm, cất giữ trong quá trình cung ứng hàng hóa, kiểm tra, nghiệm thu và giao nhận hàng. </w:t>
      </w:r>
    </w:p>
    <w:p w:rsidR="00771832" w:rsidRDefault="00771832" w:rsidP="00152077">
      <w:pPr>
        <w:pStyle w:val="SectionVIHeader"/>
        <w:spacing w:before="0" w:after="0" w:line="259" w:lineRule="auto"/>
        <w:ind w:firstLine="709"/>
        <w:jc w:val="both"/>
        <w:rPr>
          <w:b w:val="0"/>
          <w:sz w:val="28"/>
          <w:szCs w:val="28"/>
        </w:rPr>
      </w:pPr>
      <w:r w:rsidRPr="00B14A7B">
        <w:rPr>
          <w:b w:val="0"/>
          <w:sz w:val="28"/>
          <w:szCs w:val="28"/>
        </w:rPr>
        <w:t>- Trong vòng 48 tiếng kể từ khi nhà thầu nhận được thông báo của Chủ đầu tư về lô hàng không đảm bảo chất lượng, hoặc có thông báo thu hồi của cơ quan có thẩm quyền mà nguyên nhân không do lỗi của Chủ đầu tư nhà thầu phải thu hồi và thay thế bằng hàng hóa khác đáp ứng đúng hoặc cao hơn chất lượng của hàng hóa theo thông báo của Chủ đầu tư. Thiệt hại do quá trình chậm trễ chờ mua hàng hóa thay thế nhà thầu phải chịu trách nhiệm.</w:t>
      </w:r>
    </w:p>
    <w:p w:rsidR="00771832" w:rsidRDefault="00771832" w:rsidP="00152077">
      <w:pPr>
        <w:pStyle w:val="SectionVIHeader"/>
        <w:spacing w:before="0" w:after="0" w:line="259" w:lineRule="auto"/>
        <w:ind w:firstLine="709"/>
        <w:jc w:val="both"/>
        <w:rPr>
          <w:b w:val="0"/>
          <w:sz w:val="28"/>
          <w:szCs w:val="28"/>
        </w:rPr>
      </w:pPr>
      <w:r w:rsidRPr="00B14A7B">
        <w:rPr>
          <w:b w:val="0"/>
          <w:sz w:val="28"/>
          <w:szCs w:val="28"/>
        </w:rPr>
        <w:lastRenderedPageBreak/>
        <w:t xml:space="preserve"> - Trong quá trình cung ứng hàng hóa (nếu được công nhận trúng thầu), Nhà thầu phải cung cấp các giấy tờ xác nhận về xuất xứ, hồ sơ nhập khẩu (đối với hàng hóa nhập khẩu), tài liệu chứng minh chất lượng và các giấy tờ khác khi Bên mua hàng hoặc Chủ đầu tư yêu cầu. </w:t>
      </w:r>
    </w:p>
    <w:p w:rsidR="008D4199" w:rsidRDefault="008D4199" w:rsidP="00152077">
      <w:pPr>
        <w:spacing w:after="0" w:line="259" w:lineRule="auto"/>
        <w:ind w:firstLine="567"/>
        <w:jc w:val="both"/>
        <w:rPr>
          <w:b/>
          <w:bCs/>
          <w:color w:val="FF0000"/>
          <w:szCs w:val="28"/>
        </w:rPr>
      </w:pPr>
      <w:r w:rsidRPr="008D4199">
        <w:rPr>
          <w:rFonts w:cs="Times New Roman"/>
          <w:b/>
          <w:bCs/>
          <w:color w:val="000000"/>
          <w:szCs w:val="28"/>
        </w:rPr>
        <w:t xml:space="preserve">Mục 2. Bản vẽ: </w:t>
      </w:r>
      <w:r w:rsidRPr="002F44BE">
        <w:rPr>
          <w:rFonts w:cs="Times New Roman"/>
          <w:bCs/>
          <w:szCs w:val="28"/>
        </w:rPr>
        <w:t>Không áp dụng</w:t>
      </w:r>
    </w:p>
    <w:p w:rsidR="008D4199" w:rsidRDefault="008D4199" w:rsidP="00152077">
      <w:pPr>
        <w:spacing w:after="0" w:line="259" w:lineRule="auto"/>
        <w:ind w:firstLine="567"/>
        <w:jc w:val="both"/>
        <w:rPr>
          <w:b/>
          <w:bCs/>
          <w:color w:val="000000"/>
          <w:szCs w:val="28"/>
        </w:rPr>
      </w:pPr>
      <w:r w:rsidRPr="008D4199">
        <w:rPr>
          <w:rFonts w:cs="Times New Roman"/>
          <w:b/>
          <w:bCs/>
          <w:color w:val="000000"/>
          <w:szCs w:val="28"/>
        </w:rPr>
        <w:t>Mục 3. Kiểm tra và thử nghiệm:</w:t>
      </w:r>
    </w:p>
    <w:p w:rsidR="008D4199" w:rsidRDefault="008D4199" w:rsidP="00152077">
      <w:pPr>
        <w:spacing w:after="0" w:line="259" w:lineRule="auto"/>
        <w:ind w:firstLine="567"/>
        <w:jc w:val="both"/>
        <w:rPr>
          <w:color w:val="000000"/>
          <w:szCs w:val="28"/>
        </w:rPr>
      </w:pPr>
      <w:r w:rsidRPr="008D4199">
        <w:rPr>
          <w:rFonts w:cs="Times New Roman"/>
          <w:color w:val="000000"/>
          <w:szCs w:val="28"/>
        </w:rPr>
        <w:t>Các kiểm tra và thử nghiệm cần tiến hành gồm có:</w:t>
      </w:r>
    </w:p>
    <w:p w:rsidR="002F44BE" w:rsidRDefault="008D4199" w:rsidP="00152077">
      <w:pPr>
        <w:spacing w:after="0" w:line="259" w:lineRule="auto"/>
        <w:ind w:firstLine="567"/>
        <w:jc w:val="both"/>
        <w:rPr>
          <w:color w:val="000000"/>
          <w:szCs w:val="28"/>
        </w:rPr>
      </w:pPr>
      <w:r w:rsidRPr="008D4199">
        <w:rPr>
          <w:rFonts w:cs="Times New Roman"/>
          <w:color w:val="000000"/>
          <w:szCs w:val="28"/>
        </w:rPr>
        <w:t>+ Số lượng</w:t>
      </w:r>
      <w:r w:rsidR="003F7AB1">
        <w:rPr>
          <w:rFonts w:cs="Times New Roman"/>
          <w:color w:val="000000"/>
          <w:szCs w:val="28"/>
        </w:rPr>
        <w:t>.</w:t>
      </w:r>
    </w:p>
    <w:p w:rsidR="002F44BE" w:rsidRPr="002F44BE" w:rsidRDefault="002F44BE" w:rsidP="00152077">
      <w:pPr>
        <w:spacing w:after="0" w:line="259" w:lineRule="auto"/>
        <w:ind w:firstLine="567"/>
        <w:jc w:val="both"/>
        <w:rPr>
          <w:color w:val="000000"/>
          <w:szCs w:val="28"/>
        </w:rPr>
      </w:pPr>
      <w:r>
        <w:rPr>
          <w:rFonts w:cs="Times New Roman"/>
          <w:color w:val="000000"/>
          <w:szCs w:val="28"/>
        </w:rPr>
        <w:t>+ N</w:t>
      </w:r>
      <w:r w:rsidRPr="002F44BE">
        <w:rPr>
          <w:rFonts w:ascii="TimesNewRomanPSMT" w:hAnsi="TimesNewRomanPSMT"/>
          <w:color w:val="000000"/>
          <w:szCs w:val="28"/>
        </w:rPr>
        <w:t>hãn mác, hạn sử</w:t>
      </w:r>
      <w:r>
        <w:rPr>
          <w:rFonts w:ascii="TimesNewRomanPSMT" w:hAnsi="TimesNewRomanPSMT"/>
          <w:color w:val="000000"/>
          <w:szCs w:val="28"/>
        </w:rPr>
        <w:t xml:space="preserve"> </w:t>
      </w:r>
      <w:r w:rsidRPr="002F44BE">
        <w:rPr>
          <w:rFonts w:ascii="TimesNewRomanPSMT" w:hAnsi="TimesNewRomanPSMT"/>
          <w:color w:val="000000"/>
          <w:szCs w:val="28"/>
        </w:rPr>
        <w:t>dụng</w:t>
      </w:r>
      <w:r>
        <w:t>.</w:t>
      </w:r>
      <w:bookmarkEnd w:id="0"/>
    </w:p>
    <w:sectPr w:rsidR="002F44BE" w:rsidRPr="002F44BE" w:rsidSect="00AA1E9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81"/>
    <w:rsid w:val="0008499C"/>
    <w:rsid w:val="00085A8D"/>
    <w:rsid w:val="00120BCE"/>
    <w:rsid w:val="00152077"/>
    <w:rsid w:val="002F44BE"/>
    <w:rsid w:val="00341A84"/>
    <w:rsid w:val="00385FED"/>
    <w:rsid w:val="003F3E81"/>
    <w:rsid w:val="003F7AB1"/>
    <w:rsid w:val="00402C2C"/>
    <w:rsid w:val="00470077"/>
    <w:rsid w:val="00620CAA"/>
    <w:rsid w:val="00633DA5"/>
    <w:rsid w:val="00657E20"/>
    <w:rsid w:val="00670DE2"/>
    <w:rsid w:val="006809F8"/>
    <w:rsid w:val="006C42A0"/>
    <w:rsid w:val="007170D2"/>
    <w:rsid w:val="00771832"/>
    <w:rsid w:val="00773E20"/>
    <w:rsid w:val="008D4199"/>
    <w:rsid w:val="009E056B"/>
    <w:rsid w:val="00A12A69"/>
    <w:rsid w:val="00AA1E9D"/>
    <w:rsid w:val="00BD632F"/>
    <w:rsid w:val="00DA65B9"/>
    <w:rsid w:val="00DA7B00"/>
    <w:rsid w:val="00E5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C298"/>
  <w15:docId w15:val="{20CF39FC-F8E7-45C5-BEAD-BE19D834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A7B00"/>
    <w:pPr>
      <w:widowControl w:val="0"/>
      <w:autoSpaceDE w:val="0"/>
      <w:autoSpaceDN w:val="0"/>
      <w:spacing w:after="0" w:line="278" w:lineRule="exact"/>
      <w:ind w:left="107"/>
    </w:pPr>
    <w:rPr>
      <w:rFonts w:eastAsia="Times New Roman" w:cs="Times New Roman"/>
      <w:sz w:val="22"/>
      <w:lang w:val="vi-VN"/>
    </w:rPr>
  </w:style>
  <w:style w:type="character" w:customStyle="1" w:styleId="fontstyle01">
    <w:name w:val="fontstyle01"/>
    <w:basedOn w:val="DefaultParagraphFont"/>
    <w:rsid w:val="00A12A6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12A69"/>
    <w:rPr>
      <w:rFonts w:ascii="TimesNewRomanPSMT" w:hAnsi="TimesNewRomanPSMT" w:hint="default"/>
      <w:b w:val="0"/>
      <w:bCs w:val="0"/>
      <w:i w:val="0"/>
      <w:iCs w:val="0"/>
      <w:color w:val="000000"/>
      <w:sz w:val="28"/>
      <w:szCs w:val="28"/>
    </w:rPr>
  </w:style>
  <w:style w:type="paragraph" w:customStyle="1" w:styleId="SectionVIHeader">
    <w:name w:val="Section VI. Header"/>
    <w:basedOn w:val="Normal"/>
    <w:rsid w:val="00771832"/>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HoaiTCHC</dc:creator>
  <cp:keywords/>
  <dc:description/>
  <cp:lastModifiedBy>NGUYEN DUY VU</cp:lastModifiedBy>
  <cp:revision>9</cp:revision>
  <dcterms:created xsi:type="dcterms:W3CDTF">2025-10-07T11:07:00Z</dcterms:created>
  <dcterms:modified xsi:type="dcterms:W3CDTF">2025-10-10T08:06:00Z</dcterms:modified>
</cp:coreProperties>
</file>